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B761A4">
        <w:rPr>
          <w:b/>
        </w:rPr>
        <w:t>Рассев лабораторн</w:t>
      </w:r>
      <w:r w:rsidR="00B761A4">
        <w:rPr>
          <w:b/>
        </w:rPr>
        <w:t>ый</w:t>
      </w:r>
      <w:r w:rsidR="00B761A4">
        <w:rPr>
          <w:b/>
        </w:rPr>
        <w:t xml:space="preserve"> У1-ЕРЛ-10-4-2</w:t>
      </w:r>
      <w:r w:rsidR="00E60420" w:rsidRPr="006751B9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C502B1" w:rsidRPr="007F4159">
        <w:rPr>
          <w:rFonts w:eastAsiaTheme="minorEastAsia"/>
          <w:iCs/>
          <w:sz w:val="22"/>
          <w:szCs w:val="22"/>
        </w:rPr>
        <w:t xml:space="preserve"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</w:t>
      </w:r>
      <w:r w:rsidR="00C502B1" w:rsidRPr="007F4159">
        <w:rPr>
          <w:sz w:val="22"/>
          <w:szCs w:val="22"/>
        </w:rPr>
        <w:t>идентификатор государственного контракта 0000000007525RDM0002.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Товар поставляется</w:t>
      </w:r>
      <w:r w:rsidR="0072383C" w:rsidRPr="0072383C">
        <w:rPr>
          <w:rFonts w:ascii="Times New Roman" w:hAnsi="Times New Roman"/>
          <w:sz w:val="24"/>
          <w:szCs w:val="24"/>
        </w:rPr>
        <w:t xml:space="preserve"> </w:t>
      </w:r>
      <w:r w:rsidR="0072383C" w:rsidRPr="006A7241">
        <w:rPr>
          <w:rFonts w:ascii="Times New Roman" w:hAnsi="Times New Roman"/>
          <w:sz w:val="24"/>
          <w:szCs w:val="24"/>
        </w:rPr>
        <w:t xml:space="preserve">одной партией </w:t>
      </w:r>
      <w:r w:rsidR="0072383C" w:rsidRPr="0072383C">
        <w:rPr>
          <w:rFonts w:ascii="Times New Roman" w:hAnsi="Times New Roman"/>
          <w:sz w:val="24"/>
          <w:szCs w:val="24"/>
        </w:rPr>
        <w:t>до 31.07.2026г</w:t>
      </w:r>
      <w:r w:rsidR="0072383C" w:rsidRPr="006A7241">
        <w:rPr>
          <w:rFonts w:ascii="Times New Roman" w:hAnsi="Times New Roman"/>
          <w:sz w:val="24"/>
          <w:szCs w:val="24"/>
        </w:rPr>
        <w:t>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</w:t>
      </w:r>
      <w:r w:rsidRPr="00945692">
        <w:rPr>
          <w:rFonts w:ascii="Times New Roman" w:hAnsi="Times New Roman"/>
          <w:lang w:eastAsia="en-US"/>
        </w:rPr>
        <w:lastRenderedPageBreak/>
        <w:t xml:space="preserve">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lastRenderedPageBreak/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2383C" w:rsidRPr="0072383C">
        <w:rPr>
          <w:rFonts w:ascii="Times New Roman" w:hAnsi="Times New Roman"/>
          <w:b/>
          <w:i/>
        </w:rPr>
        <w:t>14</w:t>
      </w:r>
      <w:r w:rsidR="005F7A32" w:rsidRPr="0072383C">
        <w:rPr>
          <w:rFonts w:ascii="Times New Roman" w:hAnsi="Times New Roman"/>
          <w:b/>
          <w:i/>
        </w:rPr>
        <w:t>.</w:t>
      </w:r>
      <w:r w:rsidR="00625270" w:rsidRPr="0072383C">
        <w:rPr>
          <w:rFonts w:ascii="Times New Roman" w:hAnsi="Times New Roman"/>
          <w:b/>
          <w:i/>
        </w:rPr>
        <w:t>0</w:t>
      </w:r>
      <w:r w:rsidR="0072383C">
        <w:rPr>
          <w:rFonts w:ascii="Times New Roman" w:hAnsi="Times New Roman"/>
          <w:b/>
          <w:i/>
        </w:rPr>
        <w:t>9</w:t>
      </w:r>
      <w:r w:rsidR="00625270" w:rsidRPr="0072383C">
        <w:rPr>
          <w:rFonts w:ascii="Times New Roman" w:hAnsi="Times New Roman"/>
          <w:b/>
          <w:i/>
        </w:rPr>
        <w:t>.</w:t>
      </w:r>
      <w:r w:rsidR="00625270">
        <w:rPr>
          <w:rFonts w:ascii="Times New Roman" w:hAnsi="Times New Roman"/>
          <w:b/>
          <w:i/>
        </w:rPr>
        <w:t>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Pr="00945692">
        <w:rPr>
          <w:rFonts w:ascii="Times New Roman" w:hAnsi="Times New Roman"/>
        </w:rPr>
        <w:lastRenderedPageBreak/>
        <w:t>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Pr="00945692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C502B1" w:rsidRPr="007F4159" w:rsidRDefault="00C502B1" w:rsidP="00C502B1">
            <w:pPr>
              <w:spacing w:line="228" w:lineRule="auto"/>
              <w:rPr>
                <w:bCs/>
                <w:sz w:val="22"/>
                <w:szCs w:val="22"/>
              </w:rPr>
            </w:pPr>
            <w:r w:rsidRPr="007F4159">
              <w:rPr>
                <w:bCs/>
                <w:sz w:val="22"/>
                <w:szCs w:val="22"/>
              </w:rPr>
              <w:t>ФЕДЕРАЛЬНОЕ ГОСУДАРСТВЕННОЕ БЮДЖЕТНОЕ НАУЧНОЕ УЧРЕЖДЕНИЕ "ФЕДЕРАЛЬНЫЙ АГРАРНЫЙ НАУЧНЫЙ ЦЕНТР СЕВЕРО-ВОСТОКА ИМЕНИ Н.В.РУДНИЦКОГО"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(ФГБНУ ФАНЦ Северо-Востока)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ИНН 4346008410, КПП 434501001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ОГРН 1034316511437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ОКПО 22940614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к/с 40102810745370000024, БИК 012202102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Казначейский счет (р/с) 03215643000000013200 в ОКЦ № 1 Волго-Вятского ГУ БАНКА РОССИИ//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Г. НИЖНИЙ НОВГОРОД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5376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3458"/>
        <w:gridCol w:w="660"/>
        <w:gridCol w:w="660"/>
        <w:gridCol w:w="1824"/>
        <w:gridCol w:w="1863"/>
        <w:gridCol w:w="1937"/>
      </w:tblGrid>
      <w:tr w:rsidR="00C22B42" w:rsidRPr="00945692" w:rsidTr="00741731">
        <w:trPr>
          <w:trHeight w:val="7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741731" w:rsidP="007417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741731">
        <w:trPr>
          <w:trHeight w:val="70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5F7A32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B761A4" w:rsidP="00524F59">
            <w:pPr>
              <w:ind w:firstLineChars="100" w:firstLine="240"/>
              <w:rPr>
                <w:color w:val="000000"/>
                <w:sz w:val="22"/>
              </w:rPr>
            </w:pPr>
            <w:r>
              <w:rPr>
                <w:b/>
              </w:rPr>
              <w:t>Рассев лабораторный У1-ЕРЛ-10-4-2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741731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040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5F7A32" w:rsidRDefault="005F7A32" w:rsidP="00741731"/>
    <w:p w:rsidR="005F7A32" w:rsidRDefault="005F7A32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t>Техническое задание</w:t>
      </w:r>
    </w:p>
    <w:p w:rsidR="00B761A4" w:rsidRPr="006A7241" w:rsidRDefault="00B761A4" w:rsidP="00B761A4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bookmarkStart w:id="0" w:name="_GoBack"/>
      <w:bookmarkEnd w:id="0"/>
      <w:r w:rsidRPr="006A7241">
        <w:rPr>
          <w:rFonts w:eastAsia="Calibri"/>
          <w:b/>
        </w:rPr>
        <w:t xml:space="preserve"> </w:t>
      </w:r>
      <w:r w:rsidRPr="006A7241">
        <w:rPr>
          <w:rFonts w:eastAsia="Calibri"/>
          <w:b/>
        </w:rPr>
        <w:t>(Описание объекта закупки)</w:t>
      </w:r>
    </w:p>
    <w:p w:rsidR="00B761A4" w:rsidRPr="00CE593C" w:rsidRDefault="00B761A4" w:rsidP="00B761A4">
      <w:pPr>
        <w:shd w:val="clear" w:color="auto" w:fill="FFFFFF"/>
        <w:spacing w:before="215" w:after="107" w:line="360" w:lineRule="atLeast"/>
        <w:jc w:val="center"/>
        <w:textAlignment w:val="baseline"/>
        <w:outlineLvl w:val="0"/>
      </w:pPr>
      <w:r w:rsidRPr="009956D2">
        <w:rPr>
          <w:b/>
        </w:rPr>
        <w:t xml:space="preserve">Поставка </w:t>
      </w:r>
      <w:r>
        <w:rPr>
          <w:b/>
        </w:rPr>
        <w:t xml:space="preserve">Рассева лабораторного У1-ЕРЛ-10-4-2 </w:t>
      </w:r>
    </w:p>
    <w:p w:rsidR="00B761A4" w:rsidRPr="00CE593C" w:rsidRDefault="00B761A4" w:rsidP="00B761A4">
      <w:pPr>
        <w:ind w:firstLine="709"/>
        <w:jc w:val="center"/>
      </w:pPr>
    </w:p>
    <w:p w:rsidR="00B761A4" w:rsidRPr="00CE593C" w:rsidRDefault="00B761A4" w:rsidP="00B761A4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1.Цель проведение закупки:</w:t>
      </w:r>
    </w:p>
    <w:p w:rsidR="00B761A4" w:rsidRPr="00CE593C" w:rsidRDefault="00B761A4" w:rsidP="00B761A4">
      <w:pPr>
        <w:ind w:firstLine="709"/>
        <w:jc w:val="both"/>
      </w:pPr>
      <w:r w:rsidRPr="00CE593C">
        <w:t xml:space="preserve">Обеспечение учреждения </w:t>
      </w:r>
      <w:r>
        <w:rPr>
          <w:b/>
        </w:rPr>
        <w:t>Рассевом лабораторным У1-ЕРЛ-10-4-2</w:t>
      </w:r>
    </w:p>
    <w:p w:rsidR="00B761A4" w:rsidRPr="00CE593C" w:rsidRDefault="00B761A4" w:rsidP="00B761A4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B761A4" w:rsidRPr="006A7241" w:rsidRDefault="00B761A4" w:rsidP="00B761A4">
      <w:pPr>
        <w:ind w:firstLine="708"/>
        <w:jc w:val="both"/>
      </w:pPr>
      <w:r w:rsidRPr="00CE593C">
        <w:t>Поставка 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B761A4" w:rsidRPr="006A7241" w:rsidRDefault="00B761A4" w:rsidP="00B761A4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>
        <w:t>до 31.07.2026г</w:t>
      </w:r>
      <w:r w:rsidRPr="006A7241">
        <w:t xml:space="preserve">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B761A4" w:rsidRPr="006A7241" w:rsidRDefault="00B761A4" w:rsidP="00B761A4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B761A4" w:rsidRPr="006A7241" w:rsidRDefault="00B761A4" w:rsidP="00B761A4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B761A4" w:rsidRPr="006A7241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B761A4" w:rsidRPr="006A7241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B761A4" w:rsidRPr="006A7241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B761A4" w:rsidRPr="006A7241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B761A4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B761A4" w:rsidRPr="00452EBB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B761A4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B761A4" w:rsidRPr="006A7241" w:rsidRDefault="00B761A4" w:rsidP="00B761A4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B761A4" w:rsidRPr="006A7241" w:rsidRDefault="00B761A4" w:rsidP="00B761A4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B761A4" w:rsidRPr="006A7241" w:rsidRDefault="00B761A4" w:rsidP="00B761A4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</w:t>
      </w:r>
      <w:r w:rsidRPr="006A7241">
        <w:lastRenderedPageBreak/>
        <w:t xml:space="preserve">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B761A4" w:rsidRPr="006A7241" w:rsidRDefault="00B761A4" w:rsidP="00B761A4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B761A4" w:rsidRPr="006A7241" w:rsidRDefault="00B761A4" w:rsidP="00B761A4">
      <w:pPr>
        <w:tabs>
          <w:tab w:val="left" w:pos="1134"/>
        </w:tabs>
        <w:ind w:firstLine="567"/>
        <w:jc w:val="both"/>
        <w:sectPr w:rsidR="00B761A4" w:rsidRPr="006A7241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B761A4" w:rsidRPr="006A7241" w:rsidRDefault="00B761A4" w:rsidP="00B761A4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B761A4" w:rsidRPr="006A7241" w:rsidRDefault="00B761A4" w:rsidP="00B761A4">
      <w:pPr>
        <w:tabs>
          <w:tab w:val="left" w:pos="284"/>
          <w:tab w:val="left" w:pos="851"/>
          <w:tab w:val="left" w:pos="993"/>
        </w:tabs>
        <w:jc w:val="right"/>
      </w:pPr>
    </w:p>
    <w:p w:rsidR="00B761A4" w:rsidRPr="006A7241" w:rsidRDefault="00B761A4" w:rsidP="00B761A4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850"/>
        <w:gridCol w:w="567"/>
        <w:gridCol w:w="3119"/>
        <w:gridCol w:w="3685"/>
        <w:gridCol w:w="1985"/>
        <w:gridCol w:w="1842"/>
      </w:tblGrid>
      <w:tr w:rsidR="00B761A4" w:rsidRPr="0036015B" w:rsidTr="00E60B67">
        <w:trPr>
          <w:trHeight w:val="170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B761A4" w:rsidRPr="0036015B" w:rsidRDefault="00B761A4" w:rsidP="00E60B67">
            <w:pPr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производитель)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измерения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B761A4" w:rsidRPr="0036015B" w:rsidRDefault="00B761A4" w:rsidP="00E60B67">
            <w:pPr>
              <w:jc w:val="center"/>
              <w:rPr>
                <w:b/>
              </w:rPr>
            </w:pPr>
          </w:p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B761A4" w:rsidRPr="0036015B" w:rsidTr="00E60B67">
        <w:trPr>
          <w:trHeight w:val="427"/>
        </w:trPr>
        <w:tc>
          <w:tcPr>
            <w:tcW w:w="567" w:type="dxa"/>
            <w:vMerge/>
            <w:vAlign w:val="center"/>
            <w:hideMark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850" w:type="dxa"/>
            <w:vMerge/>
            <w:vAlign w:val="center"/>
            <w:hideMark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567" w:type="dxa"/>
            <w:vMerge/>
            <w:vAlign w:val="center"/>
            <w:hideMark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3685" w:type="dxa"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B761A4" w:rsidRPr="0036015B" w:rsidRDefault="00B761A4" w:rsidP="00E60B67">
            <w:pPr>
              <w:jc w:val="center"/>
              <w:rPr>
                <w:b/>
              </w:rPr>
            </w:pPr>
          </w:p>
        </w:tc>
      </w:tr>
      <w:tr w:rsidR="00B761A4" w:rsidRPr="0036015B" w:rsidTr="00E60B67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B761A4" w:rsidRPr="0036015B" w:rsidRDefault="00B761A4" w:rsidP="00E60B67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t>6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B761A4" w:rsidRPr="0036015B" w:rsidRDefault="00B761A4" w:rsidP="00E60B67">
            <w:pPr>
              <w:jc w:val="center"/>
            </w:pPr>
            <w:r w:rsidRPr="0036015B"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61A4" w:rsidRPr="0036015B" w:rsidRDefault="00B761A4" w:rsidP="00E60B67">
            <w:pPr>
              <w:jc w:val="center"/>
            </w:pPr>
            <w:r w:rsidRPr="0036015B">
              <w:t>9</w:t>
            </w:r>
          </w:p>
        </w:tc>
      </w:tr>
      <w:tr w:rsidR="00B761A4" w:rsidRPr="0036015B" w:rsidTr="00E60B67">
        <w:trPr>
          <w:trHeight w:val="221"/>
        </w:trPr>
        <w:tc>
          <w:tcPr>
            <w:tcW w:w="567" w:type="dxa"/>
            <w:vMerge w:val="restart"/>
            <w:shd w:val="clear" w:color="auto" w:fill="auto"/>
          </w:tcPr>
          <w:p w:rsidR="00B761A4" w:rsidRPr="0036015B" w:rsidRDefault="00B761A4" w:rsidP="00E60B67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A4" w:rsidRPr="00903250" w:rsidRDefault="00B761A4" w:rsidP="00E60B67">
            <w:r>
              <w:t>Рассе</w:t>
            </w:r>
            <w:r w:rsidRPr="00903250">
              <w:t>в лабораторный</w:t>
            </w:r>
          </w:p>
          <w:p w:rsidR="00B761A4" w:rsidRPr="00543455" w:rsidRDefault="00B761A4" w:rsidP="00E60B67">
            <w:pPr>
              <w:rPr>
                <w:highlight w:val="yellow"/>
              </w:rPr>
            </w:pPr>
          </w:p>
          <w:p w:rsidR="00B761A4" w:rsidRPr="00543455" w:rsidRDefault="00B761A4" w:rsidP="00E60B67">
            <w:pPr>
              <w:rPr>
                <w:highlight w:val="yellow"/>
              </w:rPr>
            </w:pPr>
            <w:r w:rsidRPr="00903250">
              <w:t xml:space="preserve">ОКПД 2 </w:t>
            </w:r>
            <w:r>
              <w:t>28.93.13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  <w:r>
              <w:t>У1-ЕРЛ-10-4-2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  <w:r w:rsidRPr="0036015B">
              <w:rPr>
                <w:bCs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 w:rsidRPr="0036015B">
              <w:t>Описание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hd w:val="clear" w:color="auto" w:fill="F8F7F7"/>
              <w:spacing w:line="336" w:lineRule="atLeast"/>
              <w:textAlignment w:val="baseline"/>
              <w:rPr>
                <w:color w:val="121212"/>
              </w:rPr>
            </w:pPr>
            <w:r w:rsidRPr="00CE7694">
              <w:rPr>
                <w:color w:val="121212"/>
              </w:rPr>
              <w:t>Для очистки зерна, сортировки и калибровки семян по ГОСТ 30483-97 и ГОСТ 10854-88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 w:rsidRPr="0036015B">
              <w:t xml:space="preserve">Качественная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  <w:r w:rsidRPr="0036015B">
              <w:t>Российская Федерация</w:t>
            </w:r>
          </w:p>
        </w:tc>
      </w:tr>
      <w:tr w:rsidR="00B761A4" w:rsidRPr="0036015B" w:rsidTr="00E60B6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hd w:val="clear" w:color="auto" w:fill="FFFFFF"/>
              <w:spacing w:before="100" w:beforeAutospacing="1" w:after="100" w:afterAutospacing="1"/>
              <w:rPr>
                <w:spacing w:val="5"/>
              </w:rPr>
            </w:pPr>
            <w:r w:rsidRPr="00CE7694">
              <w:t>Производительность</w:t>
            </w:r>
            <w:r w:rsidRPr="00CE7694">
              <w:br/>
              <w:t>просеивания, кг/ч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pacing w:before="23" w:after="23"/>
              <w:jc w:val="center"/>
              <w:rPr>
                <w:spacing w:val="5"/>
              </w:rPr>
            </w:pPr>
            <w:r w:rsidRPr="00CE7694"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Default="00B761A4" w:rsidP="00E60B67">
            <w:r>
              <w:t>Коли</w:t>
            </w:r>
            <w:r w:rsidRPr="0036015B">
              <w:t>чественная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r w:rsidRPr="00EA07E7">
              <w:t>Вместимость емкости, 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pPr>
              <w:jc w:val="center"/>
            </w:pPr>
            <w:r w:rsidRPr="00EA07E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Default="00B761A4" w:rsidP="00E60B67">
            <w:r>
              <w:t>Коли</w:t>
            </w:r>
            <w:r w:rsidRPr="0036015B">
              <w:t>чественная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hd w:val="clear" w:color="auto" w:fill="FFFFFF"/>
              <w:spacing w:before="100" w:beforeAutospacing="1" w:after="100" w:afterAutospacing="1"/>
              <w:rPr>
                <w:spacing w:val="5"/>
              </w:rPr>
            </w:pPr>
            <w:r w:rsidRPr="00CE7694">
              <w:rPr>
                <w:spacing w:val="5"/>
              </w:rPr>
              <w:t xml:space="preserve">Частота колебания, 1/мин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pacing w:before="23" w:after="23"/>
              <w:jc w:val="center"/>
              <w:rPr>
                <w:highlight w:val="yellow"/>
              </w:rPr>
            </w:pPr>
            <w:r w:rsidRPr="00CE7694">
              <w:rPr>
                <w:spacing w:val="5"/>
              </w:rPr>
              <w:t>200±10%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>
              <w:t>Коли</w:t>
            </w:r>
            <w:r w:rsidRPr="0036015B">
              <w:t xml:space="preserve">чественная </w:t>
            </w:r>
          </w:p>
          <w:p w:rsidR="00B761A4" w:rsidRPr="0036015B" w:rsidRDefault="00B761A4" w:rsidP="00E60B67"/>
        </w:tc>
        <w:tc>
          <w:tcPr>
            <w:tcW w:w="1842" w:type="dxa"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pacing w:before="23" w:after="23"/>
              <w:ind w:right="-108"/>
              <w:rPr>
                <w:highlight w:val="yellow"/>
              </w:rPr>
            </w:pPr>
            <w:r w:rsidRPr="00CE7694">
              <w:rPr>
                <w:spacing w:val="5"/>
              </w:rPr>
              <w:t xml:space="preserve">Амплитуда колебания, мм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spacing w:before="23" w:after="23"/>
              <w:jc w:val="center"/>
              <w:rPr>
                <w:highlight w:val="yellow"/>
              </w:rPr>
            </w:pPr>
            <w:r w:rsidRPr="00CE7694">
              <w:rPr>
                <w:spacing w:val="5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>
              <w:t>Коли</w:t>
            </w:r>
            <w:r w:rsidRPr="0036015B">
              <w:t xml:space="preserve">чественная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r w:rsidRPr="00CE7694">
              <w:t>Установленная мощность, кВт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pPr>
              <w:jc w:val="center"/>
            </w:pPr>
            <w:r w:rsidRPr="00CE7694"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 w:rsidRPr="0036015B">
              <w:t>Качественная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r w:rsidRPr="00EA07E7">
              <w:t>Электропитание, В/Гц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pPr>
              <w:jc w:val="center"/>
            </w:pPr>
            <w:r w:rsidRPr="00EA07E7">
              <w:t>220 /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 w:rsidRPr="0036015B">
              <w:t>Качественная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CE7694" w:rsidRDefault="00B761A4" w:rsidP="00E60B67">
            <w:r w:rsidRPr="00CE7694">
              <w:t>Габаритные размеры, мм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pPr>
              <w:shd w:val="clear" w:color="auto" w:fill="F8F7F7"/>
              <w:spacing w:line="336" w:lineRule="atLeast"/>
              <w:jc w:val="center"/>
              <w:textAlignment w:val="baseline"/>
              <w:rPr>
                <w:color w:val="121212"/>
              </w:rPr>
            </w:pPr>
            <w:r w:rsidRPr="00CE7694">
              <w:rPr>
                <w:color w:val="121212"/>
              </w:rPr>
              <w:t xml:space="preserve">615 х 440 х 565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>
              <w:t>Коли</w:t>
            </w:r>
            <w:r w:rsidRPr="0036015B">
              <w:t>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  <w:tr w:rsidR="00B761A4" w:rsidRPr="0036015B" w:rsidTr="00E60B67">
        <w:trPr>
          <w:trHeight w:val="221"/>
        </w:trPr>
        <w:tc>
          <w:tcPr>
            <w:tcW w:w="567" w:type="dxa"/>
            <w:vMerge/>
            <w:shd w:val="clear" w:color="auto" w:fill="auto"/>
          </w:tcPr>
          <w:p w:rsidR="00B761A4" w:rsidRPr="0036015B" w:rsidRDefault="00B761A4" w:rsidP="00E60B6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A4" w:rsidRPr="0036015B" w:rsidRDefault="00B761A4" w:rsidP="00E60B67">
            <w:pPr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pPr>
              <w:shd w:val="clear" w:color="auto" w:fill="FFFFFF"/>
              <w:spacing w:before="23" w:after="23"/>
              <w:rPr>
                <w:spacing w:val="5"/>
              </w:rPr>
            </w:pPr>
            <w:r w:rsidRPr="00EA07E7">
              <w:rPr>
                <w:spacing w:val="5"/>
              </w:rPr>
              <w:t xml:space="preserve">В базовый комплект входит: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EA07E7" w:rsidRDefault="00B761A4" w:rsidP="00E60B67">
            <w:pPr>
              <w:jc w:val="center"/>
              <w:rPr>
                <w:spacing w:val="5"/>
              </w:rPr>
            </w:pPr>
            <w:r w:rsidRPr="00EA07E7">
              <w:rPr>
                <w:shd w:val="clear" w:color="auto" w:fill="FFFFFF"/>
              </w:rPr>
              <w:t xml:space="preserve">Количество сит: 2 (ситовая поверхность 300 х 300 мм)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761A4" w:rsidRPr="0036015B" w:rsidRDefault="00B761A4" w:rsidP="00E60B67">
            <w:r>
              <w:t>Коли</w:t>
            </w:r>
            <w:r w:rsidRPr="0036015B">
              <w:t>чественная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761A4" w:rsidRPr="0036015B" w:rsidRDefault="00B761A4" w:rsidP="00E60B67">
            <w:pPr>
              <w:jc w:val="center"/>
            </w:pPr>
          </w:p>
        </w:tc>
      </w:tr>
    </w:tbl>
    <w:p w:rsidR="00B761A4" w:rsidRDefault="00B761A4" w:rsidP="00B761A4">
      <w:pPr>
        <w:autoSpaceDE w:val="0"/>
        <w:autoSpaceDN w:val="0"/>
        <w:adjustRightInd w:val="0"/>
        <w:rPr>
          <w:color w:val="333333"/>
          <w:sz w:val="18"/>
          <w:szCs w:val="18"/>
          <w:shd w:val="clear" w:color="auto" w:fill="FFFFFF"/>
        </w:rPr>
      </w:pPr>
    </w:p>
    <w:p w:rsidR="00D30A8D" w:rsidRDefault="00D30A8D" w:rsidP="007A1AA1">
      <w:pPr>
        <w:jc w:val="center"/>
        <w:sectPr w:rsidR="00D30A8D" w:rsidSect="00D30A8D">
          <w:headerReference w:type="first" r:id="rId12"/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7A1AA1" w:rsidRPr="00945692" w:rsidRDefault="007A1AA1" w:rsidP="007A1AA1">
      <w:pPr>
        <w:jc w:val="center"/>
      </w:pPr>
      <w:r w:rsidRPr="00945692">
        <w:lastRenderedPageBreak/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D30A8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46" w:rsidRDefault="001D6846" w:rsidP="001C5648">
      <w:r>
        <w:separator/>
      </w:r>
    </w:p>
  </w:endnote>
  <w:endnote w:type="continuationSeparator" w:id="0">
    <w:p w:rsidR="001D6846" w:rsidRDefault="001D6846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7F5C47">
      <w:rPr>
        <w:rStyle w:val="a5"/>
        <w:noProof/>
        <w:sz w:val="22"/>
        <w:szCs w:val="22"/>
      </w:rPr>
      <w:t>8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1D6846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46" w:rsidRDefault="001D6846" w:rsidP="001C5648">
      <w:r>
        <w:separator/>
      </w:r>
    </w:p>
  </w:footnote>
  <w:footnote w:type="continuationSeparator" w:id="0">
    <w:p w:rsidR="001D6846" w:rsidRDefault="001D6846" w:rsidP="001C5648">
      <w:r>
        <w:continuationSeparator/>
      </w:r>
    </w:p>
  </w:footnote>
  <w:footnote w:id="1">
    <w:p w:rsidR="00B761A4" w:rsidRPr="005F04BF" w:rsidRDefault="00B761A4" w:rsidP="00B761A4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A4" w:rsidRDefault="00B761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B761A4" w:rsidRDefault="00B761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D" w:rsidRDefault="00D30A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D30A8D" w:rsidRDefault="00D3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23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26"/>
  </w:num>
  <w:num w:numId="24">
    <w:abstractNumId w:val="20"/>
  </w:num>
  <w:num w:numId="25">
    <w:abstractNumId w:val="14"/>
  </w:num>
  <w:num w:numId="26">
    <w:abstractNumId w:val="29"/>
  </w:num>
  <w:num w:numId="27">
    <w:abstractNumId w:val="13"/>
  </w:num>
  <w:num w:numId="28">
    <w:abstractNumId w:val="24"/>
  </w:num>
  <w:num w:numId="29">
    <w:abstractNumId w:val="28"/>
  </w:num>
  <w:num w:numId="30">
    <w:abstractNumId w:val="25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D6846"/>
    <w:rsid w:val="001E241B"/>
    <w:rsid w:val="002318BD"/>
    <w:rsid w:val="00265FA8"/>
    <w:rsid w:val="002663E4"/>
    <w:rsid w:val="002A5846"/>
    <w:rsid w:val="002C6626"/>
    <w:rsid w:val="002E1640"/>
    <w:rsid w:val="003148D1"/>
    <w:rsid w:val="00380FD9"/>
    <w:rsid w:val="003870E0"/>
    <w:rsid w:val="00387148"/>
    <w:rsid w:val="003C4D1B"/>
    <w:rsid w:val="003E010D"/>
    <w:rsid w:val="003E64AE"/>
    <w:rsid w:val="003F49B3"/>
    <w:rsid w:val="00480FD2"/>
    <w:rsid w:val="004A3ED3"/>
    <w:rsid w:val="004A685A"/>
    <w:rsid w:val="004C7AFC"/>
    <w:rsid w:val="00524F59"/>
    <w:rsid w:val="00525DDF"/>
    <w:rsid w:val="00525E3B"/>
    <w:rsid w:val="00542933"/>
    <w:rsid w:val="00545B3D"/>
    <w:rsid w:val="00571230"/>
    <w:rsid w:val="00585555"/>
    <w:rsid w:val="005A0287"/>
    <w:rsid w:val="005B4D3D"/>
    <w:rsid w:val="005B5F60"/>
    <w:rsid w:val="005C119A"/>
    <w:rsid w:val="005C6548"/>
    <w:rsid w:val="005D505C"/>
    <w:rsid w:val="005F7A32"/>
    <w:rsid w:val="00625270"/>
    <w:rsid w:val="00662AB8"/>
    <w:rsid w:val="00666048"/>
    <w:rsid w:val="006751B9"/>
    <w:rsid w:val="006A5507"/>
    <w:rsid w:val="006D74F1"/>
    <w:rsid w:val="006E188B"/>
    <w:rsid w:val="006E404B"/>
    <w:rsid w:val="007161F8"/>
    <w:rsid w:val="0072383C"/>
    <w:rsid w:val="00737773"/>
    <w:rsid w:val="00741731"/>
    <w:rsid w:val="00776AE9"/>
    <w:rsid w:val="007A1AA1"/>
    <w:rsid w:val="007B23EC"/>
    <w:rsid w:val="007F5C47"/>
    <w:rsid w:val="00811206"/>
    <w:rsid w:val="00817F31"/>
    <w:rsid w:val="00831BBD"/>
    <w:rsid w:val="008367C2"/>
    <w:rsid w:val="008954A0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97000"/>
    <w:rsid w:val="00AB1300"/>
    <w:rsid w:val="00AC120B"/>
    <w:rsid w:val="00AC3581"/>
    <w:rsid w:val="00AC41DF"/>
    <w:rsid w:val="00AD19A4"/>
    <w:rsid w:val="00AD24D6"/>
    <w:rsid w:val="00B02168"/>
    <w:rsid w:val="00B06F01"/>
    <w:rsid w:val="00B761A4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02B1"/>
    <w:rsid w:val="00C547D8"/>
    <w:rsid w:val="00C93707"/>
    <w:rsid w:val="00CA62BD"/>
    <w:rsid w:val="00CD4D31"/>
    <w:rsid w:val="00CE057A"/>
    <w:rsid w:val="00CF2439"/>
    <w:rsid w:val="00D30A8D"/>
    <w:rsid w:val="00D31D72"/>
    <w:rsid w:val="00D65D33"/>
    <w:rsid w:val="00D67A6D"/>
    <w:rsid w:val="00DC751D"/>
    <w:rsid w:val="00DE6994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A7D57"/>
    <w:rsid w:val="00ED2519"/>
    <w:rsid w:val="00ED2B3F"/>
    <w:rsid w:val="00EE4EF4"/>
    <w:rsid w:val="00EF0D62"/>
    <w:rsid w:val="00F02987"/>
    <w:rsid w:val="00F05E35"/>
    <w:rsid w:val="00F17FF5"/>
    <w:rsid w:val="00F40FFA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D025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71</TotalTime>
  <Pages>12</Pages>
  <Words>4690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32</cp:revision>
  <dcterms:created xsi:type="dcterms:W3CDTF">2025-03-04T07:27:00Z</dcterms:created>
  <dcterms:modified xsi:type="dcterms:W3CDTF">2026-06-16T10:22:00Z</dcterms:modified>
</cp:coreProperties>
</file>