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06"/>
        <w:pBdr/>
        <w:spacing/>
        <w:ind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</w:t>
      </w:r>
      <w:r>
        <w:rPr>
          <w:b/>
          <w:bCs/>
          <w:sz w:val="22"/>
          <w:szCs w:val="22"/>
        </w:rPr>
        <w:t xml:space="preserve">ДОГОВОР НА ПОСТАВКУ ТОВАРА №________</w:t>
      </w:r>
      <w:r>
        <w:rPr>
          <w:b/>
          <w:bCs/>
          <w:sz w:val="22"/>
          <w:szCs w:val="22"/>
        </w:rPr>
      </w:r>
    </w:p>
    <w:p>
      <w:pPr>
        <w:pStyle w:val="706"/>
        <w:pBdr/>
        <w:spacing/>
        <w:ind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ИКЗ:</w:t>
      </w:r>
      <w:r>
        <w:rPr>
          <w:rFonts w:ascii="Tahoma;Geneva;sans-serif" w:hAnsi="Tahoma;Geneva;sans-serif" w:eastAsia="Tahoma" w:cs="Tahoma"/>
          <w:b w:val="0"/>
          <w:i w:val="0"/>
          <w:caps w:val="0"/>
          <w:smallCaps w:val="0"/>
          <w:color w:val="000000"/>
          <w:spacing w:val="0"/>
          <w:sz w:val="20"/>
          <w:szCs w:val="22"/>
        </w:rPr>
        <w:t xml:space="preserve">261434600765643450100100290000000244</w:t>
      </w:r>
      <w:r>
        <w:rPr>
          <w:rFonts w:ascii="Tahoma" w:hAnsi="Tahoma" w:eastAsia="Tahoma" w:cs="Tahoma"/>
          <w:color w:val="000000"/>
          <w:sz w:val="20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</w:p>
    <w:p>
      <w:pPr>
        <w:pStyle w:val="706"/>
        <w:pBdr/>
        <w:spacing/>
        <w:ind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г. Киров</w:t>
        <w:tab/>
        <w:t xml:space="preserve">                                                                                                       « ___  » ________________ 2026 г</w:t>
      </w:r>
      <w:r>
        <w:t xml:space="preserve">.</w:t>
      </w:r>
      <w:r>
        <w:rPr>
          <w:sz w:val="22"/>
          <w:szCs w:val="22"/>
        </w:rPr>
      </w:r>
    </w:p>
    <w:p>
      <w:pPr>
        <w:pStyle w:val="706"/>
        <w:pBdr/>
        <w:spacing/>
        <w:ind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706"/>
        <w:pBdr/>
        <w:spacing/>
        <w:ind/>
        <w:jc w:val="both"/>
        <w:rPr>
          <w:sz w:val="19"/>
          <w:szCs w:val="19"/>
          <w:lang w:eastAsia="ru-RU"/>
        </w:rPr>
      </w:pPr>
      <w:r>
        <w:rPr>
          <w:sz w:val="22"/>
          <w:szCs w:val="22"/>
        </w:rPr>
        <w:t xml:space="preserve">___________________________, действующий на основании </w:t>
      </w:r>
      <w:r>
        <w:rPr>
          <w:color w:val="2d2d2d"/>
          <w:sz w:val="22"/>
          <w:szCs w:val="22"/>
        </w:rPr>
        <w:t xml:space="preserve">_____________________________,</w:t>
      </w:r>
      <w:r>
        <w:rPr>
          <w:sz w:val="22"/>
          <w:szCs w:val="22"/>
        </w:rPr>
        <w:t xml:space="preserve"> в лице                                      , именуемый в дальнейшем </w:t>
      </w:r>
      <w:r>
        <w:rPr>
          <w:b/>
          <w:sz w:val="22"/>
          <w:szCs w:val="22"/>
        </w:rPr>
        <w:t xml:space="preserve">«Поставщик</w:t>
      </w:r>
      <w:r>
        <w:rPr>
          <w:bCs/>
          <w:sz w:val="22"/>
          <w:szCs w:val="22"/>
        </w:rPr>
        <w:t xml:space="preserve">», с одной </w:t>
      </w:r>
      <w:r>
        <w:rPr>
          <w:sz w:val="22"/>
          <w:szCs w:val="22"/>
        </w:rPr>
        <w:t xml:space="preserve">стороны, и </w:t>
      </w:r>
      <w:r>
        <w:rPr>
          <w:b/>
          <w:bCs/>
          <w:sz w:val="22"/>
          <w:szCs w:val="22"/>
        </w:rPr>
        <w:t xml:space="preserve">ФГБУН КНИИГиПК ФМБА России</w:t>
      </w:r>
      <w:r>
        <w:rPr>
          <w:sz w:val="22"/>
          <w:szCs w:val="22"/>
        </w:rPr>
        <w:t xml:space="preserve">, именуемое в дальнейшем  «</w:t>
      </w:r>
      <w:r>
        <w:rPr>
          <w:b/>
          <w:bCs/>
          <w:sz w:val="22"/>
          <w:szCs w:val="22"/>
        </w:rPr>
        <w:t xml:space="preserve">Покупатель</w:t>
      </w:r>
      <w:r>
        <w:rPr>
          <w:sz w:val="22"/>
          <w:szCs w:val="22"/>
        </w:rPr>
        <w:t xml:space="preserve">», в лице директора Парамонова Игоря Владимировича, действующего на основании Устава, </w:t>
      </w:r>
      <w:r>
        <w:rPr>
          <w:rFonts w:eastAsia="Times New Roman" w:cs="Times New Roman"/>
          <w:bCs/>
          <w:sz w:val="22"/>
          <w:szCs w:val="24"/>
          <w:shd w:val="clear" w:color="auto" w:fill="ffffff"/>
          <w:lang w:eastAsia="ru-RU"/>
        </w:rPr>
        <w:t xml:space="preserve">в соответствии с п.4 ч.1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договор о нижеследующем:</w:t>
      </w:r>
      <w:r>
        <w:rPr>
          <w:sz w:val="19"/>
          <w:szCs w:val="19"/>
          <w:lang w:eastAsia="ru-RU"/>
        </w:rPr>
      </w:r>
    </w:p>
    <w:p>
      <w:pPr>
        <w:pStyle w:val="706"/>
        <w:pBdr/>
        <w:spacing/>
        <w:ind/>
        <w:jc w:val="both"/>
        <w:rPr>
          <w:sz w:val="19"/>
          <w:szCs w:val="19"/>
          <w:lang w:eastAsia="ru-RU"/>
        </w:rPr>
      </w:pPr>
      <w:r>
        <w:rPr>
          <w:sz w:val="19"/>
          <w:szCs w:val="19"/>
          <w:lang w:eastAsia="ru-RU"/>
        </w:rPr>
      </w:r>
      <w:r>
        <w:rPr>
          <w:sz w:val="19"/>
          <w:szCs w:val="19"/>
          <w:lang w:eastAsia="ru-RU"/>
        </w:rPr>
      </w:r>
    </w:p>
    <w:p>
      <w:pPr>
        <w:pStyle w:val="706"/>
        <w:pBdr/>
        <w:spacing/>
        <w:ind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ПРЕДМЕТ ДОГОВОРА</w:t>
      </w:r>
      <w:r>
        <w:rPr>
          <w:sz w:val="22"/>
          <w:szCs w:val="22"/>
        </w:rPr>
      </w:r>
    </w:p>
    <w:p>
      <w:pPr>
        <w:pStyle w:val="840"/>
        <w:pBdr/>
        <w:tabs>
          <w:tab w:val="left" w:leader="none" w:pos="0"/>
          <w:tab w:val="clear" w:leader="none" w:pos="709"/>
        </w:tabs>
        <w:spacing/>
        <w:ind w:firstLine="0"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</w:t>
        <w:tab/>
        <w:t xml:space="preserve">Поставщик обязуется поставить, а Покупатель принять и оплатить на условиях настоящего договора товары в соответствии со Спецификацией (Приложение №1 к Договору).</w:t>
      </w:r>
      <w:r>
        <w:rPr>
          <w:sz w:val="22"/>
          <w:szCs w:val="22"/>
        </w:rPr>
      </w:r>
    </w:p>
    <w:p>
      <w:pPr>
        <w:pStyle w:val="840"/>
        <w:pBdr/>
        <w:tabs>
          <w:tab w:val="left" w:leader="none" w:pos="360"/>
          <w:tab w:val="clear" w:leader="none" w:pos="709"/>
        </w:tabs>
        <w:spacing/>
        <w:ind w:firstLine="0" w:left="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06"/>
        <w:numPr>
          <w:ilvl w:val="0"/>
          <w:numId w:val="1"/>
        </w:numPr>
        <w:pBdr/>
        <w:tabs>
          <w:tab w:val="clear" w:leader="none" w:pos="709"/>
          <w:tab w:val="left" w:leader="none" w:pos="720"/>
        </w:tabs>
        <w:spacing/>
        <w:ind w:firstLine="0" w:left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ЦЕНА, ПОРЯДОК И УСЛОВИЯ РАСЧЕТОВ</w:t>
      </w:r>
      <w:r>
        <w:rPr>
          <w:sz w:val="22"/>
          <w:szCs w:val="22"/>
        </w:rPr>
      </w:r>
    </w:p>
    <w:p>
      <w:pPr>
        <w:pStyle w:val="706"/>
        <w:pBdr/>
        <w:spacing/>
        <w:ind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2.1 Общая стоимость товаров оценивается сторонами</w:t>
      </w:r>
      <w:r>
        <w:rPr>
          <w:b/>
          <w:bCs/>
          <w:sz w:val="22"/>
          <w:szCs w:val="22"/>
        </w:rPr>
        <w:t xml:space="preserve">             </w:t>
      </w:r>
      <w:r>
        <w:rPr>
          <w:b/>
          <w:bCs/>
          <w:sz w:val="22"/>
          <w:szCs w:val="22"/>
        </w:rPr>
      </w:r>
    </w:p>
    <w:p>
      <w:pPr>
        <w:pStyle w:val="706"/>
        <w:pBdr/>
        <w:spacing/>
        <w:ind/>
        <w:jc w:val="both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2.2 Расчеты за товар производятся Покупателем путем безналичного перечисления денежных средств на расчетный счет в течение 7 (семи) рабочих дней с даты подписания Покупателем документов о приемке:</w:t>
      </w:r>
      <w:r>
        <w:rPr>
          <w:sz w:val="22"/>
          <w:szCs w:val="22"/>
          <w:highlight w:val="none"/>
        </w:rPr>
      </w:r>
    </w:p>
    <w:p>
      <w:pPr>
        <w:pStyle w:val="706"/>
        <w:pBdr/>
        <w:spacing/>
        <w:ind/>
        <w:jc w:val="left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 </w:t>
      </w:r>
      <w:r>
        <w:rPr>
          <w:rFonts w:eastAsia="Arial" w:cs="Times New Roman" w:eastAsiaTheme="minorHAnsi"/>
          <w:color w:val="000000" w:themeColor="text1"/>
          <w:sz w:val="22"/>
          <w:szCs w:val="22"/>
        </w:rPr>
        <w:t xml:space="preserve">-счета/- счета-фактуры;</w:t>
        <w:br/>
        <w:t xml:space="preserve">- товарной накладной (товарных накладных) </w:t>
      </w:r>
      <w:r>
        <w:rPr>
          <w:rFonts w:eastAsia="Arial" w:cs="Times New Roman" w:eastAsiaTheme="minorHAnsi"/>
          <w:color w:val="000000" w:themeColor="text1"/>
          <w:sz w:val="22"/>
          <w:szCs w:val="22"/>
        </w:rPr>
        <w:t xml:space="preserve">или УПД.</w:t>
      </w:r>
      <w:r/>
      <w:r>
        <w:rPr>
          <w:rFonts w:eastAsia="Arial" w:cs="Times New Roman" w:eastAsiaTheme="minorHAnsi"/>
          <w:color w:val="000000" w:themeColor="text1"/>
          <w:sz w:val="22"/>
          <w:szCs w:val="22"/>
        </w:rPr>
      </w:r>
      <w:r>
        <w:rPr>
          <w:rFonts w:eastAsiaTheme="minorHAnsi"/>
        </w:rPr>
      </w:r>
      <w:r>
        <w:rPr>
          <w:sz w:val="22"/>
          <w:szCs w:val="22"/>
          <w:highlight w:val="none"/>
        </w:rPr>
      </w:r>
    </w:p>
    <w:p>
      <w:pPr>
        <w:pStyle w:val="706"/>
        <w:pBdr/>
        <w:spacing/>
        <w:ind/>
        <w:jc w:val="both"/>
        <w:rPr/>
      </w:pPr>
      <w:r>
        <w:rPr>
          <w:rFonts w:eastAsia="Arial" w:eastAsiaTheme="minorHAnsi"/>
          <w:sz w:val="22"/>
          <w:szCs w:val="22"/>
        </w:rPr>
        <w:t xml:space="preserve">2.3. </w:t>
      </w:r>
      <w:r>
        <w:rPr>
          <w:rFonts w:eastAsia="Arial" w:cs="Times New Roman" w:eastAsiaTheme="minorHAnsi"/>
          <w:color w:val="000000" w:themeColor="text1"/>
          <w:sz w:val="22"/>
          <w:szCs w:val="22"/>
          <w:lang w:eastAsia="en-US"/>
        </w:rPr>
        <w:t xml:space="preserve">Место поставки товара: Российская Федерация, Кировская область, г. Киров, ул. Красноармейская, д. 76,  (складское помещение) Заказчика, телефон (8332) 57-96-24. Время поставки: понедельник – пятница, с 8 ч.00 мин. до 16 ч. 00 мин. (время московское) </w:t>
      </w:r>
      <w:r>
        <w:rPr>
          <w:rFonts w:eastAsiaTheme="minorHAnsi"/>
        </w:rPr>
      </w:r>
      <w:r/>
    </w:p>
    <w:p>
      <w:pPr>
        <w:pStyle w:val="706"/>
        <w:pBdr/>
        <w:spacing/>
        <w:ind/>
        <w:jc w:val="both"/>
        <w:rPr>
          <w:b/>
          <w:sz w:val="22"/>
          <w:szCs w:val="22"/>
        </w:rPr>
      </w:pPr>
      <w:r>
        <w:rPr>
          <w:rFonts w:eastAsiaTheme="minorHAnsi"/>
          <w:b/>
          <w:sz w:val="22"/>
          <w:szCs w:val="22"/>
        </w:rPr>
      </w:r>
      <w:r>
        <w:rPr>
          <w:rFonts w:eastAsiaTheme="minorHAnsi"/>
        </w:rPr>
      </w:r>
      <w:r>
        <w:rPr>
          <w:b/>
          <w:sz w:val="22"/>
          <w:szCs w:val="22"/>
        </w:rPr>
      </w:r>
    </w:p>
    <w:p>
      <w:pPr>
        <w:pStyle w:val="706"/>
        <w:pBdr/>
        <w:spacing/>
        <w:ind/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</w:rPr>
      </w:r>
      <w:r>
        <w:rPr>
          <w:rFonts w:eastAsiaTheme="minorHAnsi"/>
        </w:rPr>
      </w:r>
      <w:r>
        <w:rPr>
          <w:sz w:val="22"/>
          <w:szCs w:val="22"/>
        </w:rPr>
      </w:r>
    </w:p>
    <w:p>
      <w:pPr>
        <w:pStyle w:val="706"/>
        <w:pBdr/>
        <w:spacing/>
        <w:ind/>
        <w:jc w:val="center"/>
        <w:rPr>
          <w:sz w:val="22"/>
          <w:szCs w:val="22"/>
        </w:rPr>
      </w:pPr>
      <w:r>
        <w:rPr>
          <w:rFonts w:eastAsia="Arial" w:eastAsiaTheme="minorHAnsi"/>
          <w:b/>
          <w:bCs/>
          <w:sz w:val="22"/>
          <w:szCs w:val="22"/>
        </w:rPr>
        <w:t xml:space="preserve">3.</w:t>
        <w:tab/>
        <w:t xml:space="preserve">ПОРЯДОК ПОСТАВКИ И КАЧЕСТВА ТОВАРА</w:t>
      </w:r>
      <w:r>
        <w:rPr>
          <w:rFonts w:eastAsiaTheme="minorHAnsi"/>
        </w:rPr>
      </w:r>
      <w:r>
        <w:rPr>
          <w:sz w:val="22"/>
          <w:szCs w:val="22"/>
        </w:rPr>
      </w:r>
    </w:p>
    <w:p>
      <w:pPr>
        <w:pStyle w:val="706"/>
        <w:pBdr/>
        <w:spacing/>
        <w:ind/>
        <w:jc w:val="both"/>
        <w:rPr>
          <w:sz w:val="22"/>
          <w:szCs w:val="22"/>
        </w:rPr>
      </w:pPr>
      <w:r>
        <w:rPr>
          <w:rFonts w:eastAsia="Arial" w:eastAsiaTheme="minorHAnsi"/>
          <w:sz w:val="22"/>
          <w:szCs w:val="22"/>
        </w:rPr>
        <w:t xml:space="preserve">3.1 </w:t>
      </w:r>
      <w:r>
        <w:rPr>
          <w:rFonts w:eastAsia="Arial" w:cs="Arial" w:eastAsiaTheme="minorHAnsi"/>
          <w:sz w:val="21"/>
          <w:szCs w:val="21"/>
        </w:rPr>
        <w:t xml:space="preserve"> Поставка товара в адрес Покупателя осуществляется Поставщиком за свой счет и своими силами</w:t>
      </w:r>
      <w:r>
        <w:rPr>
          <w:rFonts w:eastAsia="Arial" w:cs="Arial" w:eastAsiaTheme="minorHAnsi"/>
          <w:b/>
          <w:sz w:val="21"/>
          <w:szCs w:val="21"/>
        </w:rPr>
        <w:t xml:space="preserve"> в течение 20 (двадцати) календарных дней</w:t>
      </w:r>
      <w:r>
        <w:rPr>
          <w:rFonts w:eastAsia="Arial" w:cs="Arial" w:eastAsiaTheme="minorHAnsi"/>
          <w:sz w:val="21"/>
          <w:szCs w:val="21"/>
        </w:rPr>
        <w:t xml:space="preserve"> с даты подписания договора. </w:t>
      </w:r>
      <w:r>
        <w:rPr>
          <w:rFonts w:eastAsia="Arial" w:eastAsiaTheme="minorHAnsi"/>
          <w:sz w:val="22"/>
          <w:szCs w:val="22"/>
        </w:rPr>
        <w:t xml:space="preserve">При передаче товара Покупателю, Поставщик передает ему </w:t>
      </w:r>
      <w:r>
        <w:rPr>
          <w:rFonts w:eastAsia="Arial" w:eastAsiaTheme="minorHAnsi"/>
          <w:b/>
          <w:sz w:val="22"/>
          <w:szCs w:val="22"/>
        </w:rPr>
        <w:t xml:space="preserve">универсальный передаточный документ (УПД) </w:t>
      </w:r>
      <w:r>
        <w:rPr>
          <w:rFonts w:eastAsia="Arial" w:eastAsiaTheme="minorHAnsi"/>
          <w:sz w:val="22"/>
          <w:szCs w:val="22"/>
        </w:rPr>
        <w:t xml:space="preserve">в качестве первичного документа и счета-фактуры; документы, удостоверяющие качество товара.</w:t>
      </w:r>
      <w:r>
        <w:rPr>
          <w:rFonts w:eastAsiaTheme="minorHAnsi"/>
        </w:rPr>
      </w:r>
      <w:r>
        <w:rPr>
          <w:sz w:val="22"/>
          <w:szCs w:val="22"/>
        </w:rPr>
      </w:r>
    </w:p>
    <w:p>
      <w:pPr>
        <w:pStyle w:val="706"/>
        <w:pBdr/>
        <w:spacing/>
        <w:ind/>
        <w:jc w:val="both"/>
        <w:rPr>
          <w:sz w:val="22"/>
          <w:szCs w:val="22"/>
        </w:rPr>
      </w:pPr>
      <w:r>
        <w:rPr>
          <w:rFonts w:eastAsia="Arial" w:eastAsiaTheme="minorHAnsi"/>
          <w:sz w:val="22"/>
          <w:szCs w:val="22"/>
        </w:rPr>
        <w:t xml:space="preserve">3.2 Право собственности на товар переходит Покупателю в момент передачи ему товара по адресу Покупателя. Моментом пер</w:t>
      </w:r>
      <w:r>
        <w:rPr>
          <w:rFonts w:eastAsia="Arial" w:eastAsiaTheme="minorHAnsi"/>
          <w:sz w:val="22"/>
          <w:szCs w:val="22"/>
        </w:rPr>
        <w:t xml:space="preserve">едачи товара Покупателю считается факт заверения УПД Поставщика подписями Покупателя или его уполномоченного  представителя. Полномочия  представителя Покупателя должны подтверждаться доверенностью от Покупателя на получение товарно-материальных ценностей.</w:t>
      </w:r>
      <w:r>
        <w:rPr>
          <w:rFonts w:eastAsiaTheme="minorHAnsi"/>
        </w:rPr>
      </w:r>
      <w:r>
        <w:rPr>
          <w:sz w:val="22"/>
          <w:szCs w:val="22"/>
        </w:rPr>
      </w:r>
    </w:p>
    <w:p>
      <w:pPr>
        <w:pStyle w:val="706"/>
        <w:pBdr/>
        <w:spacing/>
        <w:ind/>
        <w:jc w:val="both"/>
        <w:rPr>
          <w:sz w:val="22"/>
          <w:szCs w:val="22"/>
        </w:rPr>
      </w:pPr>
      <w:r>
        <w:rPr>
          <w:rFonts w:eastAsia="Arial" w:eastAsiaTheme="minorHAnsi"/>
          <w:sz w:val="22"/>
          <w:szCs w:val="22"/>
        </w:rPr>
        <w:t xml:space="preserve">3.3. Поставщик  обеспечивает  погрузку товара на транспортное средство  Покупателя  своим силами   средствами в месте нахождения товара – на складе Поставщика. Доставка товара Покупателю осуществляется по согласованию сторон.</w:t>
      </w:r>
      <w:r>
        <w:rPr>
          <w:rFonts w:eastAsiaTheme="minorHAnsi"/>
        </w:rPr>
      </w:r>
      <w:r>
        <w:rPr>
          <w:sz w:val="22"/>
          <w:szCs w:val="22"/>
        </w:rPr>
      </w:r>
    </w:p>
    <w:p>
      <w:pPr>
        <w:pStyle w:val="706"/>
        <w:pBdr/>
        <w:spacing/>
        <w:ind/>
        <w:jc w:val="both"/>
        <w:rPr>
          <w:sz w:val="22"/>
          <w:szCs w:val="22"/>
        </w:rPr>
      </w:pPr>
      <w:r>
        <w:rPr>
          <w:rFonts w:eastAsia="Arial" w:eastAsiaTheme="minorHAnsi"/>
          <w:sz w:val="22"/>
          <w:szCs w:val="22"/>
        </w:rPr>
        <w:t xml:space="preserve">3.4.Качество товара должно соответствовать паспорту завода-изготовителя, либо сертификату соответствия, оформленному в установленном порядке.</w:t>
      </w:r>
      <w:r>
        <w:rPr>
          <w:rFonts w:eastAsiaTheme="minorHAnsi"/>
        </w:rPr>
      </w:r>
      <w:r>
        <w:rPr>
          <w:sz w:val="22"/>
          <w:szCs w:val="22"/>
        </w:rPr>
      </w:r>
    </w:p>
    <w:p>
      <w:pPr>
        <w:pStyle w:val="706"/>
        <w:pBdr/>
        <w:spacing/>
        <w:ind/>
        <w:jc w:val="both"/>
        <w:rPr>
          <w:sz w:val="22"/>
          <w:szCs w:val="22"/>
        </w:rPr>
      </w:pPr>
      <w:r>
        <w:rPr>
          <w:rFonts w:eastAsia="Arial" w:eastAsiaTheme="minorHAnsi"/>
          <w:sz w:val="22"/>
          <w:szCs w:val="22"/>
        </w:rPr>
        <w:t xml:space="preserve">3.5. Приемка това</w:t>
      </w:r>
      <w:r>
        <w:rPr>
          <w:rFonts w:eastAsia="Arial" w:eastAsiaTheme="minorHAnsi"/>
          <w:sz w:val="22"/>
          <w:szCs w:val="22"/>
        </w:rPr>
        <w:t xml:space="preserve">ра Покупателем осуществляется в соответствии с Инструкциями Госарбитража СССР  о порядке приемки продукции производственно-технического назначения по количеству П-6 и по качеству П-7 в части, не противоречащей действующему гражданскому законодательству РФ.</w:t>
      </w:r>
      <w:r>
        <w:rPr>
          <w:rFonts w:eastAsiaTheme="minorHAnsi"/>
        </w:rPr>
      </w:r>
      <w:r>
        <w:rPr>
          <w:sz w:val="22"/>
          <w:szCs w:val="22"/>
        </w:rPr>
      </w:r>
    </w:p>
    <w:p>
      <w:pPr>
        <w:pStyle w:val="706"/>
        <w:pBdr/>
        <w:spacing/>
        <w:ind/>
        <w:jc w:val="both"/>
        <w:rPr>
          <w:sz w:val="22"/>
          <w:szCs w:val="22"/>
          <w:highlight w:val="none"/>
        </w:rPr>
      </w:pPr>
      <w:r>
        <w:rPr>
          <w:rFonts w:eastAsia="Arial" w:eastAsiaTheme="minorHAnsi"/>
          <w:sz w:val="22"/>
          <w:szCs w:val="22"/>
        </w:rPr>
        <w:t xml:space="preserve">3.6. Уполномоченный представитель Покупателя в присутствии представителя Поставщика проверяет целостность наружной упаковки, содержание грузовых мест, соответствие количества и наименование </w:t>
      </w:r>
      <w:r>
        <w:rPr>
          <w:rFonts w:eastAsia="Arial" w:eastAsiaTheme="minorHAnsi"/>
          <w:sz w:val="22"/>
          <w:szCs w:val="22"/>
        </w:rPr>
        <w:t xml:space="preserve">товара, количеству и наименованию, указанному в УПД на эту партию, подписывает  УПД и передает один экземпляр документа вместе с доверенностью представителю Поставщика, после чего все условия соответствующих документов считаются акцептованными Покупателем.</w:t>
      </w:r>
      <w:r>
        <w:rPr>
          <w:rFonts w:eastAsiaTheme="minorHAnsi"/>
        </w:rPr>
      </w:r>
      <w:r>
        <w:rPr>
          <w:sz w:val="22"/>
          <w:szCs w:val="22"/>
          <w:highlight w:val="none"/>
        </w:rPr>
      </w:r>
    </w:p>
    <w:p>
      <w:pPr>
        <w:pStyle w:val="706"/>
        <w:pBdr/>
        <w:spacing w:line="271" w:lineRule="auto"/>
        <w:ind w:firstLine="0"/>
        <w:jc w:val="both"/>
        <w:rPr>
          <w:sz w:val="22"/>
          <w:szCs w:val="28"/>
        </w:rPr>
      </w:pPr>
      <w:r>
        <w:rPr>
          <w:rFonts w:eastAsia="Arial" w:eastAsiaTheme="minorHAnsi"/>
          <w:sz w:val="22"/>
          <w:szCs w:val="22"/>
        </w:rPr>
        <w:t xml:space="preserve">3.7.При приемке товаров, работ, усл</w:t>
      </w:r>
      <w:r>
        <w:rPr>
          <w:rFonts w:eastAsia="Arial" w:eastAsiaTheme="minorHAnsi"/>
          <w:sz w:val="22"/>
          <w:szCs w:val="22"/>
        </w:rPr>
        <w:t xml:space="preserve">уг по контрактам, информация о которых не размещается в реестре контрактов на единой информационной системе в сфере закупок, Заказчиком формируется Акт приемки (форма по ОКУД 0510452, утв. Приказом Минфина России от 15.04.2021 N 61н) (далее - Акт приемки).</w:t>
      </w:r>
      <w:r>
        <w:rPr>
          <w:rFonts w:eastAsiaTheme="minorHAnsi"/>
        </w:rPr>
      </w:r>
      <w:r>
        <w:rPr>
          <w:sz w:val="22"/>
          <w:szCs w:val="28"/>
        </w:rPr>
      </w:r>
    </w:p>
    <w:p>
      <w:pPr>
        <w:pStyle w:val="803"/>
        <w:pBdr/>
        <w:spacing w:after="0" w:before="0"/>
        <w:ind w:right="0" w:firstLine="0" w:left="0"/>
        <w:rPr/>
      </w:pPr>
      <w:r>
        <w:rPr>
          <w:rFonts w:eastAsia="Arial" w:eastAsiaTheme="minorHAnsi"/>
        </w:rPr>
        <w:t xml:space="preserve">Акт приемки формируется на основании документов подтверждающих отгрузку товаров, работ, услуг (УПД, товарные накладные, акты выполненных работ, акты сдачи-приемки оказанных услуг, и т. п.). </w:t>
      </w:r>
      <w:r>
        <w:rPr>
          <w:rFonts w:eastAsia="Arial" w:cs="Times New Roman" w:eastAsiaTheme="minorHAnsi"/>
          <w:sz w:val="22"/>
          <w:szCs w:val="28"/>
          <w:shd w:val="clear" w:color="auto" w:fill="auto"/>
          <w:lang w:val="ru-RU"/>
        </w:rPr>
        <w:t xml:space="preserve">Вторая сторона </w:t>
      </w:r>
      <w:r>
        <w:rPr>
          <w:rFonts w:eastAsia="Arial" w:cs="Times New Roman" w:eastAsiaTheme="minorHAnsi"/>
          <w:sz w:val="22"/>
          <w:szCs w:val="28"/>
          <w:shd w:val="clear" w:color="auto" w:fill="auto"/>
          <w:lang w:val="ru-RU"/>
        </w:rPr>
        <w:t xml:space="preserve">обязана обеспечить  подписание Акта приемки своим уполномоченным представителем через__________________________ (указывается способ получения акта второй стороной: через СБИС, 1С, по электронной почте  - указывается адрес, на который будет направлен акт.).</w:t>
      </w:r>
      <w:r>
        <w:rPr>
          <w:rFonts w:eastAsiaTheme="minorHAnsi"/>
        </w:rPr>
      </w:r>
      <w:r/>
    </w:p>
    <w:p>
      <w:pPr>
        <w:pStyle w:val="706"/>
        <w:pBdr/>
        <w:spacing/>
        <w:ind/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</w:rPr>
      </w:r>
      <w:r>
        <w:rPr>
          <w:rFonts w:eastAsiaTheme="minorHAnsi"/>
        </w:rPr>
      </w:r>
      <w:r>
        <w:rPr>
          <w:sz w:val="22"/>
          <w:szCs w:val="22"/>
        </w:rPr>
      </w:r>
    </w:p>
    <w:p>
      <w:pPr>
        <w:pStyle w:val="706"/>
        <w:pBdr/>
        <w:spacing/>
        <w:ind/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</w:rPr>
      </w:r>
      <w:r>
        <w:rPr>
          <w:rFonts w:eastAsiaTheme="minorHAnsi"/>
        </w:rPr>
      </w:r>
      <w:r>
        <w:rPr>
          <w:sz w:val="22"/>
          <w:szCs w:val="22"/>
        </w:rPr>
      </w:r>
    </w:p>
    <w:p>
      <w:pPr>
        <w:pStyle w:val="706"/>
        <w:pBdr/>
        <w:spacing/>
        <w:ind/>
        <w:jc w:val="center"/>
        <w:rPr>
          <w:sz w:val="22"/>
          <w:szCs w:val="22"/>
        </w:rPr>
      </w:pPr>
      <w:r>
        <w:rPr>
          <w:rFonts w:eastAsia="Arial" w:eastAsiaTheme="minorHAnsi"/>
          <w:b/>
          <w:bCs/>
          <w:sz w:val="22"/>
          <w:szCs w:val="22"/>
        </w:rPr>
        <w:t xml:space="preserve">4.</w:t>
        <w:tab/>
        <w:t xml:space="preserve">РАЗРЕШЕНИЕ СПОРОВ</w:t>
      </w:r>
      <w:r>
        <w:rPr>
          <w:rFonts w:eastAsiaTheme="minorHAnsi"/>
        </w:rPr>
      </w:r>
      <w:r>
        <w:rPr>
          <w:sz w:val="22"/>
          <w:szCs w:val="22"/>
        </w:rPr>
      </w:r>
    </w:p>
    <w:p>
      <w:pPr>
        <w:pStyle w:val="706"/>
        <w:pBdr/>
        <w:spacing/>
        <w:ind/>
        <w:jc w:val="both"/>
        <w:rPr>
          <w:sz w:val="22"/>
          <w:szCs w:val="22"/>
        </w:rPr>
      </w:pPr>
      <w:r>
        <w:rPr>
          <w:rFonts w:eastAsia="Arial" w:eastAsiaTheme="minorHAnsi"/>
          <w:sz w:val="22"/>
          <w:szCs w:val="22"/>
        </w:rPr>
        <w:t xml:space="preserve">4.1. Во всем, что не предусмотрено настоящим договором,   стороны  руководствуются действующим законодательством Российской Федерации.</w:t>
      </w:r>
      <w:r>
        <w:rPr>
          <w:rFonts w:eastAsiaTheme="minorHAnsi"/>
        </w:rPr>
      </w:r>
      <w:r>
        <w:rPr>
          <w:sz w:val="22"/>
          <w:szCs w:val="22"/>
        </w:rPr>
      </w:r>
    </w:p>
    <w:p>
      <w:pPr>
        <w:pStyle w:val="706"/>
        <w:pBdr/>
        <w:spacing/>
        <w:ind/>
        <w:jc w:val="both"/>
        <w:rPr>
          <w:sz w:val="22"/>
          <w:szCs w:val="22"/>
        </w:rPr>
      </w:pPr>
      <w:r>
        <w:rPr>
          <w:rFonts w:eastAsia="Arial" w:eastAsiaTheme="minorHAnsi"/>
          <w:sz w:val="22"/>
          <w:szCs w:val="22"/>
        </w:rPr>
        <w:t xml:space="preserve">4.2. Стороны выражают готовность приложить все усилия для мирного разрешения споров, которые могут возникнуть при исполнении договора. </w:t>
      </w:r>
      <w:r>
        <w:rPr>
          <w:rFonts w:eastAsiaTheme="minorHAnsi"/>
        </w:rPr>
      </w:r>
      <w:r>
        <w:rPr>
          <w:sz w:val="22"/>
          <w:szCs w:val="22"/>
        </w:rPr>
      </w:r>
    </w:p>
    <w:p>
      <w:pPr>
        <w:pStyle w:val="841"/>
        <w:pBdr/>
        <w:spacing/>
        <w:ind/>
        <w:jc w:val="both"/>
        <w:rPr>
          <w:sz w:val="22"/>
          <w:szCs w:val="22"/>
        </w:rPr>
      </w:pPr>
      <w:r>
        <w:rPr>
          <w:rFonts w:eastAsia="Arial" w:eastAsiaTheme="minorHAnsi"/>
          <w:sz w:val="22"/>
          <w:szCs w:val="22"/>
        </w:rPr>
        <w:t xml:space="preserve">4.3 При не достижении сторонами согласия, спор будет передан на разрешение в Арбитражный суд Кировской области.</w:t>
      </w:r>
      <w:r>
        <w:rPr>
          <w:rFonts w:eastAsiaTheme="minorHAnsi"/>
        </w:rPr>
      </w:r>
      <w:r>
        <w:rPr>
          <w:sz w:val="22"/>
          <w:szCs w:val="22"/>
        </w:rPr>
      </w:r>
    </w:p>
    <w:p>
      <w:pPr>
        <w:pStyle w:val="841"/>
        <w:pBdr/>
        <w:spacing/>
        <w:ind/>
        <w:jc w:val="both"/>
        <w:rPr>
          <w:sz w:val="22"/>
          <w:szCs w:val="22"/>
        </w:rPr>
      </w:pPr>
      <w:r>
        <w:rPr>
          <w:rFonts w:eastAsia="Arial" w:eastAsiaTheme="minorHAnsi"/>
          <w:sz w:val="22"/>
          <w:szCs w:val="22"/>
        </w:rPr>
        <w:t xml:space="preserve">Для соблюдения обязательного досудебного претензионного порядка стороны устанавливают срок рассмотрения претензии — 10 дней.</w:t>
      </w:r>
      <w:r>
        <w:rPr>
          <w:rFonts w:eastAsiaTheme="minorHAnsi"/>
        </w:rPr>
      </w:r>
      <w:r>
        <w:rPr>
          <w:sz w:val="22"/>
          <w:szCs w:val="22"/>
        </w:rPr>
      </w:r>
    </w:p>
    <w:p>
      <w:pPr>
        <w:pStyle w:val="841"/>
        <w:pBdr/>
        <w:spacing/>
        <w:ind/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</w:rPr>
      </w:r>
      <w:r>
        <w:rPr>
          <w:rFonts w:eastAsiaTheme="minorHAnsi"/>
        </w:rPr>
      </w:r>
      <w:r>
        <w:rPr>
          <w:sz w:val="22"/>
          <w:szCs w:val="22"/>
        </w:rPr>
      </w:r>
    </w:p>
    <w:p>
      <w:pPr>
        <w:pStyle w:val="706"/>
        <w:pBdr/>
        <w:spacing/>
        <w:ind/>
        <w:jc w:val="center"/>
        <w:rPr>
          <w:sz w:val="22"/>
          <w:szCs w:val="22"/>
        </w:rPr>
      </w:pPr>
      <w:r>
        <w:rPr>
          <w:rFonts w:eastAsia="Arial" w:eastAsiaTheme="minorHAnsi"/>
          <w:b/>
          <w:bCs/>
          <w:sz w:val="22"/>
          <w:szCs w:val="22"/>
        </w:rPr>
        <w:t xml:space="preserve">5.</w:t>
        <w:tab/>
        <w:t xml:space="preserve">ЗАКЛЮЧЕНИЕ ПОЛОЖЕНИЯ</w:t>
      </w:r>
      <w:r>
        <w:rPr>
          <w:rFonts w:eastAsiaTheme="minorHAnsi"/>
        </w:rPr>
      </w:r>
      <w:r>
        <w:rPr>
          <w:sz w:val="22"/>
          <w:szCs w:val="22"/>
        </w:rPr>
      </w:r>
    </w:p>
    <w:p>
      <w:pPr>
        <w:pStyle w:val="803"/>
        <w:pBdr/>
        <w:spacing/>
        <w:ind/>
        <w:jc w:val="both"/>
        <w:rPr>
          <w:sz w:val="22"/>
          <w:szCs w:val="22"/>
        </w:rPr>
      </w:pPr>
      <w:r>
        <w:rPr>
          <w:rFonts w:eastAsia="Arial" w:eastAsiaTheme="minorHAnsi"/>
          <w:sz w:val="22"/>
          <w:szCs w:val="22"/>
        </w:rPr>
        <w:t xml:space="preserve">5.1 Настоящий договор заключен сторонами в двух экземплярах, имеющих одинаковую юридическую силу, по одному экземпляру для каждой стороны.</w:t>
      </w:r>
      <w:r>
        <w:rPr>
          <w:rFonts w:eastAsiaTheme="minorHAnsi"/>
        </w:rPr>
      </w:r>
      <w:r>
        <w:rPr>
          <w:sz w:val="22"/>
          <w:szCs w:val="22"/>
        </w:rPr>
      </w:r>
    </w:p>
    <w:p>
      <w:pPr>
        <w:pStyle w:val="706"/>
        <w:pBdr/>
        <w:spacing/>
        <w:ind/>
        <w:jc w:val="both"/>
        <w:rPr>
          <w:sz w:val="22"/>
          <w:szCs w:val="22"/>
        </w:rPr>
      </w:pPr>
      <w:r>
        <w:rPr>
          <w:rFonts w:eastAsia="Arial" w:eastAsiaTheme="minorHAnsi"/>
          <w:sz w:val="22"/>
          <w:szCs w:val="22"/>
        </w:rPr>
        <w:t xml:space="preserve">5.2 Настоящий договор вступает в силу с момента его подписания обеими сторонами и действует до 31.12.2026 г. </w:t>
      </w:r>
      <w:r>
        <w:rPr>
          <w:rFonts w:eastAsiaTheme="minorHAnsi"/>
        </w:rPr>
      </w:r>
      <w:r>
        <w:rPr>
          <w:sz w:val="22"/>
          <w:szCs w:val="22"/>
        </w:rPr>
      </w:r>
    </w:p>
    <w:p>
      <w:pPr>
        <w:pStyle w:val="841"/>
        <w:pBdr/>
        <w:spacing/>
        <w:ind/>
        <w:jc w:val="both"/>
        <w:rPr>
          <w:sz w:val="22"/>
          <w:szCs w:val="22"/>
        </w:rPr>
      </w:pPr>
      <w:r>
        <w:rPr>
          <w:rFonts w:eastAsia="Arial" w:eastAsiaTheme="minorHAnsi"/>
          <w:sz w:val="22"/>
          <w:szCs w:val="22"/>
        </w:rPr>
        <w:t xml:space="preserve">5.3 Приложениями к настоящему договору могут являться документы, совместно утвержденные сторонами.</w:t>
      </w:r>
      <w:r>
        <w:rPr>
          <w:rFonts w:eastAsiaTheme="minorHAnsi"/>
        </w:rPr>
      </w:r>
      <w:r>
        <w:rPr>
          <w:sz w:val="22"/>
          <w:szCs w:val="22"/>
        </w:rPr>
      </w:r>
    </w:p>
    <w:p>
      <w:pPr>
        <w:pStyle w:val="706"/>
        <w:pBdr/>
        <w:spacing/>
        <w:ind/>
        <w:jc w:val="both"/>
        <w:rPr>
          <w:sz w:val="22"/>
          <w:szCs w:val="22"/>
        </w:rPr>
      </w:pPr>
      <w:r>
        <w:rPr>
          <w:rFonts w:eastAsia="Arial" w:eastAsiaTheme="minorHAnsi"/>
          <w:sz w:val="22"/>
          <w:szCs w:val="22"/>
        </w:rPr>
        <w:t xml:space="preserve">5.4 Все изменения или дополнения к настоящему договору будет также совершаться уполномоченными лицами в письменной форме.</w:t>
      </w:r>
      <w:r>
        <w:rPr>
          <w:rFonts w:eastAsiaTheme="minorHAnsi"/>
        </w:rPr>
      </w:r>
      <w:r>
        <w:rPr>
          <w:sz w:val="22"/>
          <w:szCs w:val="22"/>
        </w:rPr>
      </w:r>
    </w:p>
    <w:p>
      <w:pPr>
        <w:pStyle w:val="706"/>
        <w:pBdr/>
        <w:spacing/>
        <w:ind/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</w:rPr>
      </w:r>
      <w:r>
        <w:rPr>
          <w:rFonts w:eastAsiaTheme="minorHAnsi"/>
        </w:rPr>
      </w:r>
      <w:r>
        <w:rPr>
          <w:sz w:val="22"/>
          <w:szCs w:val="22"/>
        </w:rPr>
      </w:r>
    </w:p>
    <w:p>
      <w:pPr>
        <w:pStyle w:val="706"/>
        <w:pBdr/>
        <w:spacing/>
        <w:ind/>
        <w:jc w:val="center"/>
        <w:rPr>
          <w:sz w:val="22"/>
          <w:szCs w:val="22"/>
        </w:rPr>
      </w:pPr>
      <w:r>
        <w:rPr>
          <w:rFonts w:eastAsia="Arial" w:eastAsiaTheme="minorHAnsi"/>
          <w:b/>
          <w:bCs/>
          <w:sz w:val="22"/>
          <w:szCs w:val="22"/>
        </w:rPr>
        <w:t xml:space="preserve">6.</w:t>
        <w:tab/>
        <w:t xml:space="preserve">ЮРИДИЧЕСКИЕ АДРЕСА И РЕКВИЗИТЫ СТОРОН</w:t>
      </w:r>
      <w:r>
        <w:rPr>
          <w:rFonts w:eastAsiaTheme="minorHAnsi"/>
        </w:rPr>
      </w:r>
      <w:r>
        <w:rPr>
          <w:sz w:val="22"/>
          <w:szCs w:val="22"/>
        </w:rPr>
      </w:r>
    </w:p>
    <w:p>
      <w:pPr>
        <w:pStyle w:val="706"/>
        <w:pBdr/>
        <w:spacing/>
        <w:ind/>
        <w:rPr>
          <w:sz w:val="22"/>
          <w:szCs w:val="22"/>
        </w:rPr>
      </w:pPr>
      <w:r>
        <w:rPr>
          <w:rFonts w:eastAsia="Arial" w:eastAsiaTheme="minorHAnsi"/>
          <w:b/>
          <w:bCs/>
          <w:sz w:val="22"/>
          <w:szCs w:val="22"/>
        </w:rPr>
        <w:t xml:space="preserve">Покупатель                                                    Поставщик</w:t>
      </w:r>
      <w:r>
        <w:rPr>
          <w:rFonts w:eastAsiaTheme="minorHAnsi"/>
        </w:rPr>
      </w:r>
      <w:r>
        <w:rPr>
          <w:sz w:val="22"/>
          <w:szCs w:val="22"/>
        </w:rPr>
      </w:r>
    </w:p>
    <w:tbl>
      <w:tblPr>
        <w:tblInd w:w="146" w:type="dxa"/>
        <w:tblW w:w="10035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4752"/>
        <w:gridCol w:w="5282"/>
      </w:tblGrid>
      <w:tr>
        <w:trPr>
          <w:trHeight w:val="31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52" w:type="dxa"/>
            <w:textDirection w:val="lrTb"/>
            <w:noWrap w:val="false"/>
          </w:tcPr>
          <w:p>
            <w:pPr>
              <w:pStyle w:val="706"/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</w:t>
            </w:r>
            <w:r>
              <w:rPr>
                <w:sz w:val="22"/>
                <w:szCs w:val="22"/>
              </w:rPr>
            </w:r>
          </w:p>
          <w:p>
            <w:pPr>
              <w:pStyle w:val="706"/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06"/>
              <w:widowControl w:val="true"/>
              <w:pBdr/>
              <w:spacing w:after="0" w:before="0"/>
              <w:ind/>
              <w:jc w:val="lef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val="ru-RU" w:eastAsia="ru-RU" w:bidi="ar-SA"/>
              </w:rPr>
              <w:t xml:space="preserve">Адрес: 610000, г.Киров, ул.Красноармейская, 72</w:t>
            </w:r>
            <w:r>
              <w:rPr>
                <w:color w:val="000000"/>
              </w:rPr>
            </w:r>
          </w:p>
          <w:p>
            <w:pPr>
              <w:pStyle w:val="706"/>
              <w:widowControl w:val="true"/>
              <w:pBdr/>
              <w:spacing w:after="0" w:before="0"/>
              <w:ind/>
              <w:jc w:val="lef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val="ru-RU" w:eastAsia="ru-RU" w:bidi="ar-SA"/>
              </w:rPr>
              <w:t xml:space="preserve">610027, г. Киров, ул. Красноармейская, 72</w:t>
            </w:r>
            <w:r>
              <w:rPr>
                <w:color w:val="000000"/>
              </w:rPr>
            </w:r>
          </w:p>
          <w:p>
            <w:pPr>
              <w:pStyle w:val="706"/>
              <w:widowControl w:val="true"/>
              <w:pBdr/>
              <w:spacing w:after="0" w:before="0"/>
              <w:ind/>
              <w:jc w:val="lef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val="ru-RU" w:eastAsia="ru-RU" w:bidi="ar-SA"/>
              </w:rPr>
              <w:t xml:space="preserve">(8332) 54-97-31, 54-52-92, 54-79-60</w:t>
            </w:r>
            <w:r>
              <w:rPr>
                <w:color w:val="000000"/>
              </w:rPr>
            </w:r>
          </w:p>
          <w:p>
            <w:pPr>
              <w:pStyle w:val="706"/>
              <w:widowControl w:val="true"/>
              <w:pBdr/>
              <w:spacing w:after="0" w:before="0"/>
              <w:ind/>
              <w:jc w:val="lef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val="ru-RU" w:eastAsia="ru-RU" w:bidi="ar-SA"/>
              </w:rPr>
              <w:t xml:space="preserve">ИНН 4346007656/ КПП 434501001</w:t>
            </w:r>
            <w:r>
              <w:rPr>
                <w:color w:val="000000"/>
              </w:rPr>
            </w:r>
          </w:p>
          <w:p>
            <w:pPr>
              <w:pStyle w:val="706"/>
              <w:widowControl w:val="true"/>
              <w:pBdr/>
              <w:spacing w:after="0" w:before="0"/>
              <w:ind/>
              <w:jc w:val="lef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val="ru-RU" w:eastAsia="ru-RU" w:bidi="ar-SA"/>
              </w:rPr>
              <w:t xml:space="preserve">УФК по Кировской области ФГБУН КНИИГиПК ФМБА России л/с 20406Ц17940, л/с22406Ц17940)</w:t>
            </w:r>
            <w:r>
              <w:rPr>
                <w:color w:val="000000"/>
              </w:rPr>
            </w:r>
          </w:p>
          <w:p>
            <w:pPr>
              <w:pStyle w:val="706"/>
              <w:widowControl w:val="true"/>
              <w:pBdr/>
              <w:spacing w:after="0" w:before="0"/>
              <w:ind/>
              <w:jc w:val="left"/>
              <w:rPr/>
            </w:pPr>
            <w:r>
              <w:rPr>
                <w:color w:val="000000"/>
                <w:sz w:val="20"/>
                <w:szCs w:val="20"/>
                <w:lang w:val="ru-RU" w:eastAsia="ru-RU" w:bidi="ar-SA"/>
              </w:rPr>
              <w:t xml:space="preserve">р/сч 03214643000000014000 в </w:t>
            </w:r>
            <w:r>
              <w:rPr>
                <w:sz w:val="20"/>
                <w:szCs w:val="20"/>
                <w:lang w:val="ru-RU" w:eastAsia="ru-RU" w:bidi="ar-SA"/>
              </w:rPr>
              <w:t xml:space="preserve">р/сч 03214643000000014000 в ОКЦ № 4 ВВГУ Банка России//УФК по Кировской области г. Киров</w:t>
            </w:r>
            <w:r/>
          </w:p>
          <w:p>
            <w:pPr>
              <w:pStyle w:val="706"/>
              <w:widowControl w:val="true"/>
              <w:pBdr/>
              <w:spacing w:after="0" w:before="0"/>
              <w:ind/>
              <w:jc w:val="left"/>
              <w:rPr/>
            </w:pPr>
            <w:r>
              <w:rPr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sz w:val="20"/>
                <w:szCs w:val="20"/>
                <w:lang w:val="ru-RU" w:eastAsia="ru-RU" w:bidi="ar-SA"/>
              </w:rPr>
              <w:t xml:space="preserve">БИК 013304182</w:t>
            </w:r>
            <w:r/>
          </w:p>
          <w:p>
            <w:pPr>
              <w:pStyle w:val="706"/>
              <w:widowControl w:val="true"/>
              <w:pBdr/>
              <w:spacing w:after="0" w:before="0"/>
              <w:ind/>
              <w:jc w:val="left"/>
              <w:rPr>
                <w:color w:val="000000"/>
              </w:rPr>
            </w:pPr>
            <w:r>
              <w:rPr>
                <w:sz w:val="20"/>
                <w:szCs w:val="20"/>
                <w:lang w:val="ru-RU" w:eastAsia="ru-RU" w:bidi="ar-SA"/>
              </w:rPr>
              <w:t xml:space="preserve">кор/сч 40102810345370000033</w:t>
            </w:r>
            <w:r>
              <w:rPr>
                <w:color w:val="000000"/>
              </w:rPr>
            </w:r>
          </w:p>
          <w:p>
            <w:pPr>
              <w:pStyle w:val="706"/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06"/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06"/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06"/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06"/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06"/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06"/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06"/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06"/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06"/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</w:t>
            </w:r>
            <w:r>
              <w:rPr>
                <w:sz w:val="22"/>
                <w:szCs w:val="22"/>
              </w:rPr>
            </w:r>
          </w:p>
          <w:p>
            <w:pPr>
              <w:pStyle w:val="706"/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 /И.В. Парамонов/</w:t>
            </w:r>
            <w:r>
              <w:rPr>
                <w:sz w:val="22"/>
                <w:szCs w:val="22"/>
              </w:rPr>
            </w:r>
          </w:p>
          <w:p>
            <w:pPr>
              <w:pStyle w:val="706"/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eastAsia="ja-JP" w:bidi="fa-IR"/>
              </w:rPr>
              <w:t xml:space="preserve">м.п.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2" w:type="dxa"/>
            <w:textDirection w:val="lrTb"/>
            <w:noWrap w:val="false"/>
          </w:tcPr>
          <w:p>
            <w:pPr>
              <w:pStyle w:val="706"/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06"/>
              <w:widowControl w:val="false"/>
              <w:pBdr/>
              <w:spacing/>
              <w:ind/>
              <w:jc w:val="both"/>
              <w:rPr>
                <w:sz w:val="22"/>
                <w:szCs w:val="22"/>
                <w:lang w:eastAsia="ja-JP" w:bidi="fa-IR"/>
              </w:rPr>
            </w:pPr>
            <w:r>
              <w:rPr>
                <w:sz w:val="22"/>
                <w:szCs w:val="22"/>
                <w:lang w:eastAsia="ja-JP" w:bidi="fa-IR"/>
              </w:rPr>
            </w:r>
            <w:r>
              <w:rPr>
                <w:sz w:val="22"/>
                <w:szCs w:val="22"/>
                <w:lang w:eastAsia="ja-JP" w:bidi="fa-IR"/>
              </w:rPr>
            </w:r>
          </w:p>
          <w:p>
            <w:pPr>
              <w:pStyle w:val="70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0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0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0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0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0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0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0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0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0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0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0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0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0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0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0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0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0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0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0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0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0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0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06"/>
              <w:widowControl w:val="false"/>
              <w:pBdr/>
              <w:spacing/>
              <w:ind/>
              <w:jc w:val="both"/>
              <w:rPr>
                <w:sz w:val="22"/>
                <w:szCs w:val="22"/>
                <w:lang w:eastAsia="ja-JP" w:bidi="fa-IR"/>
              </w:rPr>
            </w:pPr>
            <w:r>
              <w:rPr>
                <w:sz w:val="22"/>
                <w:szCs w:val="22"/>
                <w:lang w:eastAsia="ja-JP" w:bidi="fa-IR"/>
              </w:rPr>
            </w:r>
            <w:r>
              <w:rPr>
                <w:sz w:val="22"/>
                <w:szCs w:val="22"/>
                <w:lang w:eastAsia="ja-JP" w:bidi="fa-IR"/>
              </w:rPr>
            </w:r>
          </w:p>
          <w:p>
            <w:pPr>
              <w:pStyle w:val="706"/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eastAsia="ja-JP" w:bidi="fa-IR"/>
              </w:rPr>
              <w:t xml:space="preserve">________________/                                       /</w:t>
            </w:r>
            <w:r>
              <w:rPr>
                <w:sz w:val="22"/>
                <w:szCs w:val="22"/>
              </w:rPr>
            </w:r>
          </w:p>
          <w:p>
            <w:pPr>
              <w:pStyle w:val="706"/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eastAsia="ja-JP" w:bidi="fa-IR"/>
              </w:rPr>
              <w:t xml:space="preserve">м.п.</w:t>
            </w:r>
            <w:r>
              <w:rPr>
                <w:sz w:val="22"/>
                <w:szCs w:val="22"/>
              </w:rPr>
            </w:r>
          </w:p>
          <w:p>
            <w:pPr>
              <w:pStyle w:val="706"/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706"/>
        <w:pBdr/>
        <w:spacing/>
        <w:ind/>
        <w:jc w:val="both"/>
        <w:rPr>
          <w:b/>
          <w:bCs/>
          <w:sz w:val="22"/>
          <w:szCs w:val="22"/>
        </w:rPr>
      </w:pPr>
      <w:r>
        <w:rPr>
          <w:rFonts w:eastAsiaTheme="minorHAnsi"/>
          <w:b/>
          <w:bCs/>
          <w:sz w:val="22"/>
          <w:szCs w:val="22"/>
        </w:rPr>
      </w:r>
      <w:r>
        <w:rPr>
          <w:rFonts w:eastAsiaTheme="minorHAnsi"/>
        </w:rPr>
      </w:r>
      <w:r>
        <w:rPr>
          <w:b/>
          <w:bCs/>
          <w:sz w:val="22"/>
          <w:szCs w:val="22"/>
        </w:rPr>
      </w:r>
    </w:p>
    <w:p>
      <w:pPr>
        <w:pStyle w:val="706"/>
        <w:pBdr/>
        <w:spacing/>
        <w:ind/>
        <w:jc w:val="both"/>
        <w:rPr>
          <w:b/>
          <w:bCs/>
          <w:sz w:val="22"/>
          <w:szCs w:val="22"/>
        </w:rPr>
      </w:pPr>
      <w:r>
        <w:rPr>
          <w:rFonts w:eastAsiaTheme="minorHAnsi"/>
          <w:b/>
          <w:bCs/>
          <w:sz w:val="22"/>
          <w:szCs w:val="22"/>
        </w:rPr>
      </w:r>
      <w:r>
        <w:rPr>
          <w:rFonts w:eastAsiaTheme="minorHAnsi"/>
        </w:rPr>
      </w:r>
      <w:r>
        <w:rPr>
          <w:b/>
          <w:bCs/>
          <w:sz w:val="22"/>
          <w:szCs w:val="22"/>
        </w:rPr>
      </w:r>
    </w:p>
    <w:p>
      <w:pPr>
        <w:pStyle w:val="706"/>
        <w:pBdr/>
        <w:spacing/>
        <w:ind/>
        <w:jc w:val="both"/>
        <w:rPr>
          <w:b/>
          <w:bCs/>
          <w:sz w:val="22"/>
          <w:szCs w:val="22"/>
        </w:rPr>
      </w:pPr>
      <w:r>
        <w:rPr>
          <w:rFonts w:eastAsiaTheme="minorHAnsi"/>
          <w:b/>
          <w:bCs/>
          <w:sz w:val="22"/>
          <w:szCs w:val="22"/>
        </w:rPr>
      </w:r>
      <w:r>
        <w:rPr>
          <w:rFonts w:eastAsiaTheme="minorHAnsi"/>
        </w:rPr>
      </w:r>
      <w:r>
        <w:rPr>
          <w:b/>
          <w:bCs/>
          <w:sz w:val="22"/>
          <w:szCs w:val="22"/>
        </w:rPr>
      </w:r>
    </w:p>
    <w:p>
      <w:pPr>
        <w:pStyle w:val="706"/>
        <w:pBdr/>
        <w:spacing/>
        <w:ind/>
        <w:jc w:val="both"/>
        <w:rPr>
          <w:b/>
          <w:bCs/>
          <w:sz w:val="22"/>
          <w:szCs w:val="22"/>
        </w:rPr>
      </w:pPr>
      <w:r>
        <w:rPr>
          <w:rFonts w:eastAsiaTheme="minorHAnsi"/>
          <w:b/>
          <w:bCs/>
          <w:sz w:val="22"/>
          <w:szCs w:val="22"/>
        </w:rPr>
      </w:r>
      <w:r>
        <w:rPr>
          <w:rFonts w:eastAsiaTheme="minorHAnsi"/>
        </w:rPr>
      </w:r>
      <w:r>
        <w:rPr>
          <w:b/>
          <w:bCs/>
          <w:sz w:val="22"/>
          <w:szCs w:val="22"/>
        </w:rPr>
      </w:r>
    </w:p>
    <w:p>
      <w:pPr>
        <w:pStyle w:val="706"/>
        <w:pBdr/>
        <w:spacing/>
        <w:ind/>
        <w:jc w:val="both"/>
        <w:rPr>
          <w:b/>
          <w:bCs/>
          <w:sz w:val="22"/>
          <w:szCs w:val="22"/>
        </w:rPr>
      </w:pPr>
      <w:r>
        <w:rPr>
          <w:rFonts w:eastAsiaTheme="minorHAnsi"/>
          <w:b/>
          <w:bCs/>
          <w:sz w:val="22"/>
          <w:szCs w:val="22"/>
        </w:rPr>
      </w:r>
      <w:r>
        <w:rPr>
          <w:rFonts w:eastAsiaTheme="minorHAnsi"/>
        </w:rPr>
      </w:r>
      <w:r>
        <w:rPr>
          <w:b/>
          <w:bCs/>
          <w:sz w:val="22"/>
          <w:szCs w:val="22"/>
        </w:rPr>
      </w:r>
    </w:p>
    <w:p>
      <w:pPr>
        <w:pStyle w:val="706"/>
        <w:pBdr/>
        <w:spacing/>
        <w:ind/>
        <w:jc w:val="both"/>
        <w:rPr>
          <w:b/>
          <w:bCs/>
          <w:sz w:val="22"/>
          <w:szCs w:val="22"/>
        </w:rPr>
      </w:pPr>
      <w:r>
        <w:rPr>
          <w:rFonts w:eastAsiaTheme="minorHAnsi"/>
          <w:b/>
          <w:bCs/>
          <w:sz w:val="22"/>
          <w:szCs w:val="22"/>
        </w:rPr>
      </w:r>
      <w:r>
        <w:rPr>
          <w:rFonts w:eastAsiaTheme="minorHAnsi"/>
        </w:rPr>
      </w:r>
      <w:r>
        <w:rPr>
          <w:b/>
          <w:bCs/>
          <w:sz w:val="22"/>
          <w:szCs w:val="22"/>
        </w:rPr>
      </w:r>
    </w:p>
    <w:p>
      <w:pPr>
        <w:pStyle w:val="706"/>
        <w:pBdr/>
        <w:spacing/>
        <w:ind/>
        <w:jc w:val="both"/>
        <w:rPr>
          <w:b/>
          <w:bCs/>
          <w:sz w:val="22"/>
          <w:szCs w:val="22"/>
        </w:rPr>
      </w:pPr>
      <w:r>
        <w:rPr>
          <w:rFonts w:eastAsiaTheme="minorHAnsi"/>
          <w:b/>
          <w:bCs/>
          <w:sz w:val="22"/>
          <w:szCs w:val="22"/>
        </w:rPr>
      </w:r>
      <w:r>
        <w:rPr>
          <w:rFonts w:eastAsiaTheme="minorHAnsi"/>
        </w:rPr>
      </w:r>
      <w:r>
        <w:rPr>
          <w:b/>
          <w:bCs/>
          <w:sz w:val="22"/>
          <w:szCs w:val="22"/>
        </w:rPr>
      </w:r>
    </w:p>
    <w:p>
      <w:pPr>
        <w:pStyle w:val="706"/>
        <w:pBdr/>
        <w:spacing/>
        <w:ind/>
        <w:jc w:val="both"/>
        <w:rPr>
          <w:b/>
          <w:bCs/>
          <w:sz w:val="22"/>
          <w:szCs w:val="22"/>
        </w:rPr>
      </w:pPr>
      <w:r>
        <w:rPr>
          <w:rFonts w:eastAsiaTheme="minorHAnsi"/>
          <w:b/>
          <w:bCs/>
          <w:sz w:val="22"/>
          <w:szCs w:val="22"/>
        </w:rPr>
      </w:r>
      <w:r>
        <w:rPr>
          <w:rFonts w:eastAsiaTheme="minorHAnsi"/>
        </w:rPr>
      </w:r>
      <w:r>
        <w:rPr>
          <w:b/>
          <w:bCs/>
          <w:sz w:val="22"/>
          <w:szCs w:val="22"/>
        </w:rPr>
      </w:r>
    </w:p>
    <w:p>
      <w:pPr>
        <w:pStyle w:val="706"/>
        <w:pBdr/>
        <w:spacing/>
        <w:ind/>
        <w:jc w:val="both"/>
        <w:rPr>
          <w:b/>
          <w:bCs/>
          <w:sz w:val="22"/>
          <w:szCs w:val="22"/>
        </w:rPr>
      </w:pPr>
      <w:r>
        <w:rPr>
          <w:rFonts w:eastAsiaTheme="minorHAnsi"/>
          <w:b/>
          <w:bCs/>
          <w:sz w:val="22"/>
          <w:szCs w:val="22"/>
        </w:rPr>
      </w:r>
      <w:r>
        <w:rPr>
          <w:rFonts w:eastAsiaTheme="minorHAnsi"/>
        </w:rPr>
      </w:r>
      <w:r>
        <w:rPr>
          <w:b/>
          <w:bCs/>
          <w:sz w:val="22"/>
          <w:szCs w:val="22"/>
        </w:rPr>
      </w:r>
    </w:p>
    <w:p>
      <w:pPr>
        <w:pStyle w:val="706"/>
        <w:pBdr/>
        <w:spacing/>
        <w:ind/>
        <w:jc w:val="both"/>
        <w:rPr>
          <w:b/>
          <w:bCs/>
          <w:sz w:val="22"/>
          <w:szCs w:val="22"/>
        </w:rPr>
      </w:pPr>
      <w:r>
        <w:rPr>
          <w:rFonts w:eastAsiaTheme="minorHAnsi"/>
          <w:b/>
          <w:bCs/>
          <w:sz w:val="22"/>
          <w:szCs w:val="22"/>
        </w:rPr>
      </w:r>
      <w:r>
        <w:rPr>
          <w:rFonts w:eastAsiaTheme="minorHAnsi"/>
        </w:rPr>
      </w:r>
      <w:r>
        <w:rPr>
          <w:b/>
          <w:bCs/>
          <w:sz w:val="22"/>
          <w:szCs w:val="22"/>
        </w:rPr>
      </w:r>
    </w:p>
    <w:p>
      <w:pPr>
        <w:pStyle w:val="706"/>
        <w:pBdr/>
        <w:spacing/>
        <w:ind/>
        <w:jc w:val="both"/>
        <w:rPr>
          <w:b/>
          <w:bCs/>
          <w:sz w:val="22"/>
          <w:szCs w:val="22"/>
        </w:rPr>
      </w:pPr>
      <w:r>
        <w:rPr>
          <w:rFonts w:eastAsiaTheme="minorHAnsi"/>
          <w:b/>
          <w:bCs/>
          <w:sz w:val="22"/>
          <w:szCs w:val="22"/>
        </w:rPr>
      </w:r>
      <w:r>
        <w:rPr>
          <w:rFonts w:eastAsiaTheme="minorHAnsi"/>
        </w:rPr>
        <w:br w:type="page" w:clear="all"/>
      </w:r>
      <w:r>
        <w:rPr>
          <w:rFonts w:eastAsiaTheme="minorHAnsi"/>
        </w:rPr>
      </w:r>
      <w:r>
        <w:rPr>
          <w:b/>
          <w:bCs/>
          <w:sz w:val="22"/>
          <w:szCs w:val="22"/>
        </w:rPr>
      </w:r>
    </w:p>
    <w:p>
      <w:pPr>
        <w:pStyle w:val="706"/>
        <w:pBdr/>
        <w:tabs>
          <w:tab w:val="clear" w:leader="none" w:pos="709"/>
          <w:tab w:val="left" w:leader="none" w:pos="6287"/>
        </w:tabs>
        <w:spacing w:after="0" w:before="0"/>
        <w:ind/>
        <w:jc w:val="right"/>
        <w:rPr>
          <w:rFonts w:eastAsia="Arial Unicode MS"/>
          <w:color w:val="000000"/>
          <w:sz w:val="22"/>
          <w:szCs w:val="22"/>
          <w:lang w:eastAsia="ru-RU"/>
        </w:rPr>
      </w:pPr>
      <w:r>
        <w:rPr>
          <w:rFonts w:eastAsia="Arial" w:eastAsiaTheme="minorHAnsi"/>
          <w:color w:val="000000"/>
          <w:sz w:val="22"/>
          <w:szCs w:val="22"/>
          <w:lang w:eastAsia="ru-RU"/>
        </w:rPr>
        <w:t xml:space="preserve">Приложение №1</w:t>
      </w:r>
      <w:r>
        <w:rPr>
          <w:rFonts w:eastAsiaTheme="minorHAnsi"/>
        </w:rPr>
      </w:r>
      <w:r>
        <w:rPr>
          <w:rFonts w:eastAsia="Arial Unicode MS"/>
          <w:color w:val="000000"/>
          <w:sz w:val="22"/>
          <w:szCs w:val="22"/>
          <w:lang w:eastAsia="ru-RU"/>
        </w:rPr>
      </w:r>
    </w:p>
    <w:p>
      <w:pPr>
        <w:pStyle w:val="706"/>
        <w:pBdr/>
        <w:spacing/>
        <w:ind/>
        <w:rPr/>
      </w:pPr>
      <w:r>
        <w:rPr>
          <w:rFonts w:eastAsiaTheme="minorHAnsi"/>
        </w:rPr>
      </w:r>
      <w:r>
        <w:rPr>
          <w:rFonts w:eastAsiaTheme="minorHAnsi"/>
        </w:rPr>
      </w:r>
      <w:r/>
    </w:p>
    <w:p>
      <w:pPr>
        <w:pStyle w:val="706"/>
        <w:pBdr/>
        <w:tabs>
          <w:tab w:val="clear" w:leader="none" w:pos="709"/>
          <w:tab w:val="left" w:leader="none" w:pos="6287"/>
        </w:tabs>
        <w:spacing/>
        <w:ind/>
        <w:jc w:val="right"/>
        <w:rPr>
          <w:rFonts w:eastAsia="Arial Unicode MS"/>
          <w:color w:val="000000"/>
          <w:sz w:val="22"/>
          <w:szCs w:val="22"/>
          <w:lang w:eastAsia="ru-RU"/>
        </w:rPr>
      </w:pPr>
      <w:r>
        <w:rPr>
          <w:rFonts w:eastAsia="Arial Unicode MS" w:eastAsiaTheme="minorHAnsi"/>
          <w:color w:val="000000"/>
          <w:sz w:val="22"/>
          <w:szCs w:val="22"/>
          <w:lang w:eastAsia="ru-RU"/>
        </w:rPr>
      </w:r>
      <w:r>
        <w:rPr>
          <w:rFonts w:eastAsiaTheme="minorHAnsi"/>
        </w:rPr>
      </w:r>
      <w:r>
        <w:rPr>
          <w:rFonts w:eastAsia="Arial Unicode MS"/>
          <w:color w:val="000000"/>
          <w:sz w:val="22"/>
          <w:szCs w:val="22"/>
          <w:lang w:eastAsia="ru-RU"/>
        </w:rPr>
      </w:r>
    </w:p>
    <w:tbl>
      <w:tblPr>
        <w:tblStyle w:val="855"/>
        <w:tblInd w:w="-108" w:type="dxa"/>
        <w:tblW w:w="10312" w:type="dxa"/>
        <w:tblCellMar>
          <w:left w:w="0" w:type="dxa"/>
          <w:top w:w="0" w:type="dxa"/>
          <w:right w:w="0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448"/>
        <w:gridCol w:w="444"/>
        <w:gridCol w:w="455"/>
        <w:gridCol w:w="447"/>
        <w:gridCol w:w="450"/>
        <w:gridCol w:w="447"/>
        <w:gridCol w:w="339"/>
        <w:gridCol w:w="337"/>
        <w:gridCol w:w="339"/>
        <w:gridCol w:w="340"/>
        <w:gridCol w:w="209"/>
        <w:gridCol w:w="134"/>
        <w:gridCol w:w="339"/>
        <w:gridCol w:w="339"/>
        <w:gridCol w:w="57"/>
        <w:gridCol w:w="674"/>
        <w:gridCol w:w="17"/>
        <w:gridCol w:w="382"/>
        <w:gridCol w:w="57"/>
        <w:gridCol w:w="739"/>
        <w:gridCol w:w="406"/>
        <w:gridCol w:w="395"/>
        <w:gridCol w:w="398"/>
        <w:gridCol w:w="402"/>
        <w:gridCol w:w="401"/>
        <w:gridCol w:w="7"/>
        <w:gridCol w:w="438"/>
        <w:gridCol w:w="437"/>
        <w:gridCol w:w="437"/>
      </w:tblGrid>
      <w:tr>
        <w:trPr>
          <w:trHeight w:val="255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448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444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455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447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450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447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339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337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339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343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339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339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57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674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399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57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739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406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395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398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402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408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438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437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437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</w:tr>
      <w:tr>
        <w:trPr>
          <w:trHeight w:val="348"/>
        </w:trPr>
        <w:tc>
          <w:tcPr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892" w:type="dxa"/>
            <w:textDirection w:val="lrTb"/>
            <w:noWrap w:val="false"/>
          </w:tcPr>
          <w:p>
            <w:pPr>
              <w:pStyle w:val="981"/>
              <w:widowControl w:val="true"/>
              <w:pBdr/>
              <w:spacing w:after="292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п/п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9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63" w:type="dxa"/>
            <w:textDirection w:val="lrTb"/>
            <w:noWrap w:val="false"/>
          </w:tcPr>
          <w:p>
            <w:pPr>
              <w:pStyle w:val="981"/>
              <w:widowControl w:val="true"/>
              <w:pBdr/>
              <w:spacing w:after="292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6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pStyle w:val="981"/>
              <w:widowControl w:val="true"/>
              <w:pBdr/>
              <w:spacing w:after="292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84" w:type="dxa"/>
            <w:textDirection w:val="lrTb"/>
            <w:noWrap w:val="false"/>
          </w:tcPr>
          <w:p>
            <w:pPr>
              <w:pStyle w:val="981"/>
              <w:widowControl w:val="true"/>
              <w:pBdr/>
              <w:spacing w:after="292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Количество шт.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95" w:type="dxa"/>
            <w:textDirection w:val="lrTb"/>
            <w:noWrap w:val="false"/>
          </w:tcPr>
          <w:p>
            <w:pPr>
              <w:pStyle w:val="981"/>
              <w:widowControl w:val="true"/>
              <w:pBdr/>
              <w:spacing w:after="292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Цена за единицу без НДС, руб.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19" w:type="dxa"/>
            <w:textDirection w:val="lrTb"/>
            <w:noWrap w:val="false"/>
          </w:tcPr>
          <w:p>
            <w:pPr>
              <w:pStyle w:val="981"/>
              <w:widowControl w:val="true"/>
              <w:pBdr/>
              <w:spacing w:after="292" w:before="0"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Сумма без НДС, руб.</w:t>
            </w:r>
            <w:r/>
          </w:p>
        </w:tc>
      </w:tr>
      <w:tr>
        <w:trPr>
          <w:trHeight w:val="255"/>
        </w:trPr>
        <w:tc>
          <w:tcPr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892" w:type="dxa"/>
            <w:textDirection w:val="lrTb"/>
            <w:noWrap w:val="false"/>
          </w:tcPr>
          <w:p w14:paraId="6AFD00C3"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63" w:type="dxa"/>
            <w:textDirection w:val="lrTb"/>
            <w:noWrap w:val="false"/>
          </w:tcPr>
          <w:p w14:paraId="6253212F">
            <w:pPr>
              <w:pStyle w:val="706"/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 xml:space="preserve">Контейнер для мусора с педалью, 19 л</w:t>
            </w:r>
            <w:r/>
            <w:r/>
          </w:p>
          <w:p w14:paraId="4752ABB7"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jc w:val="center"/>
              <w:rPr/>
            </w:pPr>
            <w:r>
              <w:t xml:space="preserve">шт</w:t>
            </w:r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84" w:type="dxa"/>
            <w:textDirection w:val="lrTb"/>
            <w:noWrap w:val="false"/>
          </w:tcPr>
          <w:p w14:paraId="3FFEEA24"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95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19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</w:tr>
      <w:tr>
        <w:trPr>
          <w:trHeight w:val="255"/>
        </w:trPr>
        <w:tc>
          <w:tcPr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892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63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84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95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19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</w:tr>
      <w:tr>
        <w:trPr>
          <w:trHeight w:val="255"/>
        </w:trPr>
        <w:tc>
          <w:tcPr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8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4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5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7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0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7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7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3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4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9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9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6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5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8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8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7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7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8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4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5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7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0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7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7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3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4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9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9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6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95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19" w:type="dxa"/>
            <w:textDirection w:val="lrTb"/>
            <w:noWrap w:val="false"/>
          </w:tcPr>
          <w:p>
            <w:pPr>
              <w:pStyle w:val="706"/>
              <w:pBdr/>
              <w:spacing/>
              <w:ind/>
              <w:rPr/>
            </w:pPr>
            <w:r/>
            <w:r/>
          </w:p>
        </w:tc>
      </w:tr>
    </w:tbl>
    <w:p>
      <w:pPr>
        <w:pStyle w:val="706"/>
        <w:pBdr/>
        <w:tabs>
          <w:tab w:val="clear" w:leader="none" w:pos="709"/>
          <w:tab w:val="left" w:leader="none" w:pos="6287"/>
        </w:tabs>
        <w:spacing/>
        <w:ind/>
        <w:rPr>
          <w:rFonts w:eastAsia="Arial Unicode MS"/>
          <w:color w:val="000000"/>
          <w:sz w:val="22"/>
          <w:szCs w:val="22"/>
          <w:lang w:eastAsia="ru-RU"/>
        </w:rPr>
      </w:pPr>
      <w:r>
        <w:rPr>
          <w:rFonts w:eastAsia="Arial Unicode MS" w:eastAsiaTheme="minorHAnsi"/>
          <w:color w:val="000000"/>
          <w:sz w:val="22"/>
          <w:szCs w:val="22"/>
          <w:lang w:eastAsia="ru-RU"/>
        </w:rPr>
      </w:r>
      <w:r>
        <w:rPr>
          <w:rFonts w:eastAsiaTheme="minorHAnsi"/>
        </w:rPr>
      </w:r>
      <w:r>
        <w:rPr>
          <w:rFonts w:eastAsia="Arial Unicode MS"/>
          <w:color w:val="000000"/>
          <w:sz w:val="22"/>
          <w:szCs w:val="22"/>
          <w:lang w:eastAsia="ru-RU"/>
        </w:rPr>
      </w:r>
    </w:p>
    <w:p>
      <w:pPr>
        <w:pStyle w:val="706"/>
        <w:pBdr/>
        <w:tabs>
          <w:tab w:val="clear" w:leader="none" w:pos="709"/>
          <w:tab w:val="left" w:leader="none" w:pos="6287"/>
        </w:tabs>
        <w:spacing/>
        <w:ind/>
        <w:rPr>
          <w:rFonts w:eastAsia="Arial Unicode MS"/>
          <w:color w:val="000000"/>
          <w:sz w:val="22"/>
          <w:szCs w:val="22"/>
          <w:lang w:eastAsia="ru-RU"/>
        </w:rPr>
      </w:pPr>
      <w:r>
        <w:rPr>
          <w:rFonts w:eastAsia="Arial" w:eastAsiaTheme="minorHAnsi"/>
          <w:color w:val="000000"/>
          <w:sz w:val="22"/>
          <w:szCs w:val="22"/>
          <w:lang w:eastAsia="ru-RU"/>
        </w:rPr>
        <w:t xml:space="preserve">Итого: </w:t>
      </w:r>
      <w:r>
        <w:rPr>
          <w:rFonts w:eastAsiaTheme="minorHAnsi"/>
        </w:rPr>
      </w:r>
      <w:r>
        <w:rPr>
          <w:rFonts w:eastAsia="Arial Unicode MS"/>
          <w:color w:val="000000"/>
          <w:sz w:val="22"/>
          <w:szCs w:val="22"/>
          <w:lang w:eastAsia="ru-RU"/>
        </w:rPr>
      </w:r>
    </w:p>
    <w:p>
      <w:pPr>
        <w:pStyle w:val="706"/>
        <w:pBdr/>
        <w:spacing/>
        <w:ind/>
        <w:rPr/>
      </w:pPr>
      <w:r>
        <w:rPr>
          <w:rFonts w:eastAsiaTheme="minorHAnsi"/>
        </w:rPr>
      </w:r>
      <w:r>
        <w:rPr>
          <w:rFonts w:eastAsiaTheme="minorHAnsi"/>
        </w:rPr>
      </w:r>
      <w:r/>
    </w:p>
    <w:p>
      <w:pPr>
        <w:pStyle w:val="706"/>
        <w:pBdr/>
        <w:tabs>
          <w:tab w:val="clear" w:leader="none" w:pos="709"/>
          <w:tab w:val="left" w:leader="none" w:pos="6287"/>
        </w:tabs>
        <w:spacing/>
        <w:ind/>
        <w:rPr>
          <w:rFonts w:eastAsia="Arial Unicode MS"/>
          <w:color w:val="000000"/>
          <w:sz w:val="22"/>
          <w:szCs w:val="22"/>
          <w:lang w:eastAsia="ru-RU"/>
        </w:rPr>
      </w:pPr>
      <w:r>
        <w:rPr>
          <w:rFonts w:eastAsia="Arial Unicode MS" w:eastAsiaTheme="minorHAnsi"/>
          <w:color w:val="000000"/>
          <w:sz w:val="22"/>
          <w:szCs w:val="22"/>
          <w:lang w:eastAsia="ru-RU"/>
        </w:rPr>
      </w:r>
      <w:r>
        <w:rPr>
          <w:rFonts w:eastAsiaTheme="minorHAnsi"/>
        </w:rPr>
      </w:r>
      <w:r>
        <w:rPr>
          <w:rFonts w:eastAsia="Arial Unicode MS"/>
          <w:color w:val="000000"/>
          <w:sz w:val="22"/>
          <w:szCs w:val="22"/>
          <w:lang w:eastAsia="ru-RU"/>
        </w:rPr>
      </w:r>
    </w:p>
    <w:tbl>
      <w:tblPr>
        <w:jc w:val="center"/>
        <w:tblInd w:w="0" w:type="dxa"/>
        <w:tblW w:w="9960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pPr w:horzAnchor="margin" w:tblpXSpec="center" w:vertAnchor="text" w:tblpY="20" w:leftFromText="180" w:topFromText="0" w:rightFromText="180" w:bottomFromText="0"/>
        <w:tblLook w:val="04A0" w:firstRow="1" w:lastRow="0" w:firstColumn="1" w:lastColumn="0" w:noHBand="0" w:noVBand="1"/>
      </w:tblPr>
      <w:tblGrid>
        <w:gridCol w:w="5388"/>
        <w:gridCol w:w="4571"/>
      </w:tblGrid>
      <w:tr>
        <w:trPr>
          <w:trHeight w:val="2191"/>
        </w:trPr>
        <w:tc>
          <w:tcPr>
            <w:tcBorders/>
            <w:tcW w:w="5388" w:type="dxa"/>
            <w:textDirection w:val="lrTb"/>
            <w:noWrap w:val="false"/>
          </w:tcPr>
          <w:p>
            <w:pPr>
              <w:pStyle w:val="706"/>
              <w:keepNext w:val="true"/>
              <w:keepLines w:val="true"/>
              <w:widowControl w:val="false"/>
              <w:pBdr/>
              <w:spacing/>
              <w:ind/>
              <w:rPr>
                <w:rFonts w:eastAsia="Arial Unicode MS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b/>
                <w:color w:val="000000"/>
                <w:sz w:val="22"/>
                <w:szCs w:val="22"/>
                <w:lang w:eastAsia="ru-RU"/>
              </w:rPr>
              <w:t xml:space="preserve">Покупатель:</w:t>
            </w:r>
            <w:r>
              <w:rPr>
                <w:rFonts w:eastAsia="Arial Unicode MS"/>
                <w:b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706"/>
              <w:widowControl w:val="false"/>
              <w:pBdr/>
              <w:spacing/>
              <w:ind/>
              <w:rPr>
                <w:rFonts w:eastAsia="Arial Unicode MS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bCs/>
                <w:color w:val="000000"/>
                <w:sz w:val="22"/>
                <w:szCs w:val="22"/>
                <w:lang w:eastAsia="ru-RU"/>
              </w:rPr>
              <w:t xml:space="preserve">ФГБУН «Кировский научно-исследовательский институт гематологии и переливания крови Федерального медико-биологического агентства»</w:t>
            </w:r>
            <w:r>
              <w:rPr>
                <w:rFonts w:eastAsia="Arial Unicode MS"/>
                <w:bCs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706"/>
              <w:widowControl w:val="false"/>
              <w:pBdr/>
              <w:spacing/>
              <w:ind/>
              <w:rPr>
                <w:rFonts w:eastAsia="Arial Unicode MS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b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b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706"/>
              <w:keepNext w:val="true"/>
              <w:keepLines w:val="true"/>
              <w:widowControl w:val="false"/>
              <w:pBdr/>
              <w:spacing/>
              <w:ind/>
              <w:rPr>
                <w:rFonts w:eastAsia="Arial Unicode MS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ru-RU"/>
              </w:rPr>
              <w:t xml:space="preserve">Директор</w:t>
            </w:r>
            <w:r>
              <w:rPr>
                <w:rFonts w:eastAsia="Arial Unicode MS"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706"/>
              <w:keepNext w:val="true"/>
              <w:keepLines w:val="true"/>
              <w:widowControl w:val="false"/>
              <w:pBdr/>
              <w:spacing/>
              <w:ind/>
              <w:rPr>
                <w:rFonts w:eastAsia="Arial Unicode MS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706"/>
              <w:keepNext w:val="true"/>
              <w:keepLines w:val="true"/>
              <w:widowControl w:val="false"/>
              <w:pBdr/>
              <w:spacing/>
              <w:ind/>
              <w:rPr>
                <w:rFonts w:eastAsia="Arial Unicode MS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706"/>
              <w:keepNext w:val="true"/>
              <w:keepLines w:val="true"/>
              <w:widowControl w:val="false"/>
              <w:pBdr/>
              <w:spacing/>
              <w:ind/>
              <w:rPr>
                <w:rFonts w:eastAsia="Arial Unicode MS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ru-RU"/>
              </w:rPr>
              <w:t xml:space="preserve">_________________ И.В. Парамонов</w:t>
            </w:r>
            <w:r>
              <w:rPr>
                <w:rFonts w:eastAsia="Arial Unicode MS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/>
            <w:tcW w:w="4571" w:type="dxa"/>
            <w:textDirection w:val="lrTb"/>
            <w:noWrap w:val="false"/>
          </w:tcPr>
          <w:p>
            <w:pPr>
              <w:pStyle w:val="706"/>
              <w:widowControl w:val="false"/>
              <w:pBdr/>
              <w:spacing/>
              <w:ind/>
              <w:rPr>
                <w:rFonts w:eastAsia="Arial Unicode MS"/>
                <w:b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b/>
                <w:sz w:val="22"/>
                <w:szCs w:val="22"/>
                <w:lang w:eastAsia="ru-RU"/>
              </w:rPr>
              <w:t xml:space="preserve">Поставщик:</w:t>
            </w:r>
            <w:r>
              <w:rPr>
                <w:rFonts w:eastAsia="Arial Unicode MS"/>
                <w:b/>
                <w:sz w:val="22"/>
                <w:szCs w:val="22"/>
                <w:lang w:eastAsia="ru-RU"/>
              </w:rPr>
            </w:r>
          </w:p>
          <w:p>
            <w:pPr>
              <w:pStyle w:val="706"/>
              <w:widowControl w:val="false"/>
              <w:pBdr/>
              <w:spacing/>
              <w:ind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  <w:p>
            <w:pPr>
              <w:pStyle w:val="706"/>
              <w:widowControl w:val="false"/>
              <w:pBdr/>
              <w:spacing/>
              <w:ind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  <w:p>
            <w:pPr>
              <w:pStyle w:val="706"/>
              <w:widowControl w:val="false"/>
              <w:pBdr/>
              <w:spacing/>
              <w:ind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  <w:p>
            <w:pPr>
              <w:pStyle w:val="706"/>
              <w:widowControl w:val="false"/>
              <w:pBdr/>
              <w:spacing/>
              <w:ind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  <w:p>
            <w:pPr>
              <w:pStyle w:val="706"/>
              <w:widowControl w:val="false"/>
              <w:pBdr/>
              <w:spacing/>
              <w:ind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  <w:p>
            <w:pPr>
              <w:pStyle w:val="706"/>
              <w:widowControl w:val="false"/>
              <w:pBdr/>
              <w:spacing/>
              <w:ind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  <w:p>
            <w:pPr>
              <w:pStyle w:val="706"/>
              <w:widowControl w:val="false"/>
              <w:pBdr/>
              <w:spacing/>
              <w:ind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  <w:p>
            <w:pPr>
              <w:pStyle w:val="706"/>
              <w:widowControl w:val="false"/>
              <w:pBdr/>
              <w:spacing/>
              <w:ind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sz w:val="22"/>
                <w:szCs w:val="22"/>
                <w:lang w:eastAsia="ru-RU"/>
              </w:rPr>
              <w:t xml:space="preserve">________________________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  <w:p>
            <w:pPr>
              <w:pStyle w:val="706"/>
              <w:widowControl w:val="false"/>
              <w:pBdr/>
              <w:spacing/>
              <w:ind/>
              <w:rPr>
                <w:rFonts w:eastAsia="Arial Unicode MS"/>
                <w:sz w:val="22"/>
                <w:szCs w:val="22"/>
                <w:u w:val="single"/>
                <w:lang w:eastAsia="ru-RU"/>
              </w:rPr>
            </w:pPr>
            <w:r>
              <w:rPr>
                <w:rFonts w:eastAsia="Arial Unicode MS"/>
                <w:sz w:val="22"/>
                <w:szCs w:val="22"/>
                <w:u w:val="single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u w:val="single"/>
                <w:lang w:eastAsia="ru-RU"/>
              </w:rPr>
            </w:r>
          </w:p>
        </w:tc>
      </w:tr>
    </w:tbl>
    <w:p>
      <w:pPr>
        <w:pStyle w:val="706"/>
        <w:pBdr/>
        <w:spacing/>
        <w:ind/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</w:rPr>
      </w:r>
      <w:r>
        <w:rPr>
          <w:rFonts w:eastAsiaTheme="minorHAnsi"/>
        </w:rPr>
      </w:r>
      <w:r>
        <w:rPr>
          <w:sz w:val="22"/>
          <w:szCs w:val="22"/>
        </w:rPr>
      </w:r>
    </w:p>
    <w:sectPr>
      <w:footnotePr/>
      <w:endnotePr/>
      <w:type w:val="nextPage"/>
      <w:pgSz w:h="16838" w:orient="portrait" w:w="11906"/>
      <w:pgMar w:top="720" w:right="806" w:bottom="720" w:left="672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ahoma;Geneva;sans-serif">
    <w:panose1 w:val="020B0604030504040204"/>
  </w:font>
  <w:font w:name="Symbol">
    <w:panose1 w:val="05050102010706020507"/>
  </w:font>
  <w:font w:name="SimSun">
    <w:panose1 w:val="02010600030101010101"/>
  </w:font>
  <w:font w:name="Lucida Sans Unicode">
    <w:panose1 w:val="020B0602030504020204"/>
  </w:font>
  <w:font w:name="Wingdings">
    <w:panose1 w:val="05000000000000000000"/>
  </w:font>
  <w:font w:name="Liberation Sans">
    <w:panose1 w:val="020B0604020202020204"/>
  </w:font>
  <w:font w:name="Andale Sans UI">
    <w:panose1 w:val="05040102010807070707"/>
  </w:font>
  <w:font w:name="Segoe UI">
    <w:panose1 w:val="020B0502040204020203"/>
  </w:font>
  <w:font w:name="Arial Unicode MS">
    <w:panose1 w:val="020B060402020202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40603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tru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tru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tru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tru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tru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tru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tru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6">
    <w:name w:val="Intense Emphasis"/>
    <w:basedOn w:val="71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1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71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16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16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1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1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8">
    <w:name w:val="FollowedHyperlink"/>
    <w:basedOn w:val="71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98">
    <w:name w:val="Placeholder Text"/>
    <w:basedOn w:val="716"/>
    <w:uiPriority w:val="99"/>
    <w:semiHidden/>
    <w:pPr>
      <w:pBdr/>
      <w:spacing/>
      <w:ind/>
    </w:pPr>
    <w:rPr>
      <w:color w:val="666666"/>
    </w:rPr>
  </w:style>
  <w:style w:type="numbering" w:styleId="704" w:default="1">
    <w:name w:val="No List"/>
    <w:uiPriority w:val="99"/>
    <w:semiHidden/>
    <w:unhideWhenUsed/>
    <w:pPr>
      <w:pBdr/>
      <w:spacing/>
      <w:ind/>
    </w:pPr>
  </w:style>
  <w:style w:type="character" w:styleId="70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706" w:default="1">
    <w:name w:val="Normal"/>
    <w:qFormat/>
    <w:pPr>
      <w:widowControl w:val="true"/>
      <w:pBdr/>
      <w:shd w:val="nil"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707" w:customStyle="1">
    <w:name w:val="Heading 1"/>
    <w:qFormat/>
    <w:pPr>
      <w:keepNext w:val="true"/>
      <w:widowControl w:val="true"/>
      <w:pBdr/>
      <w:shd w:val="nil"/>
      <w:tabs>
        <w:tab w:val="left" w:leader="none" w:pos="0"/>
        <w:tab w:val="clear" w:leader="none" w:pos="709"/>
      </w:tabs>
      <w:spacing w:after="0" w:before="0"/>
      <w:ind/>
      <w:jc w:val="left"/>
      <w:outlineLvl w:val="0"/>
    </w:pPr>
    <w:rPr>
      <w:rFonts w:ascii="Times New Roman" w:hAnsi="Times New Roman" w:eastAsia="Times New Roman" w:cs="Times New Roman"/>
      <w:b/>
      <w:bCs/>
      <w:color w:val="auto"/>
      <w:sz w:val="32"/>
      <w:szCs w:val="24"/>
      <w:lang w:val="ru-RU" w:eastAsia="zh-CN" w:bidi="ar-SA"/>
    </w:rPr>
  </w:style>
  <w:style w:type="paragraph" w:styleId="708" w:customStyle="1">
    <w:name w:val="Heading 2"/>
    <w:basedOn w:val="70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09" w:customStyle="1">
    <w:name w:val="Heading 3"/>
    <w:basedOn w:val="70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10" w:customStyle="1">
    <w:name w:val="Heading 4"/>
    <w:basedOn w:val="70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1" w:customStyle="1">
    <w:name w:val="Heading 5"/>
    <w:basedOn w:val="70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712" w:customStyle="1">
    <w:name w:val="Heading 6"/>
    <w:basedOn w:val="70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3" w:customStyle="1">
    <w:name w:val="Heading 7"/>
    <w:basedOn w:val="70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4" w:customStyle="1">
    <w:name w:val="Heading 8"/>
    <w:basedOn w:val="70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5" w:customStyle="1">
    <w:name w:val="Heading 9"/>
    <w:basedOn w:val="70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717" w:customStyle="1">
    <w:name w:val="Title Char"/>
    <w:basedOn w:val="716"/>
    <w:uiPriority w:val="10"/>
    <w:qFormat/>
    <w:pPr>
      <w:pBdr/>
      <w:spacing/>
      <w:ind/>
    </w:pPr>
    <w:rPr>
      <w:sz w:val="48"/>
      <w:szCs w:val="48"/>
    </w:rPr>
  </w:style>
  <w:style w:type="character" w:styleId="718" w:customStyle="1">
    <w:name w:val="Caption Char"/>
    <w:uiPriority w:val="99"/>
    <w:qFormat/>
    <w:pPr>
      <w:pBdr/>
      <w:spacing/>
      <w:ind/>
    </w:pPr>
  </w:style>
  <w:style w:type="character" w:styleId="719" w:customStyle="1">
    <w:name w:val="Символ сноски"/>
    <w:qFormat/>
    <w:pPr>
      <w:pBdr/>
      <w:spacing/>
      <w:ind/>
    </w:pPr>
    <w:rPr>
      <w:vertAlign w:val="superscript"/>
    </w:rPr>
  </w:style>
  <w:style w:type="character" w:styleId="720">
    <w:name w:val="footnote reference"/>
    <w:pPr>
      <w:pBdr/>
      <w:spacing/>
      <w:ind/>
    </w:pPr>
    <w:rPr>
      <w:vertAlign w:val="superscript"/>
    </w:rPr>
  </w:style>
  <w:style w:type="character" w:styleId="721">
    <w:name w:val="Footnote Characters"/>
    <w:qFormat/>
    <w:pPr>
      <w:pBdr/>
      <w:spacing/>
      <w:ind/>
    </w:pPr>
    <w:rPr>
      <w:vertAlign w:val="superscript"/>
    </w:rPr>
  </w:style>
  <w:style w:type="character" w:styleId="722">
    <w:name w:val="Footnote Characters1"/>
    <w:qFormat/>
    <w:pPr>
      <w:pBdr/>
      <w:spacing/>
      <w:ind/>
    </w:pPr>
    <w:rPr>
      <w:vertAlign w:val="superscript"/>
    </w:rPr>
  </w:style>
  <w:style w:type="character" w:styleId="723">
    <w:name w:val="Footnote Characters11"/>
    <w:qFormat/>
    <w:pPr>
      <w:pBdr/>
      <w:spacing/>
      <w:ind/>
    </w:pPr>
    <w:rPr>
      <w:vertAlign w:val="superscript"/>
    </w:rPr>
  </w:style>
  <w:style w:type="character" w:styleId="724" w:customStyle="1">
    <w:name w:val="Символ концевой сноски"/>
    <w:qFormat/>
    <w:pPr>
      <w:pBdr/>
      <w:spacing/>
      <w:ind/>
    </w:pPr>
    <w:rPr>
      <w:vertAlign w:val="superscript"/>
    </w:rPr>
  </w:style>
  <w:style w:type="character" w:styleId="725">
    <w:name w:val="endnote reference"/>
    <w:pPr>
      <w:pBdr/>
      <w:spacing/>
      <w:ind/>
    </w:pPr>
    <w:rPr>
      <w:vertAlign w:val="superscript"/>
    </w:rPr>
  </w:style>
  <w:style w:type="character" w:styleId="726">
    <w:name w:val="Endnote Characters"/>
    <w:qFormat/>
    <w:pPr>
      <w:pBdr/>
      <w:spacing/>
      <w:ind/>
    </w:pPr>
    <w:rPr>
      <w:vertAlign w:val="superscript"/>
    </w:rPr>
  </w:style>
  <w:style w:type="character" w:styleId="727">
    <w:name w:val="Endnote Characters1"/>
    <w:qFormat/>
    <w:pPr>
      <w:pBdr/>
      <w:spacing/>
      <w:ind/>
    </w:pPr>
    <w:rPr>
      <w:vertAlign w:val="superscript"/>
    </w:rPr>
  </w:style>
  <w:style w:type="character" w:styleId="728">
    <w:name w:val="Endnote Characters11"/>
    <w:qFormat/>
    <w:pPr>
      <w:pBdr/>
      <w:spacing/>
      <w:ind/>
    </w:pPr>
    <w:rPr>
      <w:vertAlign w:val="superscript"/>
    </w:rPr>
  </w:style>
  <w:style w:type="character" w:styleId="729" w:customStyle="1">
    <w:name w:val="Heading 1 Char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30" w:customStyle="1">
    <w:name w:val="Heading 2 Char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31" w:customStyle="1">
    <w:name w:val="Heading 3 Char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32" w:customStyle="1">
    <w:name w:val="Heading 4 Char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33" w:customStyle="1">
    <w:name w:val="Heading 5 Char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34" w:customStyle="1">
    <w:name w:val="Heading 6 Char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35" w:customStyle="1">
    <w:name w:val="Heading 7 Char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 w:customStyle="1">
    <w:name w:val="Heading 8 Char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37" w:customStyle="1">
    <w:name w:val="Heading 9 Char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38" w:customStyle="1">
    <w:name w:val="Оглавление 3 Знак"/>
    <w:uiPriority w:val="10"/>
    <w:qFormat/>
    <w:pPr>
      <w:pBdr/>
      <w:spacing/>
      <w:ind/>
    </w:pPr>
    <w:rPr>
      <w:sz w:val="48"/>
      <w:szCs w:val="48"/>
    </w:rPr>
  </w:style>
  <w:style w:type="character" w:styleId="739" w:customStyle="1">
    <w:name w:val="Subtitle Char"/>
    <w:uiPriority w:val="11"/>
    <w:qFormat/>
    <w:pPr>
      <w:pBdr/>
      <w:spacing/>
      <w:ind/>
    </w:pPr>
    <w:rPr>
      <w:sz w:val="24"/>
      <w:szCs w:val="24"/>
    </w:rPr>
  </w:style>
  <w:style w:type="character" w:styleId="740" w:customStyle="1">
    <w:name w:val="Quote Char"/>
    <w:uiPriority w:val="29"/>
    <w:qFormat/>
    <w:pPr>
      <w:pBdr/>
      <w:spacing/>
      <w:ind/>
    </w:pPr>
    <w:rPr>
      <w:i/>
    </w:rPr>
  </w:style>
  <w:style w:type="character" w:styleId="741" w:customStyle="1">
    <w:name w:val="Intense Quote Char"/>
    <w:uiPriority w:val="30"/>
    <w:qFormat/>
    <w:pPr>
      <w:pBdr/>
      <w:spacing/>
      <w:ind/>
    </w:pPr>
    <w:rPr>
      <w:i/>
    </w:rPr>
  </w:style>
  <w:style w:type="character" w:styleId="742" w:customStyle="1">
    <w:name w:val="Header Char"/>
    <w:basedOn w:val="716"/>
    <w:uiPriority w:val="99"/>
    <w:qFormat/>
    <w:pPr>
      <w:pBdr/>
      <w:spacing/>
      <w:ind/>
    </w:pPr>
  </w:style>
  <w:style w:type="character" w:styleId="743" w:customStyle="1">
    <w:name w:val="Footer Char"/>
    <w:basedOn w:val="716"/>
    <w:uiPriority w:val="99"/>
    <w:qFormat/>
    <w:pPr>
      <w:pBdr/>
      <w:spacing/>
      <w:ind/>
    </w:pPr>
  </w:style>
  <w:style w:type="character" w:styleId="744" w:customStyle="1">
    <w:name w:val="Оглавление 4 Знак"/>
    <w:uiPriority w:val="99"/>
    <w:qFormat/>
    <w:pPr>
      <w:pBdr/>
      <w:spacing/>
      <w:ind/>
    </w:pPr>
  </w:style>
  <w:style w:type="character" w:styleId="745">
    <w:name w:val="Internet Link"/>
    <w:qFormat/>
    <w:pPr>
      <w:pBdr/>
      <w:spacing/>
      <w:ind/>
    </w:pPr>
    <w:rPr>
      <w:color w:val="000080"/>
      <w:u w:val="single"/>
      <w:lang w:val="en-US" w:eastAsia="en-US" w:bidi="en-US"/>
    </w:rPr>
  </w:style>
  <w:style w:type="character" w:styleId="746" w:customStyle="1">
    <w:name w:val="Footnote Text Char"/>
    <w:uiPriority w:val="99"/>
    <w:qFormat/>
    <w:pPr>
      <w:pBdr/>
      <w:spacing/>
      <w:ind/>
    </w:pPr>
    <w:rPr>
      <w:sz w:val="18"/>
    </w:rPr>
  </w:style>
  <w:style w:type="character" w:styleId="747" w:customStyle="1">
    <w:name w:val="Footnote Characters111"/>
    <w:uiPriority w:val="99"/>
    <w:unhideWhenUsed/>
    <w:qFormat/>
    <w:pPr>
      <w:pBdr/>
      <w:spacing/>
      <w:ind/>
    </w:pPr>
    <w:rPr>
      <w:vertAlign w:val="superscript"/>
    </w:rPr>
  </w:style>
  <w:style w:type="character" w:styleId="748" w:customStyle="1">
    <w:name w:val="Endnote Text Char"/>
    <w:uiPriority w:val="99"/>
    <w:qFormat/>
    <w:pPr>
      <w:pBdr/>
      <w:spacing/>
      <w:ind/>
    </w:pPr>
    <w:rPr>
      <w:sz w:val="20"/>
    </w:rPr>
  </w:style>
  <w:style w:type="character" w:styleId="749" w:customStyle="1">
    <w:name w:val="Endnote Characters111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50" w:customStyle="1">
    <w:name w:val="WW8Num1z0"/>
    <w:qFormat/>
    <w:pPr>
      <w:pBdr/>
      <w:spacing/>
      <w:ind/>
    </w:pPr>
  </w:style>
  <w:style w:type="character" w:styleId="751" w:customStyle="1">
    <w:name w:val="WW8Num1z1"/>
    <w:qFormat/>
    <w:pPr>
      <w:pBdr/>
      <w:spacing/>
      <w:ind/>
    </w:pPr>
  </w:style>
  <w:style w:type="character" w:styleId="752" w:customStyle="1">
    <w:name w:val="WW8Num1z2"/>
    <w:qFormat/>
    <w:pPr>
      <w:pBdr/>
      <w:spacing/>
      <w:ind/>
    </w:pPr>
  </w:style>
  <w:style w:type="character" w:styleId="753" w:customStyle="1">
    <w:name w:val="WW8Num1z3"/>
    <w:qFormat/>
    <w:pPr>
      <w:pBdr/>
      <w:spacing/>
      <w:ind/>
    </w:pPr>
  </w:style>
  <w:style w:type="character" w:styleId="754" w:customStyle="1">
    <w:name w:val="WW8Num1z4"/>
    <w:qFormat/>
    <w:pPr>
      <w:pBdr/>
      <w:spacing/>
      <w:ind/>
    </w:pPr>
  </w:style>
  <w:style w:type="character" w:styleId="755" w:customStyle="1">
    <w:name w:val="WW8Num1z5"/>
    <w:qFormat/>
    <w:pPr>
      <w:pBdr/>
      <w:spacing/>
      <w:ind/>
    </w:pPr>
  </w:style>
  <w:style w:type="character" w:styleId="756" w:customStyle="1">
    <w:name w:val="WW8Num1z6"/>
    <w:qFormat/>
    <w:pPr>
      <w:pBdr/>
      <w:spacing/>
      <w:ind/>
    </w:pPr>
  </w:style>
  <w:style w:type="character" w:styleId="757" w:customStyle="1">
    <w:name w:val="WW8Num1z7"/>
    <w:qFormat/>
    <w:pPr>
      <w:pBdr/>
      <w:spacing/>
      <w:ind/>
    </w:pPr>
  </w:style>
  <w:style w:type="character" w:styleId="758" w:customStyle="1">
    <w:name w:val="WW8Num1z8"/>
    <w:qFormat/>
    <w:pPr>
      <w:pBdr/>
      <w:spacing/>
      <w:ind/>
    </w:pPr>
  </w:style>
  <w:style w:type="character" w:styleId="759" w:customStyle="1">
    <w:name w:val="WW8Num2z0"/>
    <w:qFormat/>
    <w:pPr>
      <w:pBdr/>
      <w:spacing/>
      <w:ind/>
    </w:pPr>
  </w:style>
  <w:style w:type="character" w:styleId="760" w:customStyle="1">
    <w:name w:val="WW8Num3z0"/>
    <w:qFormat/>
    <w:pPr>
      <w:pBdr/>
      <w:spacing/>
      <w:ind/>
    </w:pPr>
  </w:style>
  <w:style w:type="character" w:styleId="761" w:customStyle="1">
    <w:name w:val="WW8Num4z0"/>
    <w:qFormat/>
    <w:pPr>
      <w:pBdr/>
      <w:spacing/>
      <w:ind/>
    </w:pPr>
  </w:style>
  <w:style w:type="character" w:styleId="762" w:customStyle="1">
    <w:name w:val="WW8Num4z1"/>
    <w:qFormat/>
    <w:pPr>
      <w:pBdr/>
      <w:spacing/>
      <w:ind/>
    </w:pPr>
    <w:rPr>
      <w:b/>
      <w:bCs/>
      <w:sz w:val="18"/>
    </w:rPr>
  </w:style>
  <w:style w:type="character" w:styleId="763" w:customStyle="1">
    <w:name w:val="WW8Num4z2"/>
    <w:qFormat/>
    <w:pPr>
      <w:pBdr/>
      <w:spacing/>
      <w:ind/>
    </w:pPr>
  </w:style>
  <w:style w:type="character" w:styleId="764" w:customStyle="1">
    <w:name w:val="WW8Num4z3"/>
    <w:qFormat/>
    <w:pPr>
      <w:pBdr/>
      <w:spacing/>
      <w:ind/>
    </w:pPr>
  </w:style>
  <w:style w:type="character" w:styleId="765" w:customStyle="1">
    <w:name w:val="WW8Num4z4"/>
    <w:qFormat/>
    <w:pPr>
      <w:pBdr/>
      <w:spacing/>
      <w:ind/>
    </w:pPr>
  </w:style>
  <w:style w:type="character" w:styleId="766" w:customStyle="1">
    <w:name w:val="WW8Num4z5"/>
    <w:qFormat/>
    <w:pPr>
      <w:pBdr/>
      <w:spacing/>
      <w:ind/>
    </w:pPr>
  </w:style>
  <w:style w:type="character" w:styleId="767" w:customStyle="1">
    <w:name w:val="WW8Num4z6"/>
    <w:qFormat/>
    <w:pPr>
      <w:pBdr/>
      <w:spacing/>
      <w:ind/>
    </w:pPr>
  </w:style>
  <w:style w:type="character" w:styleId="768" w:customStyle="1">
    <w:name w:val="WW8Num4z7"/>
    <w:qFormat/>
    <w:pPr>
      <w:pBdr/>
      <w:spacing/>
      <w:ind/>
    </w:pPr>
  </w:style>
  <w:style w:type="character" w:styleId="769" w:customStyle="1">
    <w:name w:val="WW8Num4z8"/>
    <w:qFormat/>
    <w:pPr>
      <w:pBdr/>
      <w:spacing/>
      <w:ind/>
    </w:pPr>
  </w:style>
  <w:style w:type="character" w:styleId="770" w:customStyle="1">
    <w:name w:val="WW8Num3z1"/>
    <w:qFormat/>
    <w:pPr>
      <w:pBdr/>
      <w:spacing/>
      <w:ind/>
    </w:pPr>
    <w:rPr>
      <w:sz w:val="18"/>
    </w:rPr>
  </w:style>
  <w:style w:type="character" w:styleId="771" w:customStyle="1">
    <w:name w:val="WW8Num3z2"/>
    <w:qFormat/>
    <w:pPr>
      <w:pBdr/>
      <w:spacing/>
      <w:ind/>
    </w:pPr>
  </w:style>
  <w:style w:type="character" w:styleId="772" w:customStyle="1">
    <w:name w:val="WW8Num3z3"/>
    <w:qFormat/>
    <w:pPr>
      <w:pBdr/>
      <w:spacing/>
      <w:ind/>
    </w:pPr>
  </w:style>
  <w:style w:type="character" w:styleId="773" w:customStyle="1">
    <w:name w:val="WW8Num3z4"/>
    <w:qFormat/>
    <w:pPr>
      <w:pBdr/>
      <w:spacing/>
      <w:ind/>
    </w:pPr>
  </w:style>
  <w:style w:type="character" w:styleId="774" w:customStyle="1">
    <w:name w:val="WW8Num3z5"/>
    <w:qFormat/>
    <w:pPr>
      <w:pBdr/>
      <w:spacing/>
      <w:ind/>
    </w:pPr>
  </w:style>
  <w:style w:type="character" w:styleId="775" w:customStyle="1">
    <w:name w:val="WW8Num3z6"/>
    <w:qFormat/>
    <w:pPr>
      <w:pBdr/>
      <w:spacing/>
      <w:ind/>
    </w:pPr>
  </w:style>
  <w:style w:type="character" w:styleId="776" w:customStyle="1">
    <w:name w:val="WW8Num3z7"/>
    <w:qFormat/>
    <w:pPr>
      <w:pBdr/>
      <w:spacing/>
      <w:ind/>
    </w:pPr>
  </w:style>
  <w:style w:type="character" w:styleId="777" w:customStyle="1">
    <w:name w:val="WW8Num3z8"/>
    <w:qFormat/>
    <w:pPr>
      <w:pBdr/>
      <w:spacing/>
      <w:ind/>
    </w:pPr>
  </w:style>
  <w:style w:type="character" w:styleId="778" w:customStyle="1">
    <w:name w:val="Верхний колонтитул Знак"/>
    <w:qFormat/>
    <w:pPr>
      <w:pBdr/>
      <w:spacing/>
      <w:ind/>
    </w:pPr>
  </w:style>
  <w:style w:type="character" w:styleId="779" w:customStyle="1">
    <w:name w:val="Основной шрифт абзаца2"/>
    <w:qFormat/>
    <w:pPr>
      <w:pBdr/>
      <w:spacing/>
      <w:ind/>
    </w:pPr>
  </w:style>
  <w:style w:type="character" w:styleId="780" w:customStyle="1">
    <w:name w:val="Absatz-Standardschriftart"/>
    <w:qFormat/>
    <w:pPr>
      <w:pBdr/>
      <w:spacing/>
      <w:ind/>
    </w:pPr>
  </w:style>
  <w:style w:type="character" w:styleId="781" w:customStyle="1">
    <w:name w:val="WW-Absatz-Standardschriftart"/>
    <w:qFormat/>
    <w:pPr>
      <w:pBdr/>
      <w:spacing/>
      <w:ind/>
    </w:pPr>
  </w:style>
  <w:style w:type="character" w:styleId="782" w:customStyle="1">
    <w:name w:val="WW-Absatz-Standardschriftart1"/>
    <w:qFormat/>
    <w:pPr>
      <w:pBdr/>
      <w:spacing/>
      <w:ind/>
    </w:pPr>
  </w:style>
  <w:style w:type="character" w:styleId="783" w:customStyle="1">
    <w:name w:val="WW-Absatz-Standardschriftart11"/>
    <w:qFormat/>
    <w:pPr>
      <w:pBdr/>
      <w:spacing/>
      <w:ind/>
    </w:pPr>
  </w:style>
  <w:style w:type="character" w:styleId="784" w:customStyle="1">
    <w:name w:val="WW-Absatz-Standardschriftart111"/>
    <w:qFormat/>
    <w:pPr>
      <w:pBdr/>
      <w:spacing/>
      <w:ind/>
    </w:pPr>
  </w:style>
  <w:style w:type="character" w:styleId="785" w:customStyle="1">
    <w:name w:val="WW-Absatz-Standardschriftart1111"/>
    <w:qFormat/>
    <w:pPr>
      <w:pBdr/>
      <w:spacing/>
      <w:ind/>
    </w:pPr>
  </w:style>
  <w:style w:type="character" w:styleId="786" w:customStyle="1">
    <w:name w:val="WW-Absatz-Standardschriftart11111"/>
    <w:qFormat/>
    <w:pPr>
      <w:pBdr/>
      <w:spacing/>
      <w:ind/>
    </w:pPr>
  </w:style>
  <w:style w:type="character" w:styleId="787" w:customStyle="1">
    <w:name w:val="WW-Absatz-Standardschriftart111111"/>
    <w:qFormat/>
    <w:pPr>
      <w:pBdr/>
      <w:spacing/>
      <w:ind/>
    </w:pPr>
  </w:style>
  <w:style w:type="character" w:styleId="788" w:customStyle="1">
    <w:name w:val="WW-Absatz-Standardschriftart1111111"/>
    <w:qFormat/>
    <w:pPr>
      <w:pBdr/>
      <w:spacing/>
      <w:ind/>
    </w:pPr>
  </w:style>
  <w:style w:type="character" w:styleId="789" w:customStyle="1">
    <w:name w:val="WW-Absatz-Standardschriftart11111111"/>
    <w:qFormat/>
    <w:pPr>
      <w:pBdr/>
      <w:spacing/>
      <w:ind/>
    </w:pPr>
  </w:style>
  <w:style w:type="character" w:styleId="790" w:customStyle="1">
    <w:name w:val="Основной шрифт абзаца1"/>
    <w:qFormat/>
    <w:pPr>
      <w:pBdr/>
      <w:spacing/>
      <w:ind/>
    </w:pPr>
  </w:style>
  <w:style w:type="character" w:styleId="791" w:customStyle="1">
    <w:name w:val="Символ нумерации"/>
    <w:qFormat/>
    <w:pPr>
      <w:pBdr/>
      <w:spacing/>
      <w:ind/>
    </w:pPr>
  </w:style>
  <w:style w:type="character" w:styleId="792" w:customStyle="1">
    <w:name w:val="Текст выноски Знак"/>
    <w:qFormat/>
    <w:pPr>
      <w:pBdr/>
      <w:spacing/>
      <w:ind/>
    </w:pPr>
    <w:rPr>
      <w:rFonts w:ascii="Segoe UI" w:hAnsi="Segoe UI"/>
      <w:sz w:val="18"/>
      <w:szCs w:val="18"/>
    </w:rPr>
  </w:style>
  <w:style w:type="character" w:styleId="793" w:customStyle="1">
    <w:name w:val="WW-Absatz-Standardschriftart111111111111111"/>
    <w:qFormat/>
    <w:pPr>
      <w:pBdr/>
      <w:spacing/>
      <w:ind/>
    </w:pPr>
  </w:style>
  <w:style w:type="character" w:styleId="794" w:customStyle="1">
    <w:name w:val="WW-Absatz-Standardschriftart11111111111111"/>
    <w:qFormat/>
    <w:pPr>
      <w:pBdr/>
      <w:spacing/>
      <w:ind/>
    </w:pPr>
  </w:style>
  <w:style w:type="character" w:styleId="795" w:customStyle="1">
    <w:name w:val="WW-Absatz-Standardschriftart1111111111111"/>
    <w:qFormat/>
    <w:pPr>
      <w:pBdr/>
      <w:spacing/>
      <w:ind/>
    </w:pPr>
  </w:style>
  <w:style w:type="character" w:styleId="796" w:customStyle="1">
    <w:name w:val="WW-Absatz-Standardschriftart111111111111"/>
    <w:qFormat/>
    <w:pPr>
      <w:pBdr/>
      <w:spacing/>
      <w:ind/>
    </w:pPr>
  </w:style>
  <w:style w:type="character" w:styleId="797" w:customStyle="1">
    <w:name w:val="WW-Absatz-Standardschriftart11111111111"/>
    <w:qFormat/>
    <w:pPr>
      <w:pBdr/>
      <w:spacing/>
      <w:ind/>
    </w:pPr>
  </w:style>
  <w:style w:type="character" w:styleId="798" w:customStyle="1">
    <w:name w:val="WW-Absatz-Standardschriftart1111111111"/>
    <w:qFormat/>
    <w:pPr>
      <w:pBdr/>
      <w:spacing/>
      <w:ind/>
    </w:pPr>
  </w:style>
  <w:style w:type="character" w:styleId="799" w:customStyle="1">
    <w:name w:val="WW-Absatz-Standardschriftart111111111"/>
    <w:qFormat/>
    <w:pPr>
      <w:pBdr/>
      <w:spacing/>
      <w:ind/>
    </w:pPr>
  </w:style>
  <w:style w:type="character" w:styleId="800" w:customStyle="1">
    <w:name w:val="Основной шрифт абзаца3"/>
    <w:qFormat/>
    <w:pPr>
      <w:pBdr/>
      <w:spacing/>
      <w:ind/>
    </w:pPr>
  </w:style>
  <w:style w:type="character" w:styleId="801" w:customStyle="1">
    <w:name w:val="Основной текст Знак"/>
    <w:qFormat/>
    <w:pPr>
      <w:pBdr/>
      <w:spacing/>
      <w:ind/>
    </w:pPr>
    <w:rPr>
      <w:sz w:val="22"/>
      <w:szCs w:val="24"/>
    </w:rPr>
  </w:style>
  <w:style w:type="paragraph" w:styleId="802" w:customStyle="1">
    <w:name w:val="Заголовок"/>
    <w:basedOn w:val="706"/>
    <w:next w:val="803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803">
    <w:name w:val="Body Text"/>
    <w:basedOn w:val="706"/>
    <w:pPr>
      <w:pBdr/>
      <w:spacing/>
      <w:ind/>
    </w:pPr>
    <w:rPr>
      <w:sz w:val="22"/>
    </w:rPr>
  </w:style>
  <w:style w:type="paragraph" w:styleId="804">
    <w:name w:val="List"/>
    <w:basedOn w:val="803"/>
    <w:pPr>
      <w:pBdr/>
      <w:spacing/>
      <w:ind/>
    </w:pPr>
  </w:style>
  <w:style w:type="paragraph" w:styleId="805" w:customStyle="1">
    <w:name w:val="Caption"/>
    <w:basedOn w:val="706"/>
    <w:qFormat/>
    <w:pPr>
      <w:suppressLineNumbers w:val="true"/>
      <w:pBdr/>
      <w:spacing w:after="120" w:before="120"/>
      <w:ind/>
    </w:pPr>
    <w:rPr>
      <w:i/>
      <w:iCs/>
    </w:rPr>
  </w:style>
  <w:style w:type="paragraph" w:styleId="806">
    <w:name w:val="Указатель"/>
    <w:basedOn w:val="706"/>
    <w:qFormat/>
    <w:pPr>
      <w:suppressLineNumbers w:val="true"/>
      <w:pBdr/>
      <w:spacing/>
      <w:ind/>
    </w:pPr>
    <w:rPr>
      <w:rFonts w:cs="Arial"/>
    </w:rPr>
  </w:style>
  <w:style w:type="paragraph" w:styleId="807">
    <w:name w:val="index heading1"/>
    <w:basedOn w:val="706"/>
    <w:qFormat/>
    <w:pPr>
      <w:suppressLineNumbers w:val="true"/>
      <w:pBdr/>
      <w:spacing/>
      <w:ind/>
    </w:pPr>
    <w:rPr>
      <w:rFonts w:cs="Arial"/>
    </w:rPr>
  </w:style>
  <w:style w:type="paragraph" w:styleId="808">
    <w:name w:val="Title"/>
    <w:basedOn w:val="70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809" w:customStyle="1">
    <w:name w:val="index heading11"/>
    <w:basedOn w:val="706"/>
    <w:qFormat/>
    <w:pPr>
      <w:suppressLineNumbers w:val="true"/>
      <w:pBdr/>
      <w:spacing/>
      <w:ind/>
    </w:pPr>
  </w:style>
  <w:style w:type="paragraph" w:styleId="810">
    <w:name w:val="List Paragraph"/>
    <w:uiPriority w:val="34"/>
    <w:qFormat/>
    <w:pPr>
      <w:widowControl w:val="true"/>
      <w:pBdr/>
      <w:spacing w:after="0" w:before="0"/>
      <w:ind w:left="720"/>
      <w:contextualSpacing w:val="true"/>
      <w:jc w:val="left"/>
    </w:pPr>
    <w:rPr>
      <w:rFonts w:ascii="Times New Roman" w:hAnsi="Times New Roman" w:eastAsia="NSimSun" w:cs="Mangal"/>
      <w:color w:val="auto"/>
      <w:sz w:val="20"/>
      <w:szCs w:val="20"/>
      <w:lang w:val="ru-RU" w:eastAsia="zh-CN" w:bidi="ar-SA"/>
    </w:rPr>
  </w:style>
  <w:style w:type="paragraph" w:styleId="811">
    <w:name w:val="No Spacing"/>
    <w:uiPriority w:val="1"/>
    <w:qFormat/>
    <w:pPr>
      <w:widowControl w:val="true"/>
      <w:pBdr/>
      <w:spacing w:after="0" w:before="0"/>
      <w:ind/>
      <w:jc w:val="left"/>
    </w:pPr>
    <w:rPr>
      <w:rFonts w:ascii="Times New Roman" w:hAnsi="Times New Roman" w:eastAsia="NSimSun" w:cs="Mangal"/>
      <w:color w:val="auto"/>
      <w:sz w:val="20"/>
      <w:szCs w:val="20"/>
      <w:lang w:val="ru-RU" w:eastAsia="zh-CN" w:bidi="ar-SA"/>
    </w:rPr>
  </w:style>
  <w:style w:type="paragraph" w:styleId="812">
    <w:name w:val="Subtitle"/>
    <w:basedOn w:val="706"/>
    <w:uiPriority w:val="11"/>
    <w:qFormat/>
    <w:pPr>
      <w:pBdr/>
      <w:spacing w:after="200" w:before="200"/>
      <w:ind/>
    </w:pPr>
  </w:style>
  <w:style w:type="paragraph" w:styleId="813">
    <w:name w:val="Quote"/>
    <w:uiPriority w:val="29"/>
    <w:qFormat/>
    <w:pPr>
      <w:widowControl w:val="true"/>
      <w:pBdr/>
      <w:spacing w:after="0" w:before="0"/>
      <w:ind w:right="720" w:left="720"/>
      <w:jc w:val="left"/>
    </w:pPr>
    <w:rPr>
      <w:rFonts w:ascii="Times New Roman" w:hAnsi="Times New Roman" w:eastAsia="NSimSun" w:cs="Mangal"/>
      <w:i/>
      <w:color w:val="auto"/>
      <w:sz w:val="20"/>
      <w:szCs w:val="20"/>
      <w:lang w:val="ru-RU" w:eastAsia="zh-CN" w:bidi="ar-SA"/>
    </w:rPr>
  </w:style>
  <w:style w:type="paragraph" w:styleId="814">
    <w:name w:val="Intense Quote"/>
    <w:uiPriority w:val="30"/>
    <w:qFormat/>
    <w:pPr>
      <w:widowControl w:val="true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0" w:before="0"/>
      <w:ind w:right="720" w:left="720"/>
      <w:jc w:val="left"/>
    </w:pPr>
    <w:rPr>
      <w:rFonts w:ascii="Times New Roman" w:hAnsi="Times New Roman" w:eastAsia="NSimSun" w:cs="Mangal"/>
      <w:i/>
      <w:color w:val="auto"/>
      <w:sz w:val="20"/>
      <w:szCs w:val="20"/>
      <w:lang w:val="ru-RU" w:eastAsia="zh-CN" w:bidi="ar-SA"/>
    </w:rPr>
  </w:style>
  <w:style w:type="paragraph" w:styleId="815" w:customStyle="1">
    <w:name w:val="Верхний и нижний колонтитулы"/>
    <w:basedOn w:val="706"/>
    <w:qFormat/>
    <w:pPr>
      <w:pBdr/>
      <w:spacing/>
      <w:ind/>
    </w:pPr>
  </w:style>
  <w:style w:type="paragraph" w:styleId="816" w:customStyle="1">
    <w:name w:val="Колонтитул"/>
    <w:basedOn w:val="706"/>
    <w:qFormat/>
    <w:pPr>
      <w:pBdr/>
      <w:spacing/>
      <w:ind/>
    </w:pPr>
  </w:style>
  <w:style w:type="paragraph" w:styleId="817">
    <w:name w:val="Header and Footer"/>
    <w:basedOn w:val="706"/>
    <w:qFormat/>
    <w:pPr>
      <w:pBdr/>
      <w:spacing/>
      <w:ind/>
    </w:pPr>
  </w:style>
  <w:style w:type="paragraph" w:styleId="818" w:customStyle="1">
    <w:name w:val="Header"/>
    <w:basedOn w:val="815"/>
    <w:uiPriority w:val="99"/>
    <w:unhideWhenUsed/>
    <w:pPr>
      <w:pBdr/>
      <w:tabs>
        <w:tab w:val="clear" w:leader="none" w:pos="709"/>
        <w:tab w:val="center" w:leader="none" w:pos="7143"/>
        <w:tab w:val="right" w:leader="none" w:pos="14287"/>
      </w:tabs>
      <w:spacing/>
      <w:ind/>
    </w:pPr>
  </w:style>
  <w:style w:type="paragraph" w:styleId="819" w:customStyle="1">
    <w:name w:val="Footer"/>
    <w:basedOn w:val="815"/>
    <w:uiPriority w:val="99"/>
    <w:unhideWhenUsed/>
    <w:pPr>
      <w:pBdr/>
      <w:tabs>
        <w:tab w:val="clear" w:leader="none" w:pos="709"/>
        <w:tab w:val="center" w:leader="none" w:pos="7143"/>
        <w:tab w:val="right" w:leader="none" w:pos="14287"/>
      </w:tabs>
      <w:spacing/>
      <w:ind/>
    </w:pPr>
  </w:style>
  <w:style w:type="paragraph" w:styleId="820" w:customStyle="1">
    <w:name w:val="footnote text"/>
    <w:basedOn w:val="706"/>
    <w:uiPriority w:val="99"/>
    <w:semiHidden/>
    <w:unhideWhenUsed/>
    <w:pPr>
      <w:pBdr/>
      <w:spacing w:after="40" w:before="0"/>
      <w:ind/>
    </w:pPr>
    <w:rPr>
      <w:sz w:val="18"/>
    </w:rPr>
  </w:style>
  <w:style w:type="paragraph" w:styleId="821" w:customStyle="1">
    <w:name w:val="endnote text"/>
    <w:basedOn w:val="706"/>
    <w:uiPriority w:val="99"/>
    <w:semiHidden/>
    <w:unhideWhenUsed/>
    <w:pPr>
      <w:pBdr/>
      <w:spacing/>
      <w:ind/>
    </w:pPr>
    <w:rPr>
      <w:sz w:val="20"/>
    </w:rPr>
  </w:style>
  <w:style w:type="paragraph" w:styleId="822" w:customStyle="1">
    <w:name w:val="toc 1"/>
    <w:basedOn w:val="809"/>
    <w:uiPriority w:val="39"/>
    <w:unhideWhenUsed/>
    <w:pPr>
      <w:pBdr/>
      <w:spacing w:after="57" w:before="0"/>
      <w:ind/>
    </w:pPr>
  </w:style>
  <w:style w:type="paragraph" w:styleId="823" w:customStyle="1">
    <w:name w:val="toc 2"/>
    <w:basedOn w:val="809"/>
    <w:uiPriority w:val="39"/>
    <w:unhideWhenUsed/>
    <w:pPr>
      <w:pBdr/>
      <w:spacing w:after="57" w:before="0"/>
      <w:ind w:left="283"/>
    </w:pPr>
  </w:style>
  <w:style w:type="paragraph" w:styleId="824" w:customStyle="1">
    <w:name w:val="toc 3"/>
    <w:basedOn w:val="809"/>
    <w:uiPriority w:val="39"/>
    <w:unhideWhenUsed/>
    <w:pPr>
      <w:pBdr/>
      <w:spacing w:after="57" w:before="0"/>
      <w:ind w:left="567"/>
    </w:pPr>
  </w:style>
  <w:style w:type="paragraph" w:styleId="825" w:customStyle="1">
    <w:name w:val="toc 4"/>
    <w:basedOn w:val="809"/>
    <w:uiPriority w:val="39"/>
    <w:unhideWhenUsed/>
    <w:pPr>
      <w:pBdr/>
      <w:spacing w:after="57" w:before="0"/>
      <w:ind w:left="850"/>
    </w:pPr>
  </w:style>
  <w:style w:type="paragraph" w:styleId="826" w:customStyle="1">
    <w:name w:val="toc 5"/>
    <w:basedOn w:val="809"/>
    <w:uiPriority w:val="39"/>
    <w:unhideWhenUsed/>
    <w:pPr>
      <w:pBdr/>
      <w:spacing w:after="57" w:before="0"/>
      <w:ind w:left="1134"/>
    </w:pPr>
  </w:style>
  <w:style w:type="paragraph" w:styleId="827" w:customStyle="1">
    <w:name w:val="toc 6"/>
    <w:basedOn w:val="809"/>
    <w:uiPriority w:val="39"/>
    <w:unhideWhenUsed/>
    <w:pPr>
      <w:pBdr/>
      <w:spacing w:after="57" w:before="0"/>
      <w:ind w:left="1417"/>
    </w:pPr>
  </w:style>
  <w:style w:type="paragraph" w:styleId="828" w:customStyle="1">
    <w:name w:val="toc 7"/>
    <w:basedOn w:val="809"/>
    <w:uiPriority w:val="39"/>
    <w:unhideWhenUsed/>
    <w:pPr>
      <w:pBdr/>
      <w:spacing w:after="57" w:before="0"/>
      <w:ind w:left="1701"/>
    </w:pPr>
  </w:style>
  <w:style w:type="paragraph" w:styleId="829" w:customStyle="1">
    <w:name w:val="toc 8"/>
    <w:basedOn w:val="809"/>
    <w:uiPriority w:val="39"/>
    <w:unhideWhenUsed/>
    <w:pPr>
      <w:pBdr/>
      <w:spacing w:after="57" w:before="0"/>
      <w:ind w:left="1984"/>
    </w:pPr>
  </w:style>
  <w:style w:type="paragraph" w:styleId="830" w:customStyle="1">
    <w:name w:val="toc 9"/>
    <w:basedOn w:val="809"/>
    <w:uiPriority w:val="39"/>
    <w:unhideWhenUsed/>
    <w:pPr>
      <w:pBdr/>
      <w:spacing w:after="57" w:before="0"/>
      <w:ind w:left="2268"/>
    </w:pPr>
  </w:style>
  <w:style w:type="paragraph" w:styleId="831" w:customStyle="1">
    <w:name w:val="Index Heading"/>
    <w:basedOn w:val="802"/>
    <w:pPr>
      <w:pBdr/>
      <w:spacing/>
      <w:ind/>
    </w:pPr>
  </w:style>
  <w:style w:type="paragraph" w:styleId="832">
    <w:name w:val="TOC Heading"/>
    <w:uiPriority w:val="39"/>
    <w:unhideWhenUsed/>
    <w:qFormat/>
    <w:pPr>
      <w:widowControl w:val="true"/>
      <w:pBdr/>
      <w:spacing w:after="0" w:before="0"/>
      <w:ind/>
      <w:jc w:val="left"/>
    </w:pPr>
    <w:rPr>
      <w:rFonts w:ascii="Times New Roman" w:hAnsi="Times New Roman" w:eastAsia="NSimSun" w:cs="Mangal"/>
      <w:color w:val="auto"/>
      <w:sz w:val="20"/>
      <w:szCs w:val="20"/>
      <w:lang w:val="ru-RU" w:eastAsia="zh-CN" w:bidi="ar-SA"/>
    </w:rPr>
  </w:style>
  <w:style w:type="paragraph" w:styleId="833" w:customStyle="1">
    <w:name w:val="table of figures"/>
    <w:uiPriority w:val="99"/>
    <w:unhideWhenUsed/>
    <w:qFormat/>
    <w:pPr>
      <w:widowControl w:val="true"/>
      <w:pBdr/>
      <w:spacing w:after="0" w:before="0"/>
      <w:ind/>
      <w:jc w:val="left"/>
    </w:pPr>
    <w:rPr>
      <w:rFonts w:ascii="Times New Roman" w:hAnsi="Times New Roman" w:eastAsia="NSimSun" w:cs="Mangal"/>
      <w:color w:val="auto"/>
      <w:sz w:val="20"/>
      <w:szCs w:val="20"/>
      <w:lang w:val="ru-RU" w:eastAsia="zh-CN" w:bidi="ar-SA"/>
    </w:rPr>
  </w:style>
  <w:style w:type="paragraph" w:styleId="834" w:customStyle="1">
    <w:name w:val="Заголовок1"/>
    <w:basedOn w:val="706"/>
    <w:qFormat/>
    <w:pPr>
      <w:keepNext w:val="true"/>
      <w:pBdr/>
      <w:spacing w:after="120" w:before="240"/>
      <w:ind/>
    </w:pPr>
    <w:rPr>
      <w:rFonts w:ascii="Arial" w:hAnsi="Arial" w:eastAsia="Lucida Sans Unicode"/>
      <w:sz w:val="28"/>
      <w:szCs w:val="28"/>
    </w:rPr>
  </w:style>
  <w:style w:type="paragraph" w:styleId="835" w:customStyle="1">
    <w:name w:val="Указатель4"/>
    <w:basedOn w:val="706"/>
    <w:qFormat/>
    <w:pPr>
      <w:suppressLineNumbers w:val="true"/>
      <w:pBdr/>
      <w:spacing/>
      <w:ind/>
    </w:pPr>
  </w:style>
  <w:style w:type="paragraph" w:styleId="836" w:customStyle="1">
    <w:name w:val="Название2"/>
    <w:basedOn w:val="706"/>
    <w:qFormat/>
    <w:pPr>
      <w:suppressLineNumbers w:val="true"/>
      <w:pBdr/>
      <w:spacing w:after="120" w:before="120"/>
      <w:ind/>
    </w:pPr>
    <w:rPr>
      <w:rFonts w:ascii="Arial" w:hAnsi="Arial"/>
      <w:i/>
      <w:iCs/>
      <w:sz w:val="20"/>
    </w:rPr>
  </w:style>
  <w:style w:type="paragraph" w:styleId="837" w:customStyle="1">
    <w:name w:val="Заголовок 7 Знак"/>
    <w:basedOn w:val="706"/>
    <w:qFormat/>
    <w:pPr>
      <w:suppressLineNumbers w:val="true"/>
      <w:pBdr/>
      <w:spacing/>
      <w:ind/>
    </w:pPr>
    <w:rPr>
      <w:rFonts w:ascii="Arial" w:hAnsi="Arial"/>
    </w:rPr>
  </w:style>
  <w:style w:type="paragraph" w:styleId="838" w:customStyle="1">
    <w:name w:val="Заголовок 2 Знак"/>
    <w:basedOn w:val="706"/>
    <w:qFormat/>
    <w:pPr>
      <w:suppressLineNumbers w:val="true"/>
      <w:pBdr/>
      <w:spacing w:after="120" w:before="120"/>
      <w:ind/>
    </w:pPr>
    <w:rPr>
      <w:i/>
      <w:iCs/>
    </w:rPr>
  </w:style>
  <w:style w:type="paragraph" w:styleId="839" w:customStyle="1">
    <w:name w:val="Указатель1"/>
    <w:basedOn w:val="706"/>
    <w:qFormat/>
    <w:pPr>
      <w:suppressLineNumbers w:val="true"/>
      <w:pBdr/>
      <w:spacing/>
      <w:ind/>
    </w:pPr>
  </w:style>
  <w:style w:type="paragraph" w:styleId="840">
    <w:name w:val="Body Text, Indented"/>
    <w:basedOn w:val="706"/>
    <w:qFormat/>
    <w:pPr>
      <w:pBdr/>
      <w:spacing/>
      <w:ind w:hanging="360" w:left="360"/>
    </w:pPr>
  </w:style>
  <w:style w:type="paragraph" w:styleId="841" w:customStyle="1">
    <w:name w:val="Основной текст 21"/>
    <w:basedOn w:val="706"/>
    <w:qFormat/>
    <w:pPr>
      <w:pBdr/>
      <w:spacing/>
      <w:ind/>
    </w:pPr>
    <w:rPr>
      <w:sz w:val="20"/>
    </w:rPr>
  </w:style>
  <w:style w:type="paragraph" w:styleId="842">
    <w:name w:val="Balloon Text"/>
    <w:basedOn w:val="706"/>
    <w:qFormat/>
    <w:pPr>
      <w:pBdr/>
      <w:spacing/>
      <w:ind/>
    </w:pPr>
    <w:rPr>
      <w:rFonts w:ascii="Segoe UI" w:hAnsi="Segoe UI"/>
      <w:sz w:val="18"/>
      <w:szCs w:val="18"/>
    </w:rPr>
  </w:style>
  <w:style w:type="paragraph" w:styleId="843" w:customStyle="1">
    <w:name w:val="Standard"/>
    <w:qFormat/>
    <w:pPr>
      <w:widowControl w:val="false"/>
      <w:pBdr/>
      <w:spacing w:after="0" w:before="0"/>
      <w:ind/>
      <w:jc w:val="left"/>
    </w:pPr>
    <w:rPr>
      <w:rFonts w:ascii="Times New Roman" w:hAnsi="Times New Roman" w:eastAsia="Andale Sans UI" w:cs="Mangal"/>
      <w:color w:val="auto"/>
      <w:sz w:val="24"/>
      <w:szCs w:val="24"/>
      <w:lang w:val="de-DE" w:eastAsia="ja-JP" w:bidi="fa-IR"/>
    </w:rPr>
  </w:style>
  <w:style w:type="paragraph" w:styleId="844" w:customStyle="1">
    <w:name w:val="Text body"/>
    <w:basedOn w:val="843"/>
    <w:qFormat/>
    <w:pPr>
      <w:pBdr/>
      <w:spacing w:after="120" w:before="0"/>
      <w:ind/>
    </w:pPr>
  </w:style>
  <w:style w:type="paragraph" w:styleId="845" w:customStyle="1">
    <w:name w:val="Содержимое таблицы"/>
    <w:basedOn w:val="706"/>
    <w:qFormat/>
    <w:pPr>
      <w:suppressLineNumbers w:val="true"/>
      <w:pBdr/>
      <w:spacing/>
      <w:ind/>
    </w:pPr>
  </w:style>
  <w:style w:type="paragraph" w:styleId="846" w:customStyle="1">
    <w:name w:val="Заголовок таблицы"/>
    <w:basedOn w:val="845"/>
    <w:qFormat/>
    <w:pPr>
      <w:pBdr/>
      <w:spacing/>
      <w:ind/>
      <w:jc w:val="center"/>
    </w:pPr>
    <w:rPr>
      <w:b/>
      <w:bCs/>
    </w:rPr>
  </w:style>
  <w:style w:type="paragraph" w:styleId="847" w:customStyle="1">
    <w:name w:val="Заголовок Знак"/>
    <w:basedOn w:val="706"/>
    <w:qFormat/>
    <w:pPr>
      <w:suppressLineNumbers w:val="true"/>
      <w:pBdr/>
      <w:spacing/>
      <w:ind/>
    </w:pPr>
    <w:rPr>
      <w:rFonts w:ascii="Arial" w:hAnsi="Arial"/>
    </w:rPr>
  </w:style>
  <w:style w:type="paragraph" w:styleId="848" w:customStyle="1">
    <w:name w:val="Название3"/>
    <w:basedOn w:val="706"/>
    <w:qFormat/>
    <w:pPr>
      <w:suppressLineNumbers w:val="true"/>
      <w:pBdr/>
      <w:spacing w:after="120" w:before="120"/>
      <w:ind/>
    </w:pPr>
    <w:rPr>
      <w:rFonts w:ascii="Arial" w:hAnsi="Arial"/>
      <w:i/>
      <w:iCs/>
      <w:sz w:val="20"/>
    </w:rPr>
  </w:style>
  <w:style w:type="paragraph" w:styleId="849" w:customStyle="1">
    <w:name w:val="Основной текст4"/>
    <w:qFormat/>
    <w:pPr>
      <w:widowControl w:val="true"/>
      <w:pBdr/>
      <w:shd w:val="clear" w:color="auto" w:fill="ffffff"/>
      <w:spacing w:after="300" w:before="180" w:line="0" w:lineRule="atLeast"/>
      <w:ind w:hanging="360"/>
      <w:jc w:val="left"/>
    </w:pPr>
    <w:rPr>
      <w:rFonts w:ascii="Arial" w:hAnsi="Arial" w:eastAsia="Arial" w:cs="Arial"/>
      <w:color w:val="auto"/>
      <w:sz w:val="21"/>
      <w:szCs w:val="21"/>
      <w:lang w:val="ru-RU" w:eastAsia="en-US" w:bidi="ar-SA"/>
    </w:rPr>
  </w:style>
  <w:style w:type="paragraph" w:styleId="850">
    <w:name w:val="Normal (Web)"/>
    <w:qFormat/>
    <w:pPr>
      <w:widowControl w:val="true"/>
      <w:pBdr/>
      <w:shd w:val="nil"/>
      <w:spacing w:after="280" w:before="280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851" w:customStyle="1">
    <w:name w:val="Основной текст с отступом 23"/>
    <w:qFormat/>
    <w:pPr>
      <w:widowControl w:val="true"/>
      <w:pBdr/>
      <w:shd w:val="nil"/>
      <w:spacing w:after="0" w:before="0"/>
      <w:ind w:right="1133" w:firstLine="851"/>
      <w:jc w:val="both"/>
    </w:pPr>
    <w:rPr>
      <w:rFonts w:ascii="Arial" w:hAnsi="Arial" w:eastAsia="Times New Roman" w:cs="Times New Roman"/>
      <w:color w:val="auto"/>
      <w:sz w:val="20"/>
      <w:szCs w:val="20"/>
      <w:lang w:val="ru-RU" w:eastAsia="ar-SA" w:bidi="ar-SA"/>
    </w:rPr>
  </w:style>
  <w:style w:type="paragraph" w:styleId="852" w:customStyle="1">
    <w:name w:val="Содержимое врезки"/>
    <w:basedOn w:val="706"/>
    <w:qFormat/>
    <w:pPr>
      <w:pBdr/>
      <w:spacing/>
      <w:ind/>
    </w:pPr>
  </w:style>
  <w:style w:type="numbering" w:styleId="853">
    <w:name w:val="Без списка"/>
    <w:uiPriority w:val="99"/>
    <w:semiHidden/>
    <w:unhideWhenUsed/>
    <w:qFormat/>
    <w:pPr>
      <w:pBdr/>
      <w:spacing/>
      <w:ind/>
    </w:pPr>
  </w:style>
  <w:style w:type="table" w:styleId="854" w:default="1">
    <w:name w:val="Normal Table"/>
    <w:uiPriority w:val="99"/>
    <w:semiHidden/>
    <w:unhideWhenUsed/>
    <w:qFormat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Table Grid"/>
    <w:uiPriority w:val="59"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Table Grid Light"/>
    <w:uiPriority w:val="59"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Plain Table 1"/>
    <w:uiPriority w:val="59"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Plain Table 2"/>
    <w:uiPriority w:val="59"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Plain Table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Plain Table 4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Plain Table 5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1 Light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2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4"/>
    <w:uiPriority w:val="5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5 Dark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6 Colorful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2Horz">
      <w:rPr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Horz">
      <w:rPr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Horz">
      <w:rPr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Horz">
      <w:rPr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Horz">
      <w:rPr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Horz">
      <w:rPr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7 Colorful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2Horz">
      <w:rPr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Horz">
      <w:rPr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0504d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c0504d" w:themeColor="accent2" w:sz="4" w:space="0"/>
          <w:right w:val="none" w:color="000000" w:sz="0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0504d" w:themeColor="accent2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0504d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Horz">
      <w:rPr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bb59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bbb59" w:themeColor="accent3" w:sz="4" w:space="0"/>
          <w:right w:val="none" w:color="000000" w:sz="0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bb59" w:themeColor="accent3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bbb5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Horz">
      <w:rPr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064a2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8064a2" w:themeColor="accent4" w:sz="4" w:space="0"/>
          <w:right w:val="none" w:color="000000" w:sz="0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064a2" w:themeColor="accent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8064a2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Horz">
      <w:rPr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bacc6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bacc6" w:themeColor="accent5" w:sz="4" w:space="0"/>
          <w:right w:val="none" w:color="000000" w:sz="0" w:space="0"/>
        </w:tcBorders>
      </w:tcPr>
    </w:tblStylePr>
    <w:tblStylePr w:type="lastCol">
      <w:rPr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bacc6" w:themeColor="accent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bacc6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Horz">
      <w:rPr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79646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79646" w:themeColor="accent6" w:sz="4" w:space="0"/>
          <w:right w:val="none" w:color="000000" w:sz="0" w:space="0"/>
        </w:tcBorders>
      </w:tcPr>
    </w:tblStylePr>
    <w:tblStylePr w:type="lastCol">
      <w:rPr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79646" w:themeColor="accent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79646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1 Light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2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b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cdc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0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4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5 Dark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b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cdc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0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6 Colorful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2Horz">
      <w:rPr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2Horz">
      <w:rPr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2Horz">
      <w:rPr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2Horz">
      <w:rPr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2Horz">
      <w:rPr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2Horz">
      <w:rPr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7 Colorful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2Horz">
      <w:rPr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2Horz">
      <w:rPr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0504d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c0504d" w:themeColor="accent2" w:sz="4" w:space="0"/>
          <w:right w:val="none" w:color="000000" w:sz="0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0504d" w:themeColor="accent2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0504d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2Horz">
      <w:rPr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bb59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bbb59" w:themeColor="accent3" w:sz="4" w:space="0"/>
          <w:right w:val="none" w:color="000000" w:sz="0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bb59" w:themeColor="accent3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bbb5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2Horz">
      <w:rPr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064a2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8064a2" w:themeColor="accent4" w:sz="4" w:space="0"/>
          <w:right w:val="none" w:color="000000" w:sz="0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064a2" w:themeColor="accent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8064a2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2Horz">
      <w:rPr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bacc6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bacc6" w:themeColor="accent5" w:sz="4" w:space="0"/>
          <w:right w:val="none" w:color="000000" w:sz="0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bacc6" w:themeColor="accent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bacc6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2Horz">
      <w:rPr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79646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79646" w:themeColor="accent6" w:sz="4" w:space="0"/>
          <w:right w:val="none" w:color="000000" w:sz="0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79646" w:themeColor="accent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79646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ned - Accent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ned - Accent 1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ned - Accent 2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ned - Accent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ned - Accent 4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ned - Accent 5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ned - Accent 6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&amp; Lined - Accent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 &amp; Lined - Accent 1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Bordered &amp; Lined - Accent 2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Bordered &amp; Lined - Accent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Bordered &amp; Lined - Accent 4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Bordered &amp; Lined - Accent 5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Bordered &amp; Lined - Accent 6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Bordered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Bordered - Accent 1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Bordered - Accent 2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Bordered - Accent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Bordered - Accent 4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Bordered - Accent 5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Bordered - Accent 6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1" w:customStyle="1">
    <w:name w:val="ConsPlusNonformat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left" w:leader="none" w:pos="708"/>
        <w:tab w:val="clear" w:leader="none" w:pos="709"/>
      </w:tabs>
      <w:spacing w:after="0" w:afterAutospacing="0" w:before="0" w:beforeAutospacing="0" w:line="100" w:lineRule="atLeast"/>
      <w:ind w:right="0" w:firstLine="0" w:left="0"/>
      <w:contextualSpacing w:val="false"/>
      <w:jc w:val="left"/>
    </w:pPr>
    <w:rPr>
      <w:rFonts w:ascii="Courier New" w:hAnsi="Courier New" w:eastAsia="SimSun" w:cs="Courier New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ar-SA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5D0AEA6B-E499-4EEF-98A3-AFBB261C493E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HeadingPairs>
    <vt:vector size="0" baseType="variant"/>
  </HeadingPairs>
  <TitlesOfParts>
    <vt:vector size="0" baseType="lpstr"/>
  </TitlesOfPart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dc:description/>
  <dc:language>ru-RU</dc:language>
  <cp:revision>61</cp:revision>
  <dcterms:created xsi:type="dcterms:W3CDTF">2022-02-01T10:43:00Z</dcterms:created>
  <dcterms:modified xsi:type="dcterms:W3CDTF">2026-05-29T10:49:57Z</dcterms:modified>
</cp:coreProperties>
</file>