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оказание услуг по техническому обслуживанию газопровода и газового</w:t>
      </w:r>
      <w:r/>
    </w:p>
    <w:p>
      <w:pPr>
        <w:pStyle w:val="9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оборудования (СИКЗ) (ст. Брюховецкая, ул. Октябрьская, д. 26)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</w:pPr>
      <w:r>
        <w:rPr>
          <w:rFonts w:ascii="Times New Roman" w:hAnsi="Times New Roman" w:cs="Times New Roman"/>
          <w:sz w:val="24"/>
          <w:szCs w:val="24"/>
        </w:rPr>
        <w:t xml:space="preserve">г. Краснодар                                                                                              «______» ___________ 2026г.</w:t>
      </w:r>
      <w:r/>
    </w:p>
    <w:p>
      <w:pPr>
        <w:pStyle w:val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именуемый в дальнейшем «Заказчик», в лице заместителя руководителя </w:t>
      </w:r>
      <w:r>
        <w:rPr>
          <w:rStyle w:val="959"/>
          <w:sz w:val="24"/>
          <w:szCs w:val="24"/>
        </w:rPr>
        <w:t xml:space="preserve">_____________________, действующей на основании доверенности № ________________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_______________________, именуемое в дальнейшем  «Исполнитель», в лице _____________________, действующего на основании ______________, с другой стороны,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97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ПРЕДМЕТ ДОГОВОРА</w:t>
      </w:r>
      <w:r/>
    </w:p>
    <w:p>
      <w:pPr>
        <w:pStyle w:val="997"/>
        <w:numPr>
          <w:ilvl w:val="1"/>
          <w:numId w:val="4"/>
        </w:numPr>
        <w:ind w:left="0" w:right="0" w:firstLine="709"/>
        <w:jc w:val="both"/>
        <w:rPr>
          <w:rStyle w:val="945"/>
          <w:rFonts w:ascii="Times New Roman" w:hAnsi="Times New Roman" w:cs="Times New Roman"/>
          <w:b w:val="0"/>
          <w:sz w:val="24"/>
          <w:szCs w:val="24"/>
        </w:rPr>
      </w:pPr>
      <w:r>
        <w:rPr>
          <w:rStyle w:val="945"/>
          <w:rFonts w:ascii="Times New Roman" w:hAnsi="Times New Roman" w:cs="Times New Roman"/>
          <w:b w:val="0"/>
          <w:sz w:val="24"/>
          <w:szCs w:val="24"/>
        </w:rPr>
        <w:t xml:space="preserve">Заказчик поручает, а Исполнитель обязуется в установленный настоящим Договором срок в соответствии с условиями Договора – </w:t>
      </w:r>
      <w:r>
        <w:rPr>
          <w:rFonts w:ascii="Times New Roman" w:hAnsi="Times New Roman" w:cs="Times New Roman"/>
          <w:sz w:val="24"/>
          <w:szCs w:val="24"/>
        </w:rPr>
        <w:t xml:space="preserve">оказать услуг по техниче</w:t>
      </w:r>
      <w:r>
        <w:rPr>
          <w:rFonts w:ascii="Times New Roman" w:hAnsi="Times New Roman" w:cs="Times New Roman"/>
          <w:sz w:val="24"/>
          <w:szCs w:val="24"/>
        </w:rPr>
        <w:t xml:space="preserve">скому обслуживанию, поверке и наладке систем контроля загазованности на базе сигнализатора типа СИКЗ-УСД в здании Управления Федеральной службы государственной регистрации, кадастра и картографии по Краснодарскому краю (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ст. Брюховецкая, ул. Октябрьская, д. 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Style w:val="945"/>
          <w:rFonts w:ascii="Times New Roman" w:hAnsi="Times New Roman" w:cs="Times New Roman"/>
          <w:b w:val="0"/>
          <w:sz w:val="24"/>
          <w:szCs w:val="24"/>
        </w:rPr>
        <w:t xml:space="preserve"> (именуемое в дальнейшем - «Объект»).</w:t>
      </w:r>
      <w:r>
        <w:rPr>
          <w:rStyle w:val="945"/>
          <w:rFonts w:ascii="Times New Roman" w:hAnsi="Times New Roman" w:cs="Times New Roman"/>
          <w:b w:val="0"/>
          <w:sz w:val="24"/>
          <w:szCs w:val="24"/>
        </w:rPr>
      </w:r>
      <w:r>
        <w:rPr>
          <w:rStyle w:val="945"/>
          <w:rFonts w:ascii="Times New Roman" w:hAnsi="Times New Roman" w:cs="Times New Roman"/>
          <w:b w:val="0"/>
          <w:sz w:val="24"/>
          <w:szCs w:val="24"/>
        </w:rPr>
      </w:r>
    </w:p>
    <w:p>
      <w:pPr>
        <w:pStyle w:val="997"/>
        <w:ind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1.2. Поверка осуществляется в соответствии с требованиями нормативной документации далее – НД) на методы и средства поверки.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97"/>
        <w:ind w:right="0" w:firstLine="709"/>
        <w:jc w:val="both"/>
        <w:rPr>
          <w:rStyle w:val="945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1.3</w:t>
        <w:tab/>
        <w:t xml:space="preserve">Результаты поверки СИ оформляются актом о поверке и/или записью в паспорте (формуляре) СИ и/или извещением о непригодности согласно ФЗ №102 «Об обеспечении единства измерений» заносится запись в реестр ФГИС «АРШИН».</w:t>
      </w:r>
      <w:r>
        <w:rPr>
          <w:rStyle w:val="945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r>
      <w:r>
        <w:rPr>
          <w:rStyle w:val="945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r>
    </w:p>
    <w:p>
      <w:pPr>
        <w:pStyle w:val="997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1.4. Наименование, сроки и количество (объем) оказываемых по настоящему Договору услуг определены в Техническом задании (Приложение №1 к настоящему Договору), являющемся неотъемлемой частью настоящего Договора.</w:t>
      </w:r>
      <w:r/>
    </w:p>
    <w:p>
      <w:pPr>
        <w:pStyle w:val="997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1.5. Срок выполнения работ: с момента заключения договора до 15.10.2026г. </w:t>
      </w:r>
      <w:r/>
    </w:p>
    <w:p>
      <w:pPr>
        <w:pStyle w:val="9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4"/>
        <w:numPr>
          <w:ilvl w:val="0"/>
          <w:numId w:val="4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ДОГОВОРА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jc w:val="both"/>
      </w:pPr>
      <w:r>
        <w:rPr>
          <w:sz w:val="24"/>
          <w:szCs w:val="24"/>
        </w:rPr>
        <w:tab/>
        <w:t xml:space="preserve">2.1. Цена Договора составляет </w:t>
      </w:r>
      <w:r>
        <w:rPr>
          <w:b/>
          <w:sz w:val="24"/>
          <w:szCs w:val="24"/>
        </w:rPr>
        <w:t xml:space="preserve">___________ (____________________) рублей ____ копеек, в т.ч. НДС___% / НДС не предусмотрен.</w:t>
      </w:r>
      <w:r/>
    </w:p>
    <w:p>
      <w:pPr>
        <w:pStyle w:val="995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</w:t>
      </w:r>
      <w:r>
        <w:rPr>
          <w:rFonts w:ascii="Times New Roman" w:hAnsi="Times New Roman" w:cs="Times New Roman"/>
          <w:sz w:val="24"/>
          <w:szCs w:val="24"/>
        </w:rPr>
        <w:t xml:space="preserve">деляется на весь срок исполнения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Договором.</w:t>
      </w:r>
      <w:r/>
    </w:p>
    <w:p>
      <w:pPr>
        <w:pStyle w:val="995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2.2.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/>
    </w:p>
    <w:p>
      <w:pPr>
        <w:pStyle w:val="995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2.3. Источник финансирования Договора – федеральный бюджет в пределах доведенных лимитов на 2026 год.</w:t>
      </w:r>
      <w:r/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1015"/>
          <w:rFonts w:ascii="Times New Roman" w:hAnsi="Times New Roman"/>
          <w:sz w:val="24"/>
          <w:szCs w:val="24"/>
        </w:rPr>
        <w:t xml:space="preserve">законом</w:t>
      </w:r>
      <w:r>
        <w:rPr>
          <w:rStyle w:val="1015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  <w:rPr>
          <w:sz w:val="24"/>
          <w:szCs w:val="24"/>
          <w:lang w:val="ru-RU"/>
        </w:rPr>
      </w:pPr>
      <w:r>
        <w:rPr>
          <w:rFonts w:eastAsia="Times New Roman"/>
          <w:sz w:val="24"/>
          <w:szCs w:val="24"/>
        </w:rPr>
        <w:t xml:space="preserve">     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</w:t>
      </w:r>
      <w:r>
        <w:rPr>
          <w:sz w:val="24"/>
          <w:szCs w:val="24"/>
          <w:lang w:val="ru-RU"/>
        </w:rPr>
        <w:t xml:space="preserve">Д</w:t>
      </w:r>
      <w:r>
        <w:rPr>
          <w:sz w:val="24"/>
          <w:szCs w:val="24"/>
        </w:rPr>
        <w:t xml:space="preserve">оговору)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работы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работ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/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выполняемой работы либо создающих невозможность завершения ее в срок.</w:t>
      </w:r>
      <w:r/>
    </w:p>
    <w:p>
      <w:pPr>
        <w:pStyle w:val="964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3.2. </w:t>
      </w:r>
      <w:r>
        <w:rPr>
          <w:b/>
          <w:sz w:val="24"/>
          <w:szCs w:val="24"/>
        </w:rPr>
        <w:t xml:space="preserve">Исполнитель имеет право:</w:t>
      </w:r>
      <w:r/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выполненные работы.</w:t>
      </w:r>
      <w:r/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Договором порядке.</w:t>
      </w:r>
      <w:r/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/>
    </w:p>
    <w:p>
      <w:pPr>
        <w:pStyle w:val="96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64"/>
        <w:ind w:right="0" w:firstLine="709"/>
        <w:jc w:val="both"/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/>
    </w:p>
    <w:p>
      <w:pPr>
        <w:pStyle w:val="964"/>
        <w:jc w:val="both"/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/>
    </w:p>
    <w:p>
      <w:pPr>
        <w:pStyle w:val="964"/>
        <w:jc w:val="both"/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/>
    </w:p>
    <w:p>
      <w:pPr>
        <w:pStyle w:val="964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</w:pPr>
      <w:r>
        <w:rPr>
          <w:sz w:val="24"/>
          <w:szCs w:val="24"/>
        </w:rPr>
        <w:tab/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/>
    </w:p>
    <w:p>
      <w:pPr>
        <w:pStyle w:val="964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4. </w:t>
      </w: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47"/>
        <w:ind w:left="0" w:righ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п.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</w:t>
      </w:r>
      <w:r>
        <w:rPr>
          <w:rFonts w:ascii="Times New Roman" w:hAnsi="Times New Roman" w:cs="Times New Roman"/>
          <w:sz w:val="24"/>
          <w:szCs w:val="24"/>
        </w:rPr>
        <w:t xml:space="preserve">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/>
    </w:p>
    <w:p>
      <w:pPr>
        <w:pStyle w:val="964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 превышать стоимости Договора.</w:t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0" w:firstLine="709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5. </w:t>
      </w: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96"/>
        <w:jc w:val="both"/>
        <w:spacing w:before="0" w:after="0" w:line="0" w:lineRule="atLeast"/>
      </w:pPr>
      <w:r>
        <w:tab/>
        <w:t xml:space="preserve">5.1.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</w:p>
    <w:p>
      <w:pPr>
        <w:pStyle w:val="996"/>
        <w:jc w:val="both"/>
        <w:spacing w:before="0" w:after="0" w:line="0" w:lineRule="atLeast"/>
      </w:pPr>
      <w:r>
        <w:tab/>
        <w:t xml:space="preserve">5.2. Сторона, для которой создалась невозможность исполнения обязател</w:t>
      </w:r>
      <w:r>
        <w:t xml:space="preserve">ьств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996"/>
        <w:jc w:val="both"/>
        <w:spacing w:before="0" w:after="0" w:line="0" w:lineRule="atLeast"/>
      </w:pPr>
      <w:r>
        <w:tab/>
        <w:t xml:space="preserve">5.3.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</w:p>
    <w:p>
      <w:pPr>
        <w:pStyle w:val="996"/>
        <w:jc w:val="both"/>
        <w:spacing w:before="0" w:after="0" w:line="0" w:lineRule="atLeast"/>
      </w:pPr>
      <w:r>
        <w:tab/>
        <w:t xml:space="preserve">5.4.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/>
    </w:p>
    <w:p>
      <w:pPr>
        <w:pStyle w:val="9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6. </w:t>
      </w:r>
      <w:r>
        <w:rPr>
          <w:b/>
          <w:bCs/>
          <w:sz w:val="24"/>
          <w:szCs w:val="24"/>
        </w:rPr>
        <w:t xml:space="preserve">СРОК ДЕЙСТВИЯ 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</w:t>
      </w:r>
      <w:r>
        <w:rPr>
          <w:sz w:val="24"/>
          <w:szCs w:val="24"/>
          <w:lang w:val="ru-RU"/>
        </w:rPr>
        <w:t xml:space="preserve">30.12.2026г. включительно</w:t>
      </w:r>
      <w:r>
        <w:rPr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ab/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 не освобождает Стороны от ответственности за его нарушение, если таковые имели место при исполнении условий настоящего Договора.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64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7. </w:t>
      </w: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7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 w:cs="Times New Roman"/>
          <w:sz w:val="24"/>
          <w:szCs w:val="24"/>
        </w:rPr>
        <w:t xml:space="preserve">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8. </w:t>
      </w: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ind w:right="0" w:firstLine="567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  <w:r/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hyperlink r:id="rId10" w:tooltip="consultantplus://offline/ref=782E9CC4CCC6932545801925E3B536176E50B53C1FD70BD7655CABC93DB89C271041D8CD019EE696393B294E112BD805805FEF4CF4B5672237V6P" w:history="1">
        <w:r>
          <w:rPr>
            <w:rStyle w:val="956"/>
            <w:rFonts w:ascii="Times New Roman" w:hAnsi="Times New Roman" w:cs="Times New Roman"/>
            <w:color w:val="000000"/>
            <w:sz w:val="24"/>
            <w:szCs w:val="24"/>
          </w:rPr>
          <w:t xml:space="preserve"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/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/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hyperlink r:id="rId11" w:tooltip="consultantplus://offline/ref=782E9CC4CCC6932545801925E3B536176E50B53C1FD70BD7655CABC93DB89C271041D8CD019EE29F343B294E112BD805805FEF4CF4B5672237V6P" w:history="1">
        <w:r>
          <w:rPr>
            <w:rStyle w:val="956"/>
            <w:rFonts w:ascii="Times New Roman" w:hAnsi="Times New Roman" w:cs="Times New Roman"/>
            <w:color w:val="000000"/>
            <w:sz w:val="24"/>
            <w:szCs w:val="24"/>
          </w:rPr>
          <w:t xml:space="preserve">частями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8 - </w:t>
      </w:r>
      <w:hyperlink r:id="rId12" w:tooltip="consultantplus://offline/ref=782E9CC4CCC6932545801925E3B536176E50B53C1FD70BD7655CABC93DB89C271041D8CD019EE692303B294E112BD805805FEF4CF4B5672237V6P" w:history="1">
        <w:r>
          <w:rPr>
            <w:rStyle w:val="956"/>
            <w:rFonts w:ascii="Times New Roman" w:hAnsi="Times New Roman" w:cs="Times New Roman"/>
            <w:color w:val="000000"/>
            <w:sz w:val="24"/>
            <w:szCs w:val="24"/>
          </w:rPr>
          <w:t xml:space="preserve">23 статьи 95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pStyle w:val="979"/>
        <w:ind w:right="0"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 двух экземплярах, имеющих одинаковую юридическую силу, по одному экземпляру для каждой из Сторон. </w:t>
      </w:r>
      <w:r/>
    </w:p>
    <w:p>
      <w:pPr>
        <w:pStyle w:val="979"/>
        <w:ind w:right="0"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 является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4"/>
        <w:jc w:val="center"/>
        <w:rPr>
          <w:rFonts w:eastAsia="Times New Roman"/>
        </w:rPr>
      </w:pPr>
      <w:r>
        <w:rPr>
          <w:b/>
          <w:sz w:val="24"/>
          <w:szCs w:val="24"/>
        </w:rPr>
        <w:t xml:space="preserve">9. ЮРИДИЧЕСКИЕ АДРЕСА, БАНКОВСКИЕ РЕКВИЗИТЫ И ПОДПИСИ СТОРОН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pStyle w:val="846"/>
        <w:jc w:val="both"/>
        <w:rPr>
          <w:rFonts w:eastAsia="Times New Roman"/>
          <w:b/>
        </w:rPr>
      </w:pPr>
      <w:r>
        <w:rPr>
          <w:rFonts w:eastAsia="Times New Roman"/>
          <w:b/>
        </w:rPr>
      </w:r>
      <w:r>
        <w:rPr>
          <w:rFonts w:eastAsia="Times New Roman"/>
          <w:b/>
        </w:rPr>
      </w:r>
      <w:r>
        <w:rPr>
          <w:rFonts w:eastAsia="Times New Roman"/>
          <w:b/>
        </w:rPr>
      </w:r>
    </w:p>
    <w:p>
      <w:pPr>
        <w:sectPr>
          <w:headerReference w:type="default" r:id="rId9"/>
          <w:footnotePr/>
          <w:endnotePr/>
          <w:type w:val="nextPage"/>
          <w:pgSz w:w="11906" w:h="16838" w:orient="portrait"/>
          <w:pgMar w:top="709" w:right="1002" w:bottom="993" w:left="852" w:header="284" w:footer="0" w:gutter="0"/>
          <w:cols w:num="1" w:sep="0" w:space="1701" w:equalWidth="1"/>
          <w:docGrid w:linePitch="360"/>
        </w:sectPr>
      </w:pPr>
      <w:r/>
      <w:r/>
    </w:p>
    <w:p>
      <w:pPr>
        <w:pStyle w:val="9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</w:p>
    <w:p>
      <w:pPr>
        <w:pStyle w:val="997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руководителя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_____________/______________/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436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61"/>
      </w:tblGrid>
      <w:tr>
        <w:tblPrEx/>
        <w:trPr>
          <w:trHeight w:val="4232"/>
        </w:trPr>
        <w:tc>
          <w:tcPr>
            <w:tcW w:w="4361" w:type="dxa"/>
            <w:textDirection w:val="lrTb"/>
            <w:noWrap w:val="false"/>
          </w:tcPr>
          <w:p>
            <w:pPr>
              <w:pStyle w:val="9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 /_______________/</w:t>
            </w:r>
            <w:r/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м.п.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2" w:sep="0" w:space="720" w:equalWidth="1"/>
          <w:docGrid w:linePitch="360"/>
        </w:sectPr>
      </w:pPr>
      <w:r/>
      <w:r/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/>
    </w:p>
    <w:p>
      <w:pPr>
        <w:pStyle w:val="99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</w:p>
    <w:p>
      <w:pPr>
        <w:pStyle w:val="9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на оказание услуг по </w:t>
      </w:r>
      <w:r>
        <w:rPr>
          <w:b/>
          <w:bCs/>
          <w:sz w:val="27"/>
          <w:szCs w:val="27"/>
        </w:rPr>
        <w:t xml:space="preserve">техническому обслуживанию газопровода</w:t>
      </w:r>
      <w:r>
        <w:rPr>
          <w:b/>
          <w:bCs/>
          <w:sz w:val="27"/>
          <w:szCs w:val="27"/>
        </w:rPr>
        <w:br/>
        <w:t xml:space="preserve"> и газового оборудования (поверка сигнализатора загазованности)</w:t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5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50"/>
        <w:jc w:val="both"/>
        <w:rPr>
          <w:b/>
        </w:rPr>
      </w:pPr>
      <w:r>
        <w:rPr>
          <w:b/>
        </w:rPr>
        <w:t xml:space="preserve">Наименование, место нахождение</w:t>
      </w:r>
      <w:r>
        <w:rPr>
          <w:b/>
        </w:rPr>
        <w:t xml:space="preserve">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pStyle w:val="850"/>
        <w:jc w:val="both"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pStyle w:val="850"/>
        <w:jc w:val="both"/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Оказание </w:t>
      </w:r>
      <w:r>
        <w:t xml:space="preserve">услуг по </w:t>
      </w:r>
      <w:r>
        <w:t xml:space="preserve">поверке сигнализатора загазованности </w:t>
      </w:r>
      <w:r>
        <w:t xml:space="preserve">в количестве </w:t>
      </w:r>
      <w:r>
        <w:rPr>
          <w:u w:val="single"/>
        </w:rPr>
        <w:t xml:space="preserve">1 (одна)</w:t>
      </w:r>
      <w:r>
        <w:t xml:space="preserve"> штука </w:t>
      </w:r>
      <w:r>
        <w:t xml:space="preserve">с выдачей свидетельства о поверке</w:t>
      </w:r>
      <w:r>
        <w:t xml:space="preserve">.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оказания услуги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961"/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ст. Брюховецкая, ул. Октябрьская, д. 26</w:t>
      </w:r>
      <w:r>
        <w:rPr>
          <w:rStyle w:val="961"/>
          <w:rFonts w:ascii="Times New Roman" w:hAnsi="Times New Roman" w:eastAsia="Calibri" w:cs="Times New Roman"/>
          <w:b w:val="0"/>
          <w:bCs w:val="0"/>
          <w:sz w:val="24"/>
          <w:szCs w:val="24"/>
        </w:rPr>
        <w:t xml:space="preserve">.</w:t>
      </w:r>
      <w:r>
        <w:rPr>
          <w:rStyle w:val="961"/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50"/>
        <w:jc w:val="both"/>
        <w:rPr>
          <w:b/>
        </w:rPr>
      </w:pPr>
      <w:r>
        <w:rPr>
          <w:b/>
        </w:rPr>
        <w:t xml:space="preserve">Сроки оказания услуг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Услуги оказываются с момента заключения Договора до 15.10.202</w:t>
      </w:r>
      <w:r>
        <w:t xml:space="preserve">6</w:t>
      </w:r>
      <w:r>
        <w:t xml:space="preserve"> года.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Выдача свидетельства о поверке </w:t>
      </w:r>
      <w:r>
        <w:t xml:space="preserve">сигнализатора в целях подготовки газового оборудования теплоузла к отопительному сезону</w:t>
      </w:r>
      <w:r>
        <w:t xml:space="preserve">.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Требования к функциональным, техническим, качественным и эксплуатационным характеристикам 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Услуги по поверке газоанализаторов загазованности выполняются в целях определения соответствия средств измерений заявленным метр</w:t>
      </w:r>
      <w:bookmarkStart w:id="0" w:name="undefined"/>
      <w:r/>
      <w:bookmarkEnd w:id="0"/>
      <w:r>
        <w:t xml:space="preserve">ологическим требованиям. </w:t>
      </w:r>
      <w:r/>
    </w:p>
    <w:p>
      <w:pPr>
        <w:pStyle w:val="850"/>
        <w:jc w:val="both"/>
      </w:pPr>
      <w:r>
        <w:t xml:space="preserve">По результатам поверки средств измерения оформляется свидетельство о поверке государственного образца.</w:t>
      </w:r>
      <w:r/>
    </w:p>
    <w:p>
      <w:pPr>
        <w:pStyle w:val="850"/>
        <w:jc w:val="both"/>
      </w:pPr>
      <w:r>
        <w:t xml:space="preserve">При положительных результатах выдается свидетельство о поверке и вносится открытая запись в информационный фонд. 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Поверка сигнализатора загазованности с выдачей свидетельства о поверке.</w:t>
      </w:r>
      <w:r/>
    </w:p>
    <w:p>
      <w:pPr>
        <w:pStyle w:val="850"/>
        <w:jc w:val="both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по оперативному и техническому 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50"/>
        <w:jc w:val="both"/>
      </w:pPr>
      <w:r>
        <w:t xml:space="preserve">1. Исполнитель должен быть аккредитован на право проведения поверки сигнализаторов загазованности и иметь соответствующие допуски и лицензии на право выполнения соответствующих видов работ.</w:t>
      </w:r>
      <w:r/>
    </w:p>
    <w:p>
      <w:pPr>
        <w:pStyle w:val="850"/>
        <w:jc w:val="both"/>
      </w:pPr>
      <w:r>
        <w:t xml:space="preserve">2. Исполнитель должен гарантировать, что персонал, назначенный для оказания услуг, имеет соответствующую квалификацию для безопасного и корректного выполнения возложенных на него задач.</w:t>
      </w:r>
      <w:r/>
    </w:p>
    <w:p>
      <w:pPr>
        <w:pStyle w:val="850"/>
        <w:jc w:val="both"/>
      </w:pPr>
      <w:r>
        <w:t xml:space="preserve">3. Результатом оказания услуг по поверке сигнализаторов загазованности является выдача свидетельства о поверке</w:t>
      </w:r>
      <w:r>
        <w:t xml:space="preserve"> прибора</w:t>
      </w:r>
      <w:r>
        <w:t xml:space="preserve">.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50"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pStyle w:val="850"/>
        <w:jc w:val="both"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pStyle w:val="850"/>
        <w:jc w:val="both"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pStyle w:val="850"/>
        <w:jc w:val="both"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 в соответствии с нормативными требованиями, поверка используемых средств измерений).</w:t>
      </w:r>
      <w:r/>
    </w:p>
    <w:p>
      <w:pPr>
        <w:pStyle w:val="850"/>
        <w:jc w:val="both"/>
      </w:pPr>
      <w:r/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1. Сдача и приемка оказанных услуг осуществляется на основании акта оказанных услуг.</w:t>
      </w:r>
      <w:r/>
    </w:p>
    <w:p>
      <w:pPr>
        <w:pStyle w:val="850"/>
        <w:jc w:val="both"/>
      </w:pPr>
      <w:r>
        <w:t xml:space="preserve">2. При наличии замечаний по качеству и (или) объему оказанных услуг, Заказчик оформляет соответствующий акт.</w:t>
      </w:r>
      <w:r/>
    </w:p>
    <w:p>
      <w:pPr>
        <w:pStyle w:val="850"/>
        <w:jc w:val="both"/>
      </w:pPr>
      <w:r>
        <w:t xml:space="preserve">3. Услуги считаются оказанными с момента подписания Заказчиком акта оказанных услуг без замечаний.</w:t>
      </w:r>
      <w:r/>
    </w:p>
    <w:p>
      <w:pPr>
        <w:pStyle w:val="850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rPr>
          <w:b/>
        </w:rPr>
        <w:t xml:space="preserve">Уполномоченный представитель Заказчика:</w:t>
      </w:r>
      <w:r>
        <w:t xml:space="preserve"> главный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Анатольевич, тел. (861) 250-18-35 доб. 3775.</w:t>
      </w:r>
      <w:r/>
    </w:p>
    <w:p>
      <w:pPr>
        <w:pStyle w:val="850"/>
      </w:pPr>
      <w:r/>
      <w:r/>
    </w:p>
    <w:p>
      <w:pPr>
        <w:pStyle w:val="997"/>
        <w:jc w:val="both"/>
      </w:pPr>
      <w:r/>
      <w:r/>
    </w:p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1" w:sep="0" w:space="1701" w:equalWidth="1"/>
          <w:docGrid w:linePitch="360"/>
        </w:sectPr>
      </w:pPr>
      <w:r/>
      <w:r/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_____________/______________/</w:t>
      </w:r>
      <w:r/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Исполнитель</w:t>
      </w:r>
      <w:r/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 / ____________ /</w:t>
      </w:r>
      <w:r/>
    </w:p>
    <w:p>
      <w:pPr>
        <w:pStyle w:val="997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</w:t>
      </w:r>
      <w:r>
        <w:rPr>
          <w:rFonts w:eastAsia="Times New Roman"/>
        </w:rPr>
        <w:t xml:space="preserve">    </w:t>
      </w:r>
      <w:r>
        <w:t xml:space="preserve">м.п.</w:t>
      </w:r>
      <w:r/>
    </w:p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2" w:sep="0" w:space="720" w:equalWidth="1"/>
          <w:docGrid w:linePitch="360"/>
        </w:sectPr>
      </w:pPr>
      <w:r/>
      <w:r/>
    </w:p>
    <w:p>
      <w:pPr>
        <w:pStyle w:val="964"/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</w:r>
      <w:r>
        <w:rPr>
          <w:rFonts w:eastAsia="Times New Roman"/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1004" w:bottom="993" w:left="851" w:header="284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Mangal">
    <w:panose1 w:val="02040503050406030204"/>
  </w:font>
  <w:font w:name="Lucida Sans Unicode">
    <w:panose1 w:val="020B0602040504020204"/>
  </w:font>
  <w:font w:name="Verdan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Nimbus Sans L;Arial">
    <w:panose1 w:val="00000500000000000000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Liberation Serif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5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47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848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pStyle w:val="849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83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87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40" w:hanging="435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77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2115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8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3165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87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15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20" w:hanging="180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40" w:hanging="435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77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2115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8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3165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87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15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20" w:hanging="180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5">
    <w:name w:val="Heading 1 Char"/>
    <w:link w:val="84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6">
    <w:name w:val="Heading 2 Char"/>
    <w:link w:val="848"/>
    <w:uiPriority w:val="9"/>
    <w:rPr>
      <w:rFonts w:ascii="Liberation Sans" w:hAnsi="Liberation Sans" w:eastAsia="Liberation Sans" w:cs="Liberation Sans"/>
      <w:sz w:val="34"/>
    </w:rPr>
  </w:style>
  <w:style w:type="paragraph" w:styleId="677">
    <w:name w:val="Heading 3"/>
    <w:basedOn w:val="846"/>
    <w:next w:val="846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8">
    <w:name w:val="Heading 3 Char"/>
    <w:link w:val="6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9">
    <w:name w:val="Heading 4 Char"/>
    <w:link w:val="84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0">
    <w:name w:val="Heading 5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1">
    <w:name w:val="Heading 5 Char"/>
    <w:link w:val="68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2">
    <w:name w:val="Heading 6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>
    <w:name w:val="Heading 6 Char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4">
    <w:name w:val="Heading 7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5">
    <w:name w:val="Heading 7 Char"/>
    <w:link w:val="68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6">
    <w:name w:val="Heading 8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7">
    <w:name w:val="Heading 8 Char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8">
    <w:name w:val="Heading 9"/>
    <w:basedOn w:val="846"/>
    <w:next w:val="846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Heading 9 Char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0">
    <w:name w:val="List Paragraph"/>
    <w:basedOn w:val="846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46"/>
    <w:next w:val="846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link w:val="692"/>
    <w:uiPriority w:val="10"/>
    <w:rPr>
      <w:sz w:val="48"/>
      <w:szCs w:val="48"/>
    </w:rPr>
  </w:style>
  <w:style w:type="paragraph" w:styleId="694">
    <w:name w:val="Subtitle"/>
    <w:basedOn w:val="846"/>
    <w:next w:val="846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link w:val="694"/>
    <w:uiPriority w:val="11"/>
    <w:rPr>
      <w:sz w:val="24"/>
      <w:szCs w:val="24"/>
    </w:rPr>
  </w:style>
  <w:style w:type="paragraph" w:styleId="696">
    <w:name w:val="Quote"/>
    <w:basedOn w:val="846"/>
    <w:next w:val="846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46"/>
    <w:next w:val="846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character" w:styleId="700">
    <w:name w:val="Header Char"/>
    <w:link w:val="975"/>
    <w:uiPriority w:val="99"/>
  </w:style>
  <w:style w:type="character" w:styleId="701">
    <w:name w:val="Footer Char"/>
    <w:link w:val="994"/>
    <w:uiPriority w:val="99"/>
  </w:style>
  <w:style w:type="character" w:styleId="702">
    <w:name w:val="Caption Char"/>
    <w:link w:val="966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80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80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80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80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80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80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1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1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1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1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1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2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2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2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  <w:pPr>
      <w:widowControl/>
    </w:pPr>
    <w:rPr>
      <w:rFonts w:ascii="Times New Roman" w:hAnsi="Times New Roman" w:eastAsia="Calibri" w:cs="Times New Roman"/>
      <w:color w:val="000000"/>
      <w:spacing w:val="-20"/>
      <w:sz w:val="24"/>
      <w:szCs w:val="24"/>
      <w:lang w:val="ru-RU" w:eastAsia="zh-CN" w:bidi="ar-SA"/>
    </w:rPr>
  </w:style>
  <w:style w:type="paragraph" w:styleId="847">
    <w:name w:val="Heading 1"/>
    <w:basedOn w:val="846"/>
    <w:next w:val="846"/>
    <w:qFormat/>
    <w:pPr>
      <w:numPr>
        <w:ilvl w:val="0"/>
        <w:numId w:val="1"/>
      </w:numPr>
      <w:ind w:left="720" w:right="0" w:hanging="360"/>
      <w:jc w:val="right"/>
      <w:keepNext/>
      <w:tabs>
        <w:tab w:val="clear" w:pos="709" w:leader="none"/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48">
    <w:name w:val="Heading 2"/>
    <w:basedOn w:val="846"/>
    <w:next w:val="846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49">
    <w:name w:val="Heading 4"/>
    <w:basedOn w:val="846"/>
    <w:next w:val="846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50">
    <w:name w:val="WW8Num2z1"/>
    <w:qFormat/>
    <w:rPr>
      <w:rFonts w:ascii="Times New Roman" w:hAnsi="Times New Roman" w:eastAsia="Times New Roman" w:cs="Times New Roman"/>
      <w:i w:val="0"/>
      <w:iCs/>
    </w:rPr>
  </w:style>
  <w:style w:type="character" w:styleId="851">
    <w:name w:val="WW8Num3z0"/>
    <w:qFormat/>
    <w:rPr>
      <w:b/>
      <w:i w:val="0"/>
      <w:color w:val="000000"/>
      <w:sz w:val="24"/>
    </w:rPr>
  </w:style>
  <w:style w:type="character" w:styleId="852">
    <w:name w:val="WW8Num3z1"/>
    <w:qFormat/>
    <w:rPr>
      <w:b/>
      <w:i w:val="0"/>
      <w:color w:val="000000"/>
    </w:rPr>
  </w:style>
  <w:style w:type="character" w:styleId="853">
    <w:name w:val="WW8Num4z1"/>
    <w:qFormat/>
  </w:style>
  <w:style w:type="character" w:styleId="854">
    <w:name w:val="WW8Num5z0"/>
    <w:qFormat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55">
    <w:name w:val="WW8Num6z0"/>
    <w:qFormat/>
    <w:rPr>
      <w:rFonts w:ascii="Arial" w:hAnsi="Arial" w:cs="Arial"/>
    </w:rPr>
  </w:style>
  <w:style w:type="character" w:styleId="856">
    <w:name w:val="WW8Num7z0"/>
    <w:qFormat/>
    <w:rPr>
      <w:rFonts w:eastAsia="Calibri"/>
    </w:rPr>
  </w:style>
  <w:style w:type="character" w:styleId="857">
    <w:name w:val="WW8Num8z0"/>
    <w:qFormat/>
  </w:style>
  <w:style w:type="character" w:styleId="858">
    <w:name w:val="WW8Num9z0"/>
    <w:qFormat/>
  </w:style>
  <w:style w:type="character" w:styleId="859">
    <w:name w:val="WW8Num10z0"/>
    <w:qFormat/>
  </w:style>
  <w:style w:type="character" w:styleId="860">
    <w:name w:val="WW8Num11z0"/>
    <w:qFormat/>
  </w:style>
  <w:style w:type="character" w:styleId="861">
    <w:name w:val="Основной шрифт абзаца"/>
    <w:qFormat/>
  </w:style>
  <w:style w:type="character" w:styleId="862">
    <w:name w:val="WW8Num1zfalse"/>
    <w:qFormat/>
  </w:style>
  <w:style w:type="character" w:styleId="863">
    <w:name w:val="WW8Num1ztrue"/>
    <w:qFormat/>
  </w:style>
  <w:style w:type="character" w:styleId="864">
    <w:name w:val="WW-WW8Num1ztrue"/>
    <w:qFormat/>
  </w:style>
  <w:style w:type="character" w:styleId="865">
    <w:name w:val="WW-WW8Num1ztrue1"/>
    <w:qFormat/>
  </w:style>
  <w:style w:type="character" w:styleId="866">
    <w:name w:val="WW-WW8Num1ztrue2"/>
    <w:qFormat/>
  </w:style>
  <w:style w:type="character" w:styleId="867">
    <w:name w:val="WW-WW8Num1ztrue3"/>
    <w:qFormat/>
  </w:style>
  <w:style w:type="character" w:styleId="868">
    <w:name w:val="WW-WW8Num1ztrue4"/>
    <w:qFormat/>
  </w:style>
  <w:style w:type="character" w:styleId="869">
    <w:name w:val="WW-WW8Num1ztrue5"/>
    <w:qFormat/>
  </w:style>
  <w:style w:type="character" w:styleId="870">
    <w:name w:val="WW-WW8Num1ztrue6"/>
    <w:qFormat/>
  </w:style>
  <w:style w:type="character" w:styleId="871">
    <w:name w:val="WW8Num2zfalse"/>
    <w:qFormat/>
  </w:style>
  <w:style w:type="character" w:styleId="872">
    <w:name w:val="WW8Num2ztrue"/>
    <w:qFormat/>
  </w:style>
  <w:style w:type="character" w:styleId="873">
    <w:name w:val="WW-WW8Num2ztrue"/>
    <w:qFormat/>
  </w:style>
  <w:style w:type="character" w:styleId="874">
    <w:name w:val="WW-WW8Num2ztrue1"/>
    <w:qFormat/>
  </w:style>
  <w:style w:type="character" w:styleId="875">
    <w:name w:val="WW-WW8Num2ztrue2"/>
    <w:qFormat/>
  </w:style>
  <w:style w:type="character" w:styleId="876">
    <w:name w:val="WW-WW8Num2ztrue3"/>
    <w:qFormat/>
  </w:style>
  <w:style w:type="character" w:styleId="877">
    <w:name w:val="WW-WW8Num2ztrue4"/>
    <w:qFormat/>
  </w:style>
  <w:style w:type="character" w:styleId="878">
    <w:name w:val="WW-WW8Num2ztrue5"/>
    <w:qFormat/>
  </w:style>
  <w:style w:type="character" w:styleId="879">
    <w:name w:val="WW8Num3ztrue"/>
    <w:qFormat/>
  </w:style>
  <w:style w:type="character" w:styleId="880">
    <w:name w:val="WW-WW8Num3ztrue"/>
    <w:qFormat/>
  </w:style>
  <w:style w:type="character" w:styleId="881">
    <w:name w:val="WW-WW8Num3ztrue1"/>
    <w:qFormat/>
  </w:style>
  <w:style w:type="character" w:styleId="882">
    <w:name w:val="WW-WW8Num3ztrue2"/>
    <w:qFormat/>
  </w:style>
  <w:style w:type="character" w:styleId="883">
    <w:name w:val="WW-WW8Num3ztrue3"/>
    <w:qFormat/>
  </w:style>
  <w:style w:type="character" w:styleId="884">
    <w:name w:val="WW-WW8Num3ztrue4"/>
    <w:qFormat/>
  </w:style>
  <w:style w:type="character" w:styleId="885">
    <w:name w:val="WW-WW8Num3ztrue5"/>
    <w:qFormat/>
  </w:style>
  <w:style w:type="character" w:styleId="886">
    <w:name w:val="WW8Num4zfalse"/>
    <w:qFormat/>
  </w:style>
  <w:style w:type="character" w:styleId="887">
    <w:name w:val="WW8Num4ztrue"/>
    <w:qFormat/>
  </w:style>
  <w:style w:type="character" w:styleId="888">
    <w:name w:val="WW-WW8Num4ztrue"/>
    <w:qFormat/>
  </w:style>
  <w:style w:type="character" w:styleId="889">
    <w:name w:val="WW-WW8Num4ztrue1"/>
    <w:qFormat/>
  </w:style>
  <w:style w:type="character" w:styleId="890">
    <w:name w:val="WW-WW8Num4ztrue2"/>
    <w:qFormat/>
  </w:style>
  <w:style w:type="character" w:styleId="891">
    <w:name w:val="WW-WW8Num4ztrue3"/>
    <w:qFormat/>
  </w:style>
  <w:style w:type="character" w:styleId="892">
    <w:name w:val="WW-WW8Num4ztrue4"/>
    <w:qFormat/>
  </w:style>
  <w:style w:type="character" w:styleId="893">
    <w:name w:val="WW-WW8Num4ztrue5"/>
    <w:qFormat/>
  </w:style>
  <w:style w:type="character" w:styleId="894">
    <w:name w:val="WW-WW8Num4ztrue6"/>
    <w:qFormat/>
  </w:style>
  <w:style w:type="character" w:styleId="895">
    <w:name w:val="WW8Num5ztrue"/>
    <w:qFormat/>
  </w:style>
  <w:style w:type="character" w:styleId="896">
    <w:name w:val="WW-WW8Num5ztrue"/>
    <w:qFormat/>
  </w:style>
  <w:style w:type="character" w:styleId="897">
    <w:name w:val="WW-WW8Num5ztrue1"/>
    <w:qFormat/>
  </w:style>
  <w:style w:type="character" w:styleId="898">
    <w:name w:val="WW-WW8Num5ztrue2"/>
    <w:qFormat/>
  </w:style>
  <w:style w:type="character" w:styleId="899">
    <w:name w:val="WW-WW8Num5ztrue3"/>
    <w:qFormat/>
  </w:style>
  <w:style w:type="character" w:styleId="900">
    <w:name w:val="WW-WW8Num5ztrue4"/>
    <w:qFormat/>
  </w:style>
  <w:style w:type="character" w:styleId="901">
    <w:name w:val="WW-WW8Num5ztrue5"/>
    <w:qFormat/>
  </w:style>
  <w:style w:type="character" w:styleId="902">
    <w:name w:val="WW-WW8Num5ztrue6"/>
    <w:qFormat/>
  </w:style>
  <w:style w:type="character" w:styleId="903">
    <w:name w:val="Основной шрифт абзаца2"/>
    <w:qFormat/>
  </w:style>
  <w:style w:type="character" w:styleId="904">
    <w:name w:val="Absatz-Standardschriftart"/>
    <w:qFormat/>
  </w:style>
  <w:style w:type="character" w:styleId="905">
    <w:name w:val="WW-Absatz-Standardschriftart"/>
    <w:qFormat/>
  </w:style>
  <w:style w:type="character" w:styleId="906">
    <w:name w:val="WW8Num1z0"/>
    <w:qFormat/>
  </w:style>
  <w:style w:type="character" w:styleId="907">
    <w:name w:val="WW8Num1z1"/>
    <w:qFormat/>
  </w:style>
  <w:style w:type="character" w:styleId="908">
    <w:name w:val="WW8Num1z2"/>
    <w:qFormat/>
  </w:style>
  <w:style w:type="character" w:styleId="909">
    <w:name w:val="WW8Num1z3"/>
    <w:qFormat/>
  </w:style>
  <w:style w:type="character" w:styleId="910">
    <w:name w:val="WW8Num1z4"/>
    <w:qFormat/>
  </w:style>
  <w:style w:type="character" w:styleId="911">
    <w:name w:val="WW8Num1z5"/>
    <w:qFormat/>
  </w:style>
  <w:style w:type="character" w:styleId="912">
    <w:name w:val="WW8Num1z6"/>
    <w:qFormat/>
  </w:style>
  <w:style w:type="character" w:styleId="913">
    <w:name w:val="WW8Num1z7"/>
    <w:qFormat/>
  </w:style>
  <w:style w:type="character" w:styleId="914">
    <w:name w:val="WW8Num1z8"/>
    <w:qFormat/>
  </w:style>
  <w:style w:type="character" w:styleId="915">
    <w:name w:val="WW8Num2z0"/>
    <w:qFormat/>
  </w:style>
  <w:style w:type="character" w:styleId="916">
    <w:name w:val="WW8Num3z2"/>
    <w:qFormat/>
  </w:style>
  <w:style w:type="character" w:styleId="917">
    <w:name w:val="WW8Num3z3"/>
    <w:qFormat/>
  </w:style>
  <w:style w:type="character" w:styleId="918">
    <w:name w:val="WW8Num3z4"/>
    <w:qFormat/>
  </w:style>
  <w:style w:type="character" w:styleId="919">
    <w:name w:val="WW8Num3z5"/>
    <w:qFormat/>
  </w:style>
  <w:style w:type="character" w:styleId="920">
    <w:name w:val="WW8Num3z6"/>
    <w:qFormat/>
  </w:style>
  <w:style w:type="character" w:styleId="921">
    <w:name w:val="WW8Num3z7"/>
    <w:qFormat/>
  </w:style>
  <w:style w:type="character" w:styleId="922">
    <w:name w:val="WW8Num3z8"/>
    <w:qFormat/>
  </w:style>
  <w:style w:type="character" w:styleId="923">
    <w:name w:val="WW8Num4z0"/>
    <w:qFormat/>
    <w:rPr>
      <w:rFonts w:ascii="Times New Roman" w:hAnsi="Times New Roman" w:cs="Times New Roman"/>
      <w:i w:val="0"/>
    </w:rPr>
  </w:style>
  <w:style w:type="character" w:styleId="924">
    <w:name w:val="WW8Num5z1"/>
    <w:qFormat/>
    <w:rPr>
      <w:b/>
      <w:i w:val="0"/>
      <w:color w:val="000000"/>
    </w:rPr>
  </w:style>
  <w:style w:type="character" w:styleId="925">
    <w:name w:val="WW8Num5z2"/>
    <w:qFormat/>
  </w:style>
  <w:style w:type="character" w:styleId="926">
    <w:name w:val="WW8Num5z3"/>
    <w:qFormat/>
  </w:style>
  <w:style w:type="character" w:styleId="927">
    <w:name w:val="WW8Num5z4"/>
    <w:qFormat/>
  </w:style>
  <w:style w:type="character" w:styleId="928">
    <w:name w:val="WW8Num5z5"/>
    <w:qFormat/>
  </w:style>
  <w:style w:type="character" w:styleId="929">
    <w:name w:val="WW8Num5z6"/>
    <w:qFormat/>
  </w:style>
  <w:style w:type="character" w:styleId="930">
    <w:name w:val="WW8Num5z7"/>
    <w:qFormat/>
  </w:style>
  <w:style w:type="character" w:styleId="931">
    <w:name w:val="WW8Num5z8"/>
    <w:qFormat/>
  </w:style>
  <w:style w:type="character" w:styleId="932">
    <w:name w:val="WW8Num6z1"/>
    <w:qFormat/>
  </w:style>
  <w:style w:type="character" w:styleId="933">
    <w:name w:val="WW8Num6z2"/>
    <w:qFormat/>
  </w:style>
  <w:style w:type="character" w:styleId="934">
    <w:name w:val="WW8Num6z3"/>
    <w:qFormat/>
  </w:style>
  <w:style w:type="character" w:styleId="935">
    <w:name w:val="WW8Num6z4"/>
    <w:qFormat/>
  </w:style>
  <w:style w:type="character" w:styleId="936">
    <w:name w:val="WW8Num6z5"/>
    <w:qFormat/>
  </w:style>
  <w:style w:type="character" w:styleId="937">
    <w:name w:val="WW8Num6z6"/>
    <w:qFormat/>
  </w:style>
  <w:style w:type="character" w:styleId="938">
    <w:name w:val="WW8Num6z7"/>
    <w:qFormat/>
  </w:style>
  <w:style w:type="character" w:styleId="939">
    <w:name w:val="WW8Num6z8"/>
    <w:qFormat/>
  </w:style>
  <w:style w:type="character" w:styleId="940">
    <w:name w:val="Основной шрифт абзаца1"/>
    <w:qFormat/>
  </w:style>
  <w:style w:type="character" w:styleId="941">
    <w:name w:val=" Знак Знак9"/>
    <w:qFormat/>
    <w:rPr>
      <w:rFonts w:eastAsia="Calibri"/>
      <w:sz w:val="28"/>
      <w:szCs w:val="28"/>
      <w:lang w:val="ru-RU" w:bidi="ar-SA"/>
    </w:rPr>
  </w:style>
  <w:style w:type="character" w:styleId="942">
    <w:name w:val=" Знак Знак6"/>
    <w:qFormat/>
    <w:rPr>
      <w:rFonts w:eastAsia="Calibri"/>
      <w:sz w:val="28"/>
      <w:szCs w:val="28"/>
      <w:lang w:val="ru-RU" w:bidi="ar-SA"/>
    </w:rPr>
  </w:style>
  <w:style w:type="character" w:styleId="943">
    <w:name w:val=" Знак Знак5"/>
    <w:qFormat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44">
    <w:name w:val=" Знак Знак4"/>
    <w:qFormat/>
    <w:rPr>
      <w:rFonts w:eastAsia="Calibri"/>
      <w:sz w:val="24"/>
      <w:szCs w:val="24"/>
      <w:lang w:val="ru-RU" w:bidi="ar-SA"/>
    </w:rPr>
  </w:style>
  <w:style w:type="character" w:styleId="945">
    <w:name w:val="Strong"/>
    <w:qFormat/>
    <w:rPr>
      <w:b/>
      <w:bCs/>
    </w:rPr>
  </w:style>
  <w:style w:type="character" w:styleId="946">
    <w:name w:val=" Знак Знак3"/>
    <w:qFormat/>
    <w:rPr>
      <w:rFonts w:eastAsia="Calibri"/>
      <w:color w:val="000000"/>
      <w:spacing w:val="-20"/>
      <w:sz w:val="24"/>
      <w:szCs w:val="24"/>
    </w:rPr>
  </w:style>
  <w:style w:type="character" w:styleId="947">
    <w:name w:val=" Знак Знак2"/>
    <w:qFormat/>
    <w:rPr>
      <w:sz w:val="16"/>
      <w:szCs w:val="16"/>
    </w:rPr>
  </w:style>
  <w:style w:type="character" w:styleId="948">
    <w:name w:val=" Знак Знак1"/>
    <w:qFormat/>
    <w:rPr>
      <w:rFonts w:eastAsia="Calibri"/>
      <w:color w:val="000000"/>
      <w:spacing w:val="-20"/>
      <w:sz w:val="24"/>
      <w:lang w:val="ru-RU" w:bidi="ar-SA"/>
    </w:rPr>
  </w:style>
  <w:style w:type="character" w:styleId="949">
    <w:name w:val=" Знак Знак7"/>
    <w:qFormat/>
    <w:rPr>
      <w:rFonts w:ascii="Calibri" w:hAnsi="Calibri" w:cs="Calibri"/>
      <w:b/>
      <w:bCs/>
      <w:sz w:val="28"/>
      <w:szCs w:val="28"/>
    </w:rPr>
  </w:style>
  <w:style w:type="character" w:styleId="950">
    <w:name w:val="Текст ТД Знак"/>
    <w:qFormat/>
    <w:rPr>
      <w:rFonts w:eastAsia="Calibri"/>
      <w:sz w:val="24"/>
      <w:szCs w:val="24"/>
    </w:rPr>
  </w:style>
  <w:style w:type="character" w:styleId="951">
    <w:name w:val=" Знак Знак"/>
    <w:qFormat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52">
    <w:name w:val="apple-converted-space"/>
    <w:basedOn w:val="940"/>
    <w:qFormat/>
  </w:style>
  <w:style w:type="character" w:styleId="953">
    <w:name w:val="ConsPlusNormal Знак"/>
    <w:qFormat/>
    <w:rPr>
      <w:rFonts w:ascii="Arial" w:hAnsi="Arial" w:cs="Arial"/>
      <w:lang w:val="ru-RU" w:bidi="ar-SA"/>
    </w:rPr>
  </w:style>
  <w:style w:type="character" w:styleId="954">
    <w:name w:val=" Знак Знак8"/>
    <w:qFormat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55">
    <w:name w:val="Font Style27"/>
    <w:qFormat/>
    <w:rPr>
      <w:rFonts w:ascii="Times New Roman" w:hAnsi="Times New Roman" w:cs="Times New Roman"/>
      <w:sz w:val="22"/>
      <w:szCs w:val="22"/>
    </w:rPr>
  </w:style>
  <w:style w:type="character" w:styleId="956">
    <w:name w:val="Hyperlink"/>
    <w:rPr>
      <w:color w:val="0000ff"/>
      <w:u w:val="single"/>
    </w:rPr>
  </w:style>
  <w:style w:type="character" w:styleId="957">
    <w:name w:val="Character Style 1"/>
    <w:qFormat/>
    <w:rPr>
      <w:rFonts w:ascii="Verdana" w:hAnsi="Verdana" w:cs="Verdana"/>
      <w:sz w:val="20"/>
    </w:rPr>
  </w:style>
  <w:style w:type="character" w:styleId="958">
    <w:name w:val="Основной текст Знак"/>
    <w:qFormat/>
    <w:rPr>
      <w:rFonts w:eastAsia="Calibri"/>
      <w:sz w:val="28"/>
      <w:szCs w:val="28"/>
      <w:lang w:eastAsia="zh-CN"/>
    </w:rPr>
  </w:style>
  <w:style w:type="character" w:styleId="959">
    <w:name w:val="Font Style20"/>
    <w:qFormat/>
    <w:rPr>
      <w:rFonts w:ascii="Times New Roman" w:hAnsi="Times New Roman" w:cs="Times New Roman"/>
      <w:sz w:val="22"/>
      <w:szCs w:val="22"/>
    </w:rPr>
  </w:style>
  <w:style w:type="character" w:styleId="960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styleId="961">
    <w:name w:val="Font Style12"/>
    <w:qFormat/>
    <w:rPr>
      <w:rFonts w:ascii="Calibri" w:hAnsi="Calibri" w:cs="Calibri"/>
      <w:sz w:val="26"/>
      <w:szCs w:val="26"/>
    </w:rPr>
  </w:style>
  <w:style w:type="character" w:styleId="962">
    <w:name w:val="Абзац списка Знак"/>
    <w:qFormat/>
    <w:rPr>
      <w:rFonts w:ascii="Calibri" w:hAnsi="Calibri" w:cs="Calibri"/>
      <w:sz w:val="22"/>
      <w:szCs w:val="22"/>
      <w:lang w:eastAsia="zh-CN"/>
    </w:rPr>
  </w:style>
  <w:style w:type="paragraph" w:styleId="963">
    <w:name w:val="Заголовок"/>
    <w:basedOn w:val="846"/>
    <w:next w:val="964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964">
    <w:name w:val="Body Text"/>
    <w:basedOn w:val="846"/>
    <w:rPr>
      <w:color w:val="000000"/>
      <w:spacing w:val="0"/>
      <w:sz w:val="28"/>
      <w:szCs w:val="28"/>
      <w:lang w:val="ru-RU"/>
    </w:rPr>
  </w:style>
  <w:style w:type="paragraph" w:styleId="965">
    <w:name w:val="List"/>
    <w:basedOn w:val="964"/>
    <w:rPr>
      <w:rFonts w:cs="Mangal"/>
    </w:rPr>
  </w:style>
  <w:style w:type="paragraph" w:styleId="966">
    <w:name w:val="Caption"/>
    <w:basedOn w:val="846"/>
    <w:link w:val="702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967">
    <w:name w:val="Указатель"/>
    <w:basedOn w:val="846"/>
    <w:qFormat/>
    <w:pPr>
      <w:suppressLineNumbers/>
    </w:pPr>
    <w:rPr>
      <w:rFonts w:cs="Noto Sans Devanagari"/>
    </w:rPr>
  </w:style>
  <w:style w:type="paragraph" w:styleId="968">
    <w:name w:val="Заголовок1"/>
    <w:basedOn w:val="846"/>
    <w:next w:val="964"/>
    <w:qFormat/>
    <w:pPr>
      <w:keepNext/>
      <w:spacing w:before="240" w:after="120" w:line="276" w:lineRule="auto"/>
    </w:pPr>
    <w:rPr>
      <w:rFonts w:ascii="Nimbus Sans L;Arial" w:hAnsi="Nimbus Sans L;Arial" w:eastAsia="Times New Roman" w:cs="Nimbus Sans L;Arial"/>
      <w:color w:val="000000"/>
      <w:spacing w:val="0"/>
      <w:sz w:val="28"/>
      <w:szCs w:val="28"/>
    </w:rPr>
  </w:style>
  <w:style w:type="paragraph" w:styleId="969">
    <w:name w:val="Название объекта"/>
    <w:basedOn w:val="846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70">
    <w:name w:val="Указатель2"/>
    <w:basedOn w:val="846"/>
    <w:qFormat/>
    <w:pPr>
      <w:suppressLineNumbers/>
    </w:pPr>
    <w:rPr>
      <w:rFonts w:cs="Mangal"/>
    </w:rPr>
  </w:style>
  <w:style w:type="paragraph" w:styleId="971">
    <w:name w:val="Название объекта1"/>
    <w:basedOn w:val="846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72">
    <w:name w:val="Указатель1"/>
    <w:basedOn w:val="846"/>
    <w:qFormat/>
    <w:pPr>
      <w:suppressLineNumbers/>
    </w:pPr>
    <w:rPr>
      <w:rFonts w:cs="Mangal"/>
    </w:rPr>
  </w:style>
  <w:style w:type="paragraph" w:styleId="973">
    <w:name w:val="Body Text Indent"/>
    <w:basedOn w:val="846"/>
    <w:pPr>
      <w:ind w:left="283" w:right="0" w:firstLine="0"/>
      <w:spacing w:before="0" w:after="120"/>
    </w:pPr>
  </w:style>
  <w:style w:type="paragraph" w:styleId="974">
    <w:name w:val="Колонтитулы"/>
    <w:basedOn w:val="846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75">
    <w:name w:val="Header"/>
    <w:basedOn w:val="846"/>
    <w:pPr>
      <w:tabs>
        <w:tab w:val="clear" w:pos="709" w:leader="none"/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76">
    <w:name w:val="Noeeu"/>
    <w:qFormat/>
    <w:pPr>
      <w:widowControl w:val="off"/>
    </w:pPr>
    <w:rPr>
      <w:rFonts w:ascii="Times New Roman" w:hAnsi="Times New Roman" w:eastAsia="Times New Roman" w:cs="Times New Roman"/>
      <w:color w:val="auto"/>
      <w:spacing w:val="-1"/>
      <w:sz w:val="24"/>
      <w:szCs w:val="24"/>
      <w:vertAlign w:val="superscript"/>
      <w:lang w:val="en-US" w:eastAsia="zh-CN" w:bidi="ar-SA"/>
    </w:rPr>
  </w:style>
  <w:style w:type="paragraph" w:styleId="977">
    <w:name w:val="ConsNormal"/>
    <w:qFormat/>
    <w:pPr>
      <w:ind w:left="0" w:right="19772"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78">
    <w:name w:val="ConsNonformat"/>
    <w:qFormat/>
    <w:pPr>
      <w:ind w:left="0" w:right="19772" w:firstLine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979">
    <w:name w:val="ConsPlusNormal"/>
    <w:qFormat/>
    <w:pPr>
      <w:ind w:left="0" w:right="0" w:firstLine="720"/>
      <w:widowControl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80">
    <w:name w:val="Основной текст с отступом 21"/>
    <w:basedOn w:val="846"/>
    <w:qFormat/>
    <w:pPr>
      <w:ind w:left="283" w:right="0" w:firstLine="0"/>
      <w:spacing w:before="0" w:after="120" w:line="480" w:lineRule="auto"/>
    </w:pPr>
  </w:style>
  <w:style w:type="paragraph" w:styleId="981">
    <w:name w:val="Основной текст с отступом 31"/>
    <w:basedOn w:val="846"/>
    <w:qFormat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82">
    <w:name w:val="Основной текст 21"/>
    <w:basedOn w:val="846"/>
    <w:qFormat/>
    <w:pPr>
      <w:spacing w:before="0" w:after="120" w:line="480" w:lineRule="auto"/>
    </w:pPr>
    <w:rPr>
      <w:szCs w:val="20"/>
    </w:rPr>
  </w:style>
  <w:style w:type="paragraph" w:styleId="983">
    <w:name w:val="Контракт-раздел"/>
    <w:basedOn w:val="846"/>
    <w:next w:val="984"/>
    <w:qFormat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  <w:tab w:val="clear" w:pos="709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84">
    <w:name w:val="Контракт-пункт"/>
    <w:basedOn w:val="846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5">
    <w:name w:val="Контракт-подпункт"/>
    <w:basedOn w:val="846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6">
    <w:name w:val="Контракт-подподпункт"/>
    <w:basedOn w:val="846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7">
    <w:name w:val="Текст ТД"/>
    <w:basedOn w:val="846"/>
    <w:qFormat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88">
    <w:name w:val="Текст выноски"/>
    <w:basedOn w:val="846"/>
    <w:qFormat/>
    <w:rPr>
      <w:rFonts w:ascii="Tahoma" w:hAnsi="Tahoma" w:cs="Tahoma"/>
      <w:sz w:val="16"/>
      <w:szCs w:val="16"/>
    </w:rPr>
  </w:style>
  <w:style w:type="paragraph" w:styleId="989">
    <w:name w:val="Цитаты"/>
    <w:basedOn w:val="846"/>
    <w:qFormat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90">
    <w:name w:val="s_3"/>
    <w:basedOn w:val="846"/>
    <w:qFormat/>
    <w:pPr>
      <w:spacing w:before="280" w:after="280"/>
    </w:pPr>
    <w:rPr>
      <w:rFonts w:eastAsia="Times New Roman"/>
      <w:color w:val="000000"/>
      <w:spacing w:val="0"/>
    </w:rPr>
  </w:style>
  <w:style w:type="paragraph" w:styleId="991">
    <w:name w:val="ConsPlusTitle"/>
    <w:qFormat/>
    <w:pPr>
      <w:widowControl w:val="off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992">
    <w:name w:val="Содержимое таблицы"/>
    <w:basedOn w:val="846"/>
    <w:qFormat/>
    <w:pPr>
      <w:suppressLineNumbers/>
    </w:pPr>
  </w:style>
  <w:style w:type="paragraph" w:styleId="993">
    <w:name w:val="Заголовок таблицы"/>
    <w:basedOn w:val="992"/>
    <w:qFormat/>
    <w:pPr>
      <w:jc w:val="center"/>
      <w:suppressLineNumbers/>
    </w:pPr>
    <w:rPr>
      <w:b/>
      <w:bCs/>
    </w:rPr>
  </w:style>
  <w:style w:type="paragraph" w:styleId="994">
    <w:name w:val="Footer"/>
    <w:basedOn w:val="846"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95">
    <w:name w:val="Абзац списка"/>
    <w:basedOn w:val="846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96">
    <w:name w:val="Обычный (веб)"/>
    <w:basedOn w:val="846"/>
    <w:qFormat/>
    <w:pPr>
      <w:spacing w:before="280" w:after="280"/>
    </w:pPr>
    <w:rPr>
      <w:rFonts w:eastAsia="Times New Roman"/>
      <w:color w:val="000000"/>
      <w:spacing w:val="0"/>
    </w:rPr>
  </w:style>
  <w:style w:type="paragraph" w:styleId="997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998">
    <w:name w:val="Standard"/>
    <w:qFormat/>
    <w:pPr>
      <w:widowControl w:val="off"/>
    </w:pPr>
    <w:rPr>
      <w:rFonts w:ascii="Times New Roman" w:hAnsi="Times New Roman" w:eastAsia="Lucida Sans Unicode" w:cs="Times New Roman"/>
      <w:color w:val="auto"/>
      <w:sz w:val="24"/>
      <w:szCs w:val="24"/>
      <w:lang w:val="ru-RU" w:eastAsia="zh-CN" w:bidi="hi-IN"/>
    </w:rPr>
  </w:style>
  <w:style w:type="paragraph" w:styleId="999">
    <w:name w:val="s_1"/>
    <w:basedOn w:val="846"/>
    <w:qFormat/>
    <w:pPr>
      <w:ind w:left="0" w:right="0"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</w:rPr>
  </w:style>
  <w:style w:type="numbering" w:styleId="1000">
    <w:name w:val="WW8Num1"/>
    <w:qFormat/>
  </w:style>
  <w:style w:type="numbering" w:styleId="1001">
    <w:name w:val="WW8Num2"/>
    <w:qFormat/>
  </w:style>
  <w:style w:type="numbering" w:styleId="1002">
    <w:name w:val="WW8Num3"/>
    <w:qFormat/>
  </w:style>
  <w:style w:type="numbering" w:styleId="1003">
    <w:name w:val="WW8Num4"/>
    <w:qFormat/>
  </w:style>
  <w:style w:type="numbering" w:styleId="1004">
    <w:name w:val="WW8Num5"/>
    <w:qFormat/>
  </w:style>
  <w:style w:type="numbering" w:styleId="1005">
    <w:name w:val="WW8Num6"/>
    <w:qFormat/>
  </w:style>
  <w:style w:type="numbering" w:styleId="1006">
    <w:name w:val="WW8Num7"/>
    <w:qFormat/>
  </w:style>
  <w:style w:type="numbering" w:styleId="1007">
    <w:name w:val="WW8Num8"/>
    <w:qFormat/>
  </w:style>
  <w:style w:type="numbering" w:styleId="1008">
    <w:name w:val="WW8Num9"/>
    <w:qFormat/>
  </w:style>
  <w:style w:type="numbering" w:styleId="1009">
    <w:name w:val="WW8Num10"/>
    <w:qFormat/>
  </w:style>
  <w:style w:type="numbering" w:styleId="1010">
    <w:name w:val="WW8Num11"/>
    <w:qFormat/>
  </w:style>
  <w:style w:type="character" w:styleId="1011" w:default="1">
    <w:name w:val="Default Paragraph Font"/>
    <w:uiPriority w:val="1"/>
    <w:semiHidden/>
    <w:unhideWhenUsed/>
  </w:style>
  <w:style w:type="numbering" w:styleId="1012" w:default="1">
    <w:name w:val="No List"/>
    <w:uiPriority w:val="99"/>
    <w:semiHidden/>
    <w:unhideWhenUsed/>
  </w:style>
  <w:style w:type="table" w:styleId="1013" w:default="1">
    <w:name w:val="Normal Table"/>
    <w:uiPriority w:val="99"/>
    <w:semiHidden/>
    <w:unhideWhenUsed/>
    <w:tblPr/>
  </w:style>
  <w:style w:type="paragraph" w:styleId="1014" w:customStyle="1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85"/>
    <w:next w:val="987"/>
    <w:link w:val="999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15" w:customStyle="1">
    <w:name w:val="Гиперссылка"/>
    <w:next w:val="958"/>
    <w:link w:val="885"/>
    <w:rPr>
      <w:color w:val="0000ff"/>
      <w:u w:val="single"/>
    </w:rPr>
  </w:style>
  <w:style w:type="paragraph" w:styleId="1016" w:customStyle="1">
    <w:name w:val="Основной текст"/>
    <w:basedOn w:val="885"/>
    <w:next w:val="960"/>
    <w:link w:val="99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1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2" Type="http://schemas.openxmlformats.org/officeDocument/2006/relationships/hyperlink" Target="consultantplus://offline/ref=782E9CC4CCC6932545801925E3B536176E50B53C1FD70BD7655CABC93DB89C271041D8CD019EE692303B294E112BD805805FEF4CF4B5672237V6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subject/>
  <dc:creator>User</dc:creator>
  <cp:keywords/>
  <dc:description/>
  <dc:language>ru-RU</dc:language>
  <cp:lastModifiedBy>a.nadtochij</cp:lastModifiedBy>
  <cp:revision>52</cp:revision>
  <dcterms:created xsi:type="dcterms:W3CDTF">2021-09-13T12:23:00Z</dcterms:created>
  <dcterms:modified xsi:type="dcterms:W3CDTF">2026-08-12T09:18:37Z</dcterms:modified>
</cp:coreProperties>
</file>