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Обоснование  цены товара, работы, услуги</w:t>
      </w:r>
    </w:p>
    <w:p w14:paraId="02000000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соответствии со ст.22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 начальная (максимальная) цена контракта определена методом сопоставимых рыночных цен (анализа рынка) на основании информации о рыночных ценах идентичных товаров, содержащихся в коммерческих предложениях потенциальных поставщиков</w:t>
      </w:r>
      <w:r>
        <w:rPr>
          <w:rFonts w:ascii="Times New Roman" w:hAnsi="Times New Roman"/>
          <w:sz w:val="24"/>
        </w:rPr>
        <w:t xml:space="preserve"> (исполнителей)</w:t>
      </w:r>
      <w:r>
        <w:rPr>
          <w:rFonts w:ascii="Times New Roman" w:hAnsi="Times New Roman"/>
          <w:sz w:val="24"/>
        </w:rPr>
        <w:t>:</w:t>
      </w:r>
    </w:p>
    <w:p w14:paraId="03000000">
      <w:pPr>
        <w:spacing w:after="0" w:line="240" w:lineRule="auto"/>
        <w:ind/>
        <w:rPr>
          <w:rFonts w:ascii="Times New Roman" w:hAnsi="Times New Roman"/>
        </w:rPr>
      </w:pPr>
    </w:p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60"/>
        <w:gridCol w:w="2696"/>
        <w:gridCol w:w="878"/>
        <w:gridCol w:w="987"/>
        <w:gridCol w:w="1800"/>
        <w:gridCol w:w="1800"/>
        <w:gridCol w:w="1791"/>
        <w:gridCol w:w="2084"/>
        <w:gridCol w:w="1461"/>
      </w:tblGrid>
      <w:tr>
        <w:trPr>
          <w:trHeight w:hRule="atLeast" w:val="326"/>
        </w:trPr>
        <w:tc>
          <w:tcPr>
            <w:tcW w:type="dxa" w:w="56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№ п/п</w:t>
            </w:r>
          </w:p>
        </w:tc>
        <w:tc>
          <w:tcPr>
            <w:tcW w:type="dxa" w:w="269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Наименование товара</w:t>
            </w:r>
            <w:r>
              <w:rPr>
                <w:rFonts w:ascii="Times New Roman" w:hAnsi="Times New Roman"/>
                <w:b w:val="1"/>
                <w:sz w:val="24"/>
              </w:rPr>
              <w:t>,</w:t>
            </w:r>
            <w:r>
              <w:rPr>
                <w:rFonts w:ascii="Times New Roman" w:hAnsi="Times New Roman"/>
                <w:b w:val="1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работы</w:t>
            </w:r>
            <w:r>
              <w:rPr>
                <w:rFonts w:ascii="Times New Roman" w:hAnsi="Times New Roman"/>
                <w:b w:val="1"/>
                <w:sz w:val="24"/>
              </w:rPr>
              <w:t>,</w:t>
            </w:r>
            <w:r>
              <w:rPr>
                <w:rFonts w:ascii="Times New Roman" w:hAnsi="Times New Roman"/>
                <w:b w:val="1"/>
                <w:sz w:val="24"/>
              </w:rPr>
              <w:t xml:space="preserve"> услуги</w:t>
            </w:r>
          </w:p>
        </w:tc>
        <w:tc>
          <w:tcPr>
            <w:tcW w:type="dxa" w:w="87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Ед. изм.</w:t>
            </w:r>
          </w:p>
        </w:tc>
        <w:tc>
          <w:tcPr>
            <w:tcW w:type="dxa" w:w="98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Кол-во</w:t>
            </w:r>
          </w:p>
        </w:tc>
        <w:tc>
          <w:tcPr>
            <w:tcW w:type="dxa" w:w="5391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Анализ цен за ед. изм., руб.</w:t>
            </w:r>
          </w:p>
        </w:tc>
        <w:tc>
          <w:tcPr>
            <w:tcW w:type="dxa" w:w="20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Цена за единицу товара, </w:t>
            </w:r>
            <w:r>
              <w:rPr>
                <w:rFonts w:ascii="Times New Roman" w:hAnsi="Times New Roman"/>
                <w:b w:val="1"/>
                <w:sz w:val="24"/>
              </w:rPr>
              <w:t xml:space="preserve">работы, услуги, </w:t>
            </w:r>
            <w:r>
              <w:rPr>
                <w:rFonts w:ascii="Times New Roman" w:hAnsi="Times New Roman"/>
                <w:b w:val="1"/>
                <w:sz w:val="24"/>
              </w:rPr>
              <w:t>используемая при расчете (минимальная стоимость), руб.</w:t>
            </w:r>
          </w:p>
        </w:tc>
        <w:tc>
          <w:tcPr>
            <w:tcW w:type="dxa" w:w="146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Стоимость, руб.</w:t>
            </w:r>
          </w:p>
        </w:tc>
      </w:tr>
      <w:tr>
        <w:trPr>
          <w:trHeight w:hRule="atLeast" w:val="1264"/>
        </w:trPr>
        <w:tc>
          <w:tcPr>
            <w:tcW w:type="dxa" w:w="56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269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87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98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18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Коммерческое предложение</w:t>
            </w:r>
            <w:r>
              <w:rPr>
                <w:rFonts w:ascii="Times New Roman" w:hAnsi="Times New Roman"/>
                <w:b w:val="1"/>
                <w:sz w:val="24"/>
              </w:rPr>
              <w:t xml:space="preserve"> 1 от 23</w:t>
            </w:r>
            <w:r>
              <w:rPr>
                <w:rFonts w:ascii="Times New Roman" w:hAnsi="Times New Roman"/>
                <w:b w:val="1"/>
                <w:sz w:val="24"/>
              </w:rPr>
              <w:t>.07</w:t>
            </w:r>
            <w:r>
              <w:rPr>
                <w:rFonts w:ascii="Times New Roman" w:hAnsi="Times New Roman"/>
                <w:b w:val="1"/>
                <w:sz w:val="24"/>
              </w:rPr>
              <w:t>.2026г. № </w:t>
            </w:r>
            <w:r>
              <w:rPr>
                <w:rFonts w:ascii="Times New Roman" w:hAnsi="Times New Roman"/>
                <w:b w:val="1"/>
                <w:sz w:val="24"/>
              </w:rPr>
              <w:t>380</w:t>
            </w:r>
          </w:p>
        </w:tc>
        <w:tc>
          <w:tcPr>
            <w:tcW w:type="dxa" w:w="18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Коммерческое предложение 2</w:t>
            </w:r>
          </w:p>
          <w:p w14:paraId="0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 от </w:t>
            </w:r>
            <w:r>
              <w:rPr>
                <w:rFonts w:ascii="Times New Roman" w:hAnsi="Times New Roman"/>
                <w:b w:val="1"/>
                <w:color w:val="000000"/>
                <w:spacing w:val="0"/>
                <w:sz w:val="24"/>
              </w:rPr>
              <w:t>23</w:t>
            </w:r>
            <w:r>
              <w:rPr>
                <w:rFonts w:ascii="Times New Roman" w:hAnsi="Times New Roman"/>
                <w:b w:val="1"/>
                <w:color w:val="000000"/>
                <w:spacing w:val="0"/>
                <w:sz w:val="24"/>
              </w:rPr>
              <w:t>.07</w:t>
            </w:r>
            <w:r>
              <w:rPr>
                <w:rFonts w:ascii="Times New Roman" w:hAnsi="Times New Roman"/>
                <w:b w:val="1"/>
                <w:color w:val="000000"/>
                <w:spacing w:val="0"/>
                <w:sz w:val="24"/>
              </w:rPr>
              <w:t>.2026г.</w:t>
            </w:r>
          </w:p>
          <w:p w14:paraId="0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 № б/н</w:t>
            </w:r>
          </w:p>
        </w:tc>
        <w:tc>
          <w:tcPr>
            <w:tcW w:type="dxa" w:w="17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pacing w:val="0"/>
                <w:sz w:val="24"/>
              </w:rPr>
              <w:t xml:space="preserve">Коммерческое предложение </w:t>
            </w:r>
          </w:p>
          <w:p w14:paraId="1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3 от </w:t>
            </w:r>
            <w:r>
              <w:rPr>
                <w:rFonts w:ascii="Times New Roman" w:hAnsi="Times New Roman"/>
                <w:b w:val="1"/>
                <w:color w:val="000000"/>
                <w:spacing w:val="0"/>
                <w:sz w:val="24"/>
              </w:rPr>
              <w:t>23</w:t>
            </w:r>
            <w:r>
              <w:rPr>
                <w:rFonts w:ascii="Times New Roman" w:hAnsi="Times New Roman"/>
                <w:b w:val="1"/>
                <w:color w:val="000000"/>
                <w:spacing w:val="0"/>
                <w:sz w:val="24"/>
              </w:rPr>
              <w:t>.07</w:t>
            </w:r>
            <w:r>
              <w:rPr>
                <w:rFonts w:ascii="Times New Roman" w:hAnsi="Times New Roman"/>
                <w:b w:val="1"/>
                <w:color w:val="000000"/>
                <w:spacing w:val="0"/>
                <w:sz w:val="24"/>
              </w:rPr>
              <w:t>.2026г.</w:t>
            </w:r>
          </w:p>
          <w:p w14:paraId="1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№ б/н</w:t>
            </w:r>
          </w:p>
        </w:tc>
        <w:tc>
          <w:tcPr>
            <w:tcW w:type="dxa" w:w="20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14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</w:tr>
      <w:tr>
        <w:trPr>
          <w:trHeight w:hRule="atLeast" w:val="1354"/>
        </w:trPr>
        <w:tc>
          <w:tcPr>
            <w:tcW w:type="dxa" w:w="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2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00000">
            <w:r>
              <w:t>Печь "Буржуйка" отопительная на площадь до 200м2, свод 6,5мм с полным комплектом подключения (трубы 2шт моно, 2шт ТЕРМО 1000, адаптеры 3шт, шибер, мастер-флеш, герметик 300С, герметик 1200С,шнур термостойкий,комплект хомутов для крепления труб)</w:t>
            </w:r>
          </w:p>
        </w:tc>
        <w:tc>
          <w:tcPr>
            <w:tcW w:type="dxa" w:w="8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шт</w:t>
            </w:r>
          </w:p>
        </w:tc>
        <w:tc>
          <w:tcPr>
            <w:tcW w:type="dxa" w:w="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83000</w:t>
            </w:r>
          </w:p>
        </w:tc>
        <w:tc>
          <w:tcPr>
            <w:tcW w:type="dxa" w:w="18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91300</w:t>
            </w:r>
          </w:p>
        </w:tc>
        <w:tc>
          <w:tcPr>
            <w:tcW w:type="dxa" w:w="17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99600</w:t>
            </w:r>
          </w:p>
        </w:tc>
        <w:tc>
          <w:tcPr>
            <w:tcW w:type="dxa" w:w="20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9000000">
            <w:pPr>
              <w:tabs>
                <w:tab w:leader="none" w:pos="3240" w:val="left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83000</w:t>
            </w:r>
          </w:p>
        </w:tc>
        <w:tc>
          <w:tcPr>
            <w:tcW w:type="dxa" w:w="14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83000</w:t>
            </w:r>
          </w:p>
        </w:tc>
      </w:tr>
    </w:tbl>
    <w:p w14:paraId="1B000000">
      <w:pPr>
        <w:tabs>
          <w:tab w:leader="none" w:pos="3240" w:val="left"/>
        </w:tabs>
        <w:spacing w:after="0" w:line="240" w:lineRule="auto"/>
        <w:ind w:firstLine="709" w:right="-108"/>
        <w:jc w:val="both"/>
        <w:rPr>
          <w:rFonts w:ascii="Times New Roman" w:hAnsi="Times New Roman"/>
        </w:rPr>
      </w:pPr>
    </w:p>
    <w:p w14:paraId="1C000000">
      <w:pPr>
        <w:tabs>
          <w:tab w:leader="none" w:pos="3240" w:val="left"/>
        </w:tabs>
        <w:spacing w:after="0" w:line="240" w:lineRule="auto"/>
        <w:ind w:right="-1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 xml:space="preserve">    </w:t>
      </w:r>
      <w:r>
        <w:rPr>
          <w:rFonts w:ascii="Times New Roman" w:hAnsi="Times New Roman"/>
          <w:sz w:val="24"/>
        </w:rPr>
        <w:t xml:space="preserve">Стартовая стоимость </w:t>
      </w:r>
      <w:r>
        <w:rPr>
          <w:rFonts w:ascii="Times New Roman" w:hAnsi="Times New Roman"/>
          <w:sz w:val="24"/>
        </w:rPr>
        <w:t xml:space="preserve"> поставки товара </w:t>
      </w:r>
      <w:r>
        <w:rPr>
          <w:rFonts w:ascii="Times New Roman" w:hAnsi="Times New Roman"/>
          <w:sz w:val="24"/>
        </w:rPr>
        <w:t>составляет 83000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sz w:val="24"/>
        </w:rPr>
        <w:t>рублей.</w:t>
      </w:r>
    </w:p>
    <w:p w14:paraId="1D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</w:t>
      </w:r>
      <w:r>
        <w:rPr>
          <w:rFonts w:ascii="Times New Roman" w:hAnsi="Times New Roman"/>
          <w:sz w:val="24"/>
        </w:rPr>
        <w:t>Стоимость товара включает в себя доставку до адреса</w:t>
      </w:r>
      <w:r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Респ Коми, г. Печора, ул. Н.Островского, д 71</w:t>
      </w:r>
      <w:r>
        <w:rPr>
          <w:rFonts w:ascii="Times New Roman" w:hAnsi="Times New Roman"/>
          <w:sz w:val="24"/>
        </w:rPr>
        <w:t xml:space="preserve">     </w:t>
      </w:r>
      <w:r>
        <w:rPr>
          <w:rFonts w:ascii="Times New Roman" w:hAnsi="Times New Roman"/>
          <w:sz w:val="24"/>
        </w:rPr>
        <w:t xml:space="preserve">        </w:t>
      </w:r>
    </w:p>
    <w:p w14:paraId="1E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</w:t>
      </w:r>
      <w:r>
        <w:rPr>
          <w:rFonts w:ascii="Times New Roman" w:hAnsi="Times New Roman"/>
          <w:sz w:val="24"/>
        </w:rPr>
        <w:t>Срок поставки товара: в течении</w:t>
      </w:r>
      <w:r>
        <w:rPr>
          <w:rFonts w:ascii="Times New Roman" w:hAnsi="Times New Roman"/>
          <w:sz w:val="24"/>
        </w:rPr>
        <w:t xml:space="preserve"> 2 рабочих дня</w:t>
      </w:r>
      <w:r>
        <w:rPr>
          <w:rFonts w:ascii="Times New Roman" w:hAnsi="Times New Roman"/>
          <w:sz w:val="24"/>
        </w:rPr>
        <w:t xml:space="preserve"> с даты заключения догов</w:t>
      </w:r>
      <w:r>
        <w:rPr>
          <w:rFonts w:ascii="Times New Roman" w:hAnsi="Times New Roman"/>
          <w:sz w:val="24"/>
        </w:rPr>
        <w:t>ора</w:t>
      </w:r>
      <w:r>
        <w:rPr>
          <w:rFonts w:ascii="Times New Roman" w:hAnsi="Times New Roman"/>
          <w:sz w:val="24"/>
        </w:rPr>
        <w:t xml:space="preserve">.     </w:t>
      </w:r>
    </w:p>
    <w:sectPr>
      <w:pgSz w:h="11906" w:w="16838"/>
      <w:pgMar w:bottom="850" w:footer="708" w:gutter="0" w:header="708" w:left="1134" w:right="1134" w:top="568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No Spacing"/>
    <w:link w:val="Style_3_ch"/>
    <w:pPr>
      <w:spacing w:after="0" w:line="240" w:lineRule="auto"/>
      <w:ind/>
    </w:pPr>
  </w:style>
  <w:style w:styleId="Style_3_ch" w:type="character">
    <w:name w:val="No Spacing"/>
    <w:link w:val="Style_3"/>
  </w:style>
  <w:style w:styleId="Style_4" w:type="paragraph">
    <w:name w:val="toc 2"/>
    <w:next w:val="Style_2"/>
    <w:link w:val="Style_4_ch"/>
    <w:uiPriority w:val="39"/>
    <w:pPr>
      <w:ind w:firstLine="0" w:left="200"/>
    </w:pPr>
  </w:style>
  <w:style w:styleId="Style_4_ch" w:type="character">
    <w:name w:val="toc 2"/>
    <w:link w:val="Style_4"/>
  </w:style>
  <w:style w:styleId="Style_5" w:type="paragraph">
    <w:name w:val="toc 4"/>
    <w:next w:val="Style_2"/>
    <w:link w:val="Style_5_ch"/>
    <w:uiPriority w:val="39"/>
    <w:pPr>
      <w:ind w:firstLine="0" w:left="600"/>
    </w:pPr>
  </w:style>
  <w:style w:styleId="Style_5_ch" w:type="character">
    <w:name w:val="toc 4"/>
    <w:link w:val="Style_5"/>
  </w:style>
  <w:style w:styleId="Style_6" w:type="paragraph">
    <w:name w:val="toc 6"/>
    <w:next w:val="Style_2"/>
    <w:link w:val="Style_6_ch"/>
    <w:uiPriority w:val="39"/>
    <w:pPr>
      <w:ind w:firstLine="0" w:left="1000"/>
    </w:pPr>
  </w:style>
  <w:style w:styleId="Style_6_ch" w:type="character">
    <w:name w:val="toc 6"/>
    <w:link w:val="Style_6"/>
  </w:style>
  <w:style w:styleId="Style_7" w:type="paragraph">
    <w:name w:val="toc 7"/>
    <w:next w:val="Style_2"/>
    <w:link w:val="Style_7_ch"/>
    <w:uiPriority w:val="39"/>
    <w:pPr>
      <w:ind w:firstLine="0" w:left="1200"/>
    </w:pPr>
  </w:style>
  <w:style w:styleId="Style_7_ch" w:type="character">
    <w:name w:val="toc 7"/>
    <w:link w:val="Style_7"/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heading 3"/>
    <w:next w:val="Style_2"/>
    <w:link w:val="Style_9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9_ch" w:type="character">
    <w:name w:val="heading 3"/>
    <w:link w:val="Style_9"/>
    <w:rPr>
      <w:rFonts w:ascii="XO Thames" w:hAnsi="XO Thames"/>
      <w:b w:val="1"/>
      <w:i w:val="1"/>
      <w:color w:val="000000"/>
    </w:rPr>
  </w:style>
  <w:style w:styleId="Style_10" w:type="paragraph">
    <w:name w:val="List Paragraph"/>
    <w:basedOn w:val="Style_2"/>
    <w:link w:val="Style_10_ch"/>
    <w:pPr>
      <w:spacing w:after="160" w:line="264" w:lineRule="auto"/>
      <w:ind w:firstLine="0" w:left="720"/>
      <w:contextualSpacing w:val="1"/>
    </w:pPr>
  </w:style>
  <w:style w:styleId="Style_10_ch" w:type="character">
    <w:name w:val="List Paragraph"/>
    <w:basedOn w:val="Style_2_ch"/>
    <w:link w:val="Style_10"/>
  </w:style>
  <w:style w:styleId="Style_11" w:type="paragraph">
    <w:name w:val="toc 3"/>
    <w:next w:val="Style_2"/>
    <w:link w:val="Style_11_ch"/>
    <w:uiPriority w:val="39"/>
    <w:pPr>
      <w:ind w:firstLine="0" w:left="400"/>
    </w:pPr>
  </w:style>
  <w:style w:styleId="Style_11_ch" w:type="character">
    <w:name w:val="toc 3"/>
    <w:link w:val="Style_11"/>
  </w:style>
  <w:style w:styleId="Style_12" w:type="paragraph">
    <w:name w:val="heading 5"/>
    <w:next w:val="Style_2"/>
    <w:link w:val="Style_12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12_ch" w:type="character">
    <w:name w:val="heading 5"/>
    <w:link w:val="Style_12"/>
    <w:rPr>
      <w:rFonts w:ascii="XO Thames" w:hAnsi="XO Thames"/>
      <w:b w:val="1"/>
      <w:color w:val="000000"/>
      <w:sz w:val="22"/>
    </w:rPr>
  </w:style>
  <w:style w:styleId="Style_13" w:type="paragraph">
    <w:name w:val="heading 1"/>
    <w:next w:val="Style_2"/>
    <w:link w:val="Style_13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Default"/>
    <w:link w:val="Style_14_ch"/>
    <w:pPr>
      <w:spacing w:after="0" w:line="240" w:lineRule="auto"/>
      <w:ind/>
    </w:pPr>
    <w:rPr>
      <w:rFonts w:ascii="Times New Roman" w:hAnsi="Times New Roman"/>
      <w:color w:val="000000"/>
      <w:sz w:val="24"/>
    </w:rPr>
  </w:style>
  <w:style w:styleId="Style_14_ch" w:type="character">
    <w:name w:val="Default"/>
    <w:link w:val="Style_14"/>
    <w:rPr>
      <w:rFonts w:ascii="Times New Roman" w:hAnsi="Times New Roman"/>
      <w:color w:val="000000"/>
      <w:sz w:val="24"/>
    </w:rPr>
  </w:style>
  <w:style w:styleId="Style_15" w:type="paragraph">
    <w:name w:val="Hyperlink"/>
    <w:basedOn w:val="Style_8"/>
    <w:link w:val="Style_15_ch"/>
    <w:rPr>
      <w:color w:val="0000FF"/>
      <w:u w:val="single"/>
    </w:rPr>
  </w:style>
  <w:style w:styleId="Style_15_ch" w:type="character">
    <w:name w:val="Hyperlink"/>
    <w:basedOn w:val="Style_8_ch"/>
    <w:link w:val="Style_15"/>
    <w:rPr>
      <w:color w:val="0000FF"/>
      <w:u w:val="single"/>
    </w:rPr>
  </w:style>
  <w:style w:styleId="Style_16" w:type="paragraph">
    <w:name w:val="Footnote"/>
    <w:link w:val="Style_16_ch"/>
    <w:pPr>
      <w:ind/>
      <w:jc w:val="left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2"/>
    <w:link w:val="Style_17_ch"/>
    <w:uiPriority w:val="39"/>
    <w:pPr>
      <w:ind w:firstLine="0" w:left="0"/>
    </w:pPr>
    <w:rPr>
      <w:rFonts w:ascii="XO Thames" w:hAnsi="XO Thames"/>
      <w:b w:val="1"/>
    </w:rPr>
  </w:style>
  <w:style w:styleId="Style_17_ch" w:type="character">
    <w:name w:val="toc 1"/>
    <w:link w:val="Style_17"/>
    <w:rPr>
      <w:rFonts w:ascii="XO Thames" w:hAnsi="XO Thames"/>
      <w:b w:val="1"/>
    </w:rPr>
  </w:style>
  <w:style w:styleId="Style_18" w:type="paragraph">
    <w:name w:val="Header and Footer"/>
    <w:link w:val="Style_18_ch"/>
    <w:pPr>
      <w:spacing w:line="360" w:lineRule="auto"/>
      <w:ind/>
    </w:pPr>
    <w:rPr>
      <w:rFonts w:ascii="XO Thames" w:hAnsi="XO Thames"/>
      <w:sz w:val="20"/>
    </w:rPr>
  </w:style>
  <w:style w:styleId="Style_18_ch" w:type="character">
    <w:name w:val="Header and Footer"/>
    <w:link w:val="Style_18"/>
    <w:rPr>
      <w:rFonts w:ascii="XO Thames" w:hAnsi="XO Thames"/>
      <w:sz w:val="20"/>
    </w:rPr>
  </w:style>
  <w:style w:styleId="Style_19" w:type="paragraph">
    <w:name w:val="toc 9"/>
    <w:next w:val="Style_2"/>
    <w:link w:val="Style_19_ch"/>
    <w:uiPriority w:val="39"/>
    <w:pPr>
      <w:ind w:firstLine="0" w:left="1600"/>
    </w:pPr>
  </w:style>
  <w:style w:styleId="Style_19_ch" w:type="character">
    <w:name w:val="toc 9"/>
    <w:link w:val="Style_19"/>
  </w:style>
  <w:style w:styleId="Style_20" w:type="paragraph">
    <w:name w:val="toc 8"/>
    <w:next w:val="Style_2"/>
    <w:link w:val="Style_20_ch"/>
    <w:uiPriority w:val="39"/>
    <w:pPr>
      <w:ind w:firstLine="0" w:left="1400"/>
    </w:pPr>
  </w:style>
  <w:style w:styleId="Style_20_ch" w:type="character">
    <w:name w:val="toc 8"/>
    <w:link w:val="Style_20"/>
  </w:style>
  <w:style w:styleId="Style_21" w:type="paragraph">
    <w:name w:val="toc 5"/>
    <w:next w:val="Style_2"/>
    <w:link w:val="Style_21_ch"/>
    <w:uiPriority w:val="39"/>
    <w:pPr>
      <w:ind w:firstLine="0" w:left="800"/>
    </w:pPr>
  </w:style>
  <w:style w:styleId="Style_21_ch" w:type="character">
    <w:name w:val="toc 5"/>
    <w:link w:val="Style_21"/>
  </w:style>
  <w:style w:styleId="Style_22" w:type="paragraph">
    <w:name w:val="Subtitle"/>
    <w:next w:val="Style_2"/>
    <w:link w:val="Style_22_ch"/>
    <w:uiPriority w:val="11"/>
    <w:qFormat/>
    <w:rPr>
      <w:rFonts w:ascii="XO Thames" w:hAnsi="XO Thames"/>
      <w:i w:val="1"/>
      <w:color w:val="616161"/>
      <w:sz w:val="24"/>
    </w:rPr>
  </w:style>
  <w:style w:styleId="Style_22_ch" w:type="character">
    <w:name w:val="Subtitle"/>
    <w:link w:val="Style_22"/>
    <w:rPr>
      <w:rFonts w:ascii="XO Thames" w:hAnsi="XO Thames"/>
      <w:i w:val="1"/>
      <w:color w:val="616161"/>
      <w:sz w:val="24"/>
    </w:rPr>
  </w:style>
  <w:style w:styleId="Style_23" w:type="paragraph">
    <w:name w:val="toc 10"/>
    <w:next w:val="Style_2"/>
    <w:link w:val="Style_23_ch"/>
    <w:uiPriority w:val="39"/>
    <w:pPr>
      <w:ind w:firstLine="0" w:left="1800"/>
    </w:pPr>
  </w:style>
  <w:style w:styleId="Style_23_ch" w:type="character">
    <w:name w:val="toc 10"/>
    <w:link w:val="Style_23"/>
  </w:style>
  <w:style w:styleId="Style_24" w:type="paragraph">
    <w:name w:val="Title"/>
    <w:next w:val="Style_2"/>
    <w:link w:val="Style_24_ch"/>
    <w:uiPriority w:val="10"/>
    <w:qFormat/>
    <w:rPr>
      <w:rFonts w:ascii="XO Thames" w:hAnsi="XO Thames"/>
      <w:b w:val="1"/>
      <w:sz w:val="52"/>
    </w:rPr>
  </w:style>
  <w:style w:styleId="Style_24_ch" w:type="character">
    <w:name w:val="Title"/>
    <w:link w:val="Style_24"/>
    <w:rPr>
      <w:rFonts w:ascii="XO Thames" w:hAnsi="XO Thames"/>
      <w:b w:val="1"/>
      <w:sz w:val="52"/>
    </w:rPr>
  </w:style>
  <w:style w:styleId="Style_25" w:type="paragraph">
    <w:name w:val="heading 4"/>
    <w:next w:val="Style_2"/>
    <w:link w:val="Style_25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5_ch" w:type="character">
    <w:name w:val="heading 4"/>
    <w:link w:val="Style_25"/>
    <w:rPr>
      <w:rFonts w:ascii="XO Thames" w:hAnsi="XO Thames"/>
      <w:b w:val="1"/>
      <w:color w:val="595959"/>
      <w:sz w:val="26"/>
    </w:rPr>
  </w:style>
  <w:style w:styleId="Style_26" w:type="paragraph">
    <w:name w:val="heading 2"/>
    <w:next w:val="Style_2"/>
    <w:link w:val="Style_26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6_ch" w:type="character">
    <w:name w:val="heading 2"/>
    <w:link w:val="Style_26"/>
    <w:rPr>
      <w:rFonts w:ascii="XO Thames" w:hAnsi="XO Thames"/>
      <w:b w:val="1"/>
      <w:color w:val="00A0FF"/>
      <w:sz w:val="26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MyOffice-CoreFramework-Windows/22-903.417.5503.534.8@RELEASE-DESKTOP-SORREL_HOME-RC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2026-07-27T08:14:42Z</dcterms:modified>
</cp:coreProperties>
</file>