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="276" w:lineRule="auto"/>
        <w:rPr>
          <w:b/>
        </w:rPr>
      </w:pPr>
      <w:r>
        <w:rPr>
          <w:b/>
        </w:rPr>
        <w:t xml:space="preserve">ДОГОВОР </w:t>
      </w:r>
      <w:r>
        <w:rPr>
          <w:b/>
        </w:rPr>
        <w:t xml:space="preserve">№ </w:t>
      </w:r>
      <w:r>
        <w:rPr>
          <w:b/>
        </w:rPr>
        <w:t xml:space="preserve">А</w:t>
      </w:r>
      <w:r>
        <w:rPr>
          <w:b/>
        </w:rPr>
        <w:t xml:space="preserve">-</w:t>
      </w:r>
      <w:r>
        <w:rPr>
          <w:b/>
        </w:rPr>
        <w:t xml:space="preserve">____</w:t>
      </w:r>
      <w:r>
        <w:rPr>
          <w:b/>
        </w:rPr>
        <w:t xml:space="preserve">__</w:t>
      </w:r>
      <w:r>
        <w:rPr>
          <w:b/>
        </w:rPr>
        <w:t xml:space="preserve">____</w:t>
      </w:r>
      <w:r>
        <w:rPr>
          <w:b/>
        </w:rPr>
        <w:t xml:space="preserve">__</w:t>
      </w:r>
      <w:r>
        <w:rPr>
          <w:b/>
        </w:rPr>
        <w:t xml:space="preserve">/20</w:t>
      </w: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/</w:t>
      </w:r>
      <w:r>
        <w:rPr>
          <w:b/>
        </w:rPr>
        <w:t xml:space="preserve"> / _______________________________________</w:t>
      </w:r>
      <w:r>
        <w:rPr>
          <w:b/>
        </w:rPr>
      </w:r>
      <w:r>
        <w:rPr>
          <w:b/>
        </w:rPr>
      </w:r>
    </w:p>
    <w:p>
      <w:pPr>
        <w:jc w:val="center"/>
        <w:spacing w:line="276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tabs>
          <w:tab w:val="left" w:pos="7655" w:leader="none"/>
        </w:tabs>
      </w:pPr>
      <w:r>
        <w:t xml:space="preserve">г. </w:t>
      </w:r>
      <w:r>
        <w:t xml:space="preserve">Ростов-на-Дону</w:t>
      </w:r>
      <w:r>
        <w:t xml:space="preserve"> </w:t>
      </w:r>
      <w:r>
        <w:tab/>
      </w:r>
      <w:r>
        <w:t xml:space="preserve">"</w:t>
      </w:r>
      <w:r>
        <w:t xml:space="preserve">__</w:t>
      </w:r>
      <w:r>
        <w:t xml:space="preserve">___</w:t>
      </w:r>
      <w:r>
        <w:t xml:space="preserve">"</w:t>
      </w:r>
      <w:r>
        <w:t xml:space="preserve"> </w:t>
      </w:r>
      <w:r>
        <w:t xml:space="preserve">сентября 202</w:t>
      </w:r>
      <w:r>
        <w:t xml:space="preserve">6</w:t>
      </w:r>
      <w:r>
        <w:t xml:space="preserve"> г.</w:t>
      </w:r>
      <w:r/>
    </w:p>
    <w:p>
      <w:pPr>
        <w:jc w:val="both"/>
      </w:pPr>
      <w:r/>
      <w:r/>
    </w:p>
    <w:p>
      <w:pPr>
        <w:pStyle w:val="993"/>
        <w:ind w:left="0" w:firstLine="709"/>
        <w:jc w:val="both"/>
        <w:rPr>
          <w:highlight w:val="white"/>
        </w:rPr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</w:rPr>
        <w:t xml:space="preserve">,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Федерал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ьно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казённое учреждение "Управление Федеральных автомобильных дорог "Новороссия" Федерального дорожного агентства" (ФКУ Упрдор "Новороссия"),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именуемое в дальнейшем "Заказчик"</w:t>
      </w:r>
      <w: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 заместителя начальника Гулого Олега Николаевича, действующего на основании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доверенности от 29.12.2025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№ 04/26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, </w:t>
      </w:r>
      <w:r>
        <w:rPr>
          <w:bCs/>
          <w:highlight w:val="white"/>
        </w:rPr>
        <w:t xml:space="preserve">с другой стороны, далее по тексту договора именуемые вместе «Стороны», а по отдельности «Сторона»</w:t>
      </w:r>
      <w:r>
        <w:rPr>
          <w:bCs/>
          <w:highlight w:val="white"/>
        </w:rPr>
        <w:t xml:space="preserve">, 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на основании п. 4 части 1 ст. 93 Федерального закона от 05.04.2013 года № ФЗ-44 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"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О контрактной системе в сфере закупок  товаров, работ, услуг для обеспечения государственных и муниципальных нужд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"</w:t>
      </w:r>
      <w:r>
        <w:rPr>
          <w:bCs/>
          <w:highlight w:val="white"/>
        </w:rPr>
        <w:t xml:space="preserve">, заключили настоящий договор (далее по тексту – «Договор») о нижеследующем:</w:t>
      </w:r>
      <w:r>
        <w:rPr>
          <w:highlight w:val="white"/>
        </w:rPr>
      </w:r>
      <w:r>
        <w:rPr>
          <w:highlight w:val="white"/>
        </w:rPr>
      </w:r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  <w:rPr>
          <w:highlight w:val="white"/>
        </w:rPr>
      </w:pPr>
      <w:r>
        <w:rPr>
          <w:highlight w:val="white"/>
        </w:rPr>
        <w:t xml:space="preserve">Исполнитель по заданию Заказчика обязуется выполнить конкретизированные в Спецификации</w:t>
      </w:r>
      <w:r>
        <w:rPr>
          <w:highlight w:val="white"/>
        </w:rPr>
        <w:t xml:space="preserve"> (Приложени</w:t>
      </w:r>
      <w:r>
        <w:rPr>
          <w:highlight w:val="white"/>
        </w:rPr>
        <w:t xml:space="preserve">е № 1 к Договору)</w:t>
      </w:r>
      <w:r>
        <w:rPr>
          <w:highlight w:val="white"/>
        </w:rPr>
        <w:t xml:space="preserve"> </w:t>
      </w:r>
      <w:r>
        <w:rPr>
          <w:highlight w:val="white"/>
        </w:rPr>
        <w:t xml:space="preserve">комплексные услуги по </w:t>
      </w:r>
      <w:r>
        <w:rPr>
          <w:highlight w:val="white"/>
        </w:rPr>
        <w:t xml:space="preserve">поставке средств защиты информации</w:t>
      </w:r>
      <w:r>
        <w:rPr>
          <w:highlight w:val="white"/>
        </w:rPr>
        <w:t xml:space="preserve"> и</w:t>
      </w:r>
      <w:r>
        <w:rPr>
          <w:highlight w:val="white"/>
        </w:rPr>
        <w:t xml:space="preserve"> </w:t>
      </w:r>
      <w:r>
        <w:rPr>
          <w:highlight w:val="white"/>
        </w:rPr>
        <w:t xml:space="preserve">проведению аттестационных испытаний в отношении 1 (одного) объекта информатизации,</w:t>
      </w:r>
      <w:r>
        <w:rPr>
          <w:highlight w:val="white"/>
        </w:rPr>
        <w:t xml:space="preserve"> предназначенн</w:t>
      </w:r>
      <w:r>
        <w:rPr>
          <w:highlight w:val="white"/>
        </w:rPr>
        <w:t xml:space="preserve">ого для обработки информации</w:t>
      </w:r>
      <w:r>
        <w:rPr>
          <w:highlight w:val="white"/>
        </w:rPr>
        <w:t xml:space="preserve"> ограниченного доступа, не составляющей государственную тайну</w:t>
      </w:r>
      <w:r>
        <w:rPr>
          <w:highlight w:val="white"/>
        </w:rPr>
        <w:t xml:space="preserve">, на соответствие требованиям по безопасности информации (далее – </w:t>
      </w:r>
      <w:r>
        <w:rPr>
          <w:highlight w:val="white"/>
        </w:rPr>
        <w:t xml:space="preserve">Услуги</w:t>
      </w:r>
      <w:r>
        <w:rPr>
          <w:highlight w:val="white"/>
        </w:rPr>
        <w:t xml:space="preserve">), расположенн</w:t>
      </w:r>
      <w:r>
        <w:rPr>
          <w:highlight w:val="white"/>
        </w:rPr>
        <w:t xml:space="preserve">ого по адресу</w:t>
      </w:r>
      <w:r>
        <w:rPr>
          <w:highlight w:val="white"/>
        </w:rPr>
        <w:t xml:space="preserve">: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г. Ростов-на-Дону,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ул. Красноармейская, д. 202,               этаж 6</w:t>
      </w:r>
      <w:r>
        <w:rPr>
          <w:highlight w:val="white"/>
        </w:rPr>
        <w:t xml:space="preserve">, </w:t>
      </w:r>
      <w:r>
        <w:rPr>
          <w:highlight w:val="white"/>
        </w:rPr>
        <w:t xml:space="preserve">в соответствии с </w:t>
      </w:r>
      <w:r>
        <w:rPr>
          <w:highlight w:val="white"/>
        </w:rPr>
        <w:t xml:space="preserve">Техническим заданием (</w:t>
      </w:r>
      <w:r>
        <w:rPr>
          <w:highlight w:val="white"/>
        </w:rPr>
        <w:t xml:space="preserve">Приложени</w:t>
      </w:r>
      <w:r>
        <w:rPr>
          <w:highlight w:val="white"/>
        </w:rPr>
        <w:t xml:space="preserve">е № 2 к Договору</w:t>
      </w:r>
      <w:r>
        <w:rPr>
          <w:highlight w:val="white"/>
        </w:rPr>
        <w:t xml:space="preserve">).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Услуги</w:t>
      </w:r>
      <w:r>
        <w:t xml:space="preserve"> предусматрива</w:t>
      </w:r>
      <w:r>
        <w:t xml:space="preserve">ю</w:t>
      </w:r>
      <w:r>
        <w:t xml:space="preserve">т взаимодействие Сторон</w:t>
      </w:r>
      <w:r>
        <w:t xml:space="preserve"> </w:t>
      </w:r>
      <w:r>
        <w:t xml:space="preserve">при проведении комплекса организационных и технических мероприятий (аттестационных испытаний) с целью установления соответствия или несоответствия </w:t>
      </w:r>
      <w:r>
        <w:t xml:space="preserve">о</w:t>
      </w:r>
      <w:r>
        <w:t xml:space="preserve">бъектов</w:t>
      </w:r>
      <w:r>
        <w:t xml:space="preserve"> информатизации требованиям по безопасности информации в реальных условиях его эксплуатации. 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Предусмотренные Договором </w:t>
      </w:r>
      <w:r>
        <w:t xml:space="preserve">Услуги</w:t>
      </w:r>
      <w:r>
        <w:t xml:space="preserve"> считаются выполненными Исполнителем и подлежат оплате Заказчиком как в случае установления в результате выполнения </w:t>
      </w:r>
      <w:r>
        <w:t xml:space="preserve">Услуг</w:t>
      </w:r>
      <w:r>
        <w:t xml:space="preserve"> соответствия </w:t>
      </w:r>
      <w:r>
        <w:t xml:space="preserve">о</w:t>
      </w:r>
      <w:r>
        <w:t xml:space="preserve">бъектов </w:t>
      </w:r>
      <w:r>
        <w:t xml:space="preserve">информатизации требованиям по безопасности информации и возможности выдачи аттестата соответствия, так и в случае, если в результате выполнения </w:t>
      </w:r>
      <w:r>
        <w:t xml:space="preserve">Услуг</w:t>
      </w:r>
      <w:r>
        <w:t xml:space="preserve"> Исполнителем будет установлено несоответствие </w:t>
      </w:r>
      <w:r>
        <w:t xml:space="preserve">о</w:t>
      </w:r>
      <w:r>
        <w:t xml:space="preserve">бъектов </w:t>
      </w:r>
      <w:r>
        <w:t xml:space="preserve">информатизации требованиям по безопасности информации.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Заказчик обязуется принять выполненные Исполнителем </w:t>
      </w:r>
      <w:r>
        <w:t xml:space="preserve">Услуги</w:t>
      </w:r>
      <w:r>
        <w:t xml:space="preserve"> и оплатить их в порядке, предусмотренном Договором, при получении любого из результатов </w:t>
      </w:r>
      <w:r>
        <w:t xml:space="preserve">Услуг</w:t>
      </w:r>
      <w:r>
        <w:t xml:space="preserve">, указанных в пункте 1.</w:t>
      </w:r>
      <w:r>
        <w:t xml:space="preserve">3</w:t>
      </w:r>
      <w:r>
        <w:t xml:space="preserve">. Договора. 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При исполнении Договора Стороны руководствуются приказ</w:t>
      </w:r>
      <w:r>
        <w:t xml:space="preserve">ом</w:t>
      </w:r>
      <w:r>
        <w:t xml:space="preserve"> ФСТЭК России от </w:t>
      </w:r>
      <w:r>
        <w:t xml:space="preserve">29</w:t>
      </w:r>
      <w:r>
        <w:t xml:space="preserve">.0</w:t>
      </w:r>
      <w:r>
        <w:t xml:space="preserve">4</w:t>
      </w:r>
      <w:r>
        <w:t xml:space="preserve">.202</w:t>
      </w:r>
      <w:r>
        <w:t xml:space="preserve">1</w:t>
      </w:r>
      <w:r>
        <w:t xml:space="preserve"> № </w:t>
      </w:r>
      <w:r>
        <w:t xml:space="preserve">77</w:t>
      </w:r>
      <w:r>
        <w:t xml:space="preserve"> </w:t>
      </w:r>
      <w:r>
        <w:t xml:space="preserve">"</w:t>
      </w:r>
      <w:r>
        <w:t xml:space="preserve">Об утверждении порядка организации и проведения работ по аттестации объектов информатизации на соответствие требованиям о защите информации, </w:t>
      </w:r>
      <w:r>
        <w:t xml:space="preserve">ограниченного доступа</w:t>
      </w:r>
      <w:r>
        <w:t xml:space="preserve">,</w:t>
      </w:r>
      <w:r>
        <w:t xml:space="preserve"> не</w:t>
      </w:r>
      <w:r>
        <w:t xml:space="preserve"> составляющ</w:t>
      </w:r>
      <w:r>
        <w:t xml:space="preserve">ей</w:t>
      </w:r>
      <w:r>
        <w:t xml:space="preserve"> государственную тайну</w:t>
      </w:r>
      <w:r>
        <w:t xml:space="preserve">"</w:t>
      </w:r>
      <w:r>
        <w:t xml:space="preserve"> (далее – Приказ № </w:t>
      </w:r>
      <w:r>
        <w:t xml:space="preserve">77</w:t>
      </w:r>
      <w:r>
        <w:t xml:space="preserve"> ФСТЭК России</w:t>
      </w:r>
      <w:r>
        <w:t xml:space="preserve">).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Качество </w:t>
      </w:r>
      <w:r>
        <w:t xml:space="preserve">Услуг</w:t>
      </w:r>
      <w:r>
        <w:t xml:space="preserve"> должно соответствовать требованиям </w:t>
      </w:r>
      <w:r>
        <w:t xml:space="preserve">нормативных правовых актов Российской Федерации</w:t>
      </w:r>
      <w:r>
        <w:t xml:space="preserve">, </w:t>
      </w:r>
      <w:r>
        <w:t xml:space="preserve">методических документов ФСТЭК России</w:t>
      </w:r>
      <w:r>
        <w:t xml:space="preserve"> </w:t>
      </w:r>
      <w:r>
        <w:t xml:space="preserve">и национальных стандартов </w:t>
      </w:r>
      <w:r>
        <w:t xml:space="preserve">в области безопасности информации</w:t>
      </w:r>
      <w:r>
        <w:t xml:space="preserve">. 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Стороны уведомлены, что сведения, </w:t>
      </w:r>
      <w:r>
        <w:t xml:space="preserve">ограниченного доступа, не составляющие государственную тайну,</w:t>
      </w:r>
      <w:r>
        <w:t xml:space="preserve"> связанные с выполнением </w:t>
      </w:r>
      <w:r>
        <w:t xml:space="preserve">Услуг</w:t>
      </w:r>
      <w:r>
        <w:t xml:space="preserve"> по Договору, передаваемые Сторонами друг другу подлеж</w:t>
      </w:r>
      <w:r>
        <w:t xml:space="preserve">а</w:t>
      </w:r>
      <w:r>
        <w:t xml:space="preserve">т защите в соответствии с </w:t>
      </w:r>
      <w:r>
        <w:t xml:space="preserve">частью 4 статьи 16 Федерального закона от 27.07.2006 № 149-ФЗ </w:t>
      </w:r>
      <w:r>
        <w:t xml:space="preserve">"</w:t>
      </w:r>
      <w:r>
        <w:t xml:space="preserve">Об информации, информационных технологиях и о защите информации</w:t>
      </w:r>
      <w:r>
        <w:t xml:space="preserve">"</w:t>
      </w:r>
      <w:r>
        <w:t xml:space="preserve"> (</w:t>
      </w:r>
      <w:r>
        <w:t xml:space="preserve">д</w:t>
      </w:r>
      <w:r>
        <w:t xml:space="preserve">алее </w:t>
      </w:r>
      <w:r>
        <w:t xml:space="preserve">–</w:t>
      </w:r>
      <w:r>
        <w:t xml:space="preserve"> Закон о защите информации)</w:t>
      </w:r>
      <w:r>
        <w:t xml:space="preserve">. Передача сведений</w:t>
      </w:r>
      <w:r>
        <w:t xml:space="preserve"> ограниченного доступа, не составляющи</w:t>
      </w:r>
      <w:r>
        <w:t xml:space="preserve">х</w:t>
      </w:r>
      <w:r>
        <w:t xml:space="preserve"> государственную тайну,</w:t>
      </w:r>
      <w:r>
        <w:t xml:space="preserve"> осуществляется Сторонами только в объеме, необходимом для выполнения </w:t>
      </w:r>
      <w:r>
        <w:t xml:space="preserve">Услуг</w:t>
      </w:r>
      <w:r>
        <w:t xml:space="preserve"> по Договору.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Стороны уведомлены и согласны с передачей сведений </w:t>
      </w:r>
      <w:r>
        <w:t xml:space="preserve">ограниченного доступа, не составляющи</w:t>
      </w:r>
      <w:r>
        <w:t xml:space="preserve">х</w:t>
      </w:r>
      <w:r>
        <w:t xml:space="preserve"> государственную тайну,</w:t>
      </w:r>
      <w:r>
        <w:t xml:space="preserve"> </w:t>
      </w:r>
      <w:r>
        <w:t xml:space="preserve">только </w:t>
      </w:r>
      <w:r>
        <w:t xml:space="preserve">в объеме</w:t>
      </w:r>
      <w:r>
        <w:t xml:space="preserve">,</w:t>
      </w:r>
      <w:r>
        <w:t xml:space="preserve"> </w:t>
      </w:r>
      <w:r>
        <w:t xml:space="preserve">необходимом для </w:t>
      </w:r>
      <w:r>
        <w:t xml:space="preserve">выполнения </w:t>
      </w:r>
      <w:r>
        <w:t xml:space="preserve">Услуг</w:t>
      </w:r>
      <w:r>
        <w:t xml:space="preserve"> по Договору</w:t>
      </w:r>
      <w:r>
        <w:t xml:space="preserve">,</w:t>
      </w:r>
      <w:r>
        <w:t xml:space="preserve"> в</w:t>
      </w:r>
      <w:r>
        <w:t xml:space="preserve"> </w:t>
      </w:r>
      <w:r>
        <w:t xml:space="preserve">территориальный орган ФСТЭК России в соответствии с положениями Приказа</w:t>
      </w:r>
      <w:r>
        <w:t xml:space="preserve"> </w:t>
      </w:r>
      <w:r>
        <w:t xml:space="preserve"> №</w:t>
      </w:r>
      <w:r>
        <w:t xml:space="preserve"> </w:t>
      </w:r>
      <w:r>
        <w:t xml:space="preserve"> </w:t>
      </w:r>
      <w:r>
        <w:t xml:space="preserve">77</w:t>
      </w:r>
      <w:r>
        <w:t xml:space="preserve">  </w:t>
      </w:r>
      <w:r>
        <w:t xml:space="preserve">ФСТЭК России.</w:t>
      </w:r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</w:t>
      </w:r>
      <w:r>
        <w:rPr>
          <w:b/>
          <w:sz w:val="24"/>
          <w:szCs w:val="24"/>
        </w:rPr>
        <w:t xml:space="preserve">ЕНА ДОГОВОРА И ПОРЯДОК РАСЧЕТОВ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Цена Договора определяется как о</w:t>
      </w:r>
      <w:r>
        <w:t xml:space="preserve">бщая стоимость </w:t>
      </w:r>
      <w:r>
        <w:t xml:space="preserve">Услуг</w:t>
      </w:r>
      <w:r>
        <w:t xml:space="preserve">, указанных в Спецификации (Приложени</w:t>
      </w:r>
      <w:r>
        <w:t xml:space="preserve">е </w:t>
      </w:r>
      <w:r>
        <w:t xml:space="preserve">№ 1), </w:t>
      </w:r>
      <w:r>
        <w:t xml:space="preserve">и </w:t>
      </w:r>
      <w:r>
        <w:t xml:space="preserve">составляет _______</w:t>
      </w:r>
      <w:r>
        <w:t xml:space="preserve"> </w:t>
      </w:r>
      <w:r>
        <w:t xml:space="preserve">(_______________</w:t>
      </w:r>
      <w:r>
        <w:t xml:space="preserve">)</w:t>
      </w:r>
      <w:r>
        <w:t xml:space="preserve"> рубл</w:t>
      </w:r>
      <w:r>
        <w:t xml:space="preserve">ей</w:t>
      </w:r>
      <w:r>
        <w:t xml:space="preserve"> </w:t>
      </w:r>
      <w:r>
        <w:t xml:space="preserve">__ копе</w:t>
      </w:r>
      <w:r>
        <w:t xml:space="preserve">ек</w:t>
      </w:r>
      <w:r>
        <w:t xml:space="preserve">,</w:t>
      </w:r>
      <w:r>
        <w:t xml:space="preserve"> </w:t>
      </w:r>
      <w:bookmarkStart w:id="0" w:name="_Hlk187930108"/>
      <w:r>
        <w:t xml:space="preserve">включая НДС 5% </w:t>
      </w:r>
      <w:bookmarkEnd w:id="0"/>
      <w:r>
        <w:t xml:space="preserve">- __________ </w:t>
      </w:r>
      <w:r>
        <w:t xml:space="preserve">(__________________</w:t>
      </w:r>
      <w:r>
        <w:t xml:space="preserve">) рубл</w:t>
      </w:r>
      <w:r>
        <w:t xml:space="preserve">ей</w:t>
      </w:r>
      <w:r>
        <w:t xml:space="preserve"> </w:t>
      </w:r>
      <w:r>
        <w:t xml:space="preserve">__ копе</w:t>
      </w:r>
      <w:r>
        <w:t xml:space="preserve">е</w:t>
      </w:r>
      <w:r>
        <w:t xml:space="preserve">к</w:t>
      </w:r>
      <w:r>
        <w:t xml:space="preserve">.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Общая стоимость </w:t>
      </w:r>
      <w:r>
        <w:t xml:space="preserve">услуг</w:t>
      </w:r>
      <w:r>
        <w:t xml:space="preserve"> определена в рублях и включает в себя затраты на: уплат</w:t>
      </w:r>
      <w:r>
        <w:t xml:space="preserve">у всех налогов, сборов, таможенных пошлин и иных обязательных платежей, в том числе и НДС, которые были выплачены или подлежат выплате Исполнителем, а также произведённые им расходы на погрузку, разгрузку, транспортировку (перевозку, доставку) поставляемых</w:t>
      </w:r>
      <w:r>
        <w:t xml:space="preserve"> товаров (выполняемых работ и оказываемых услуг) Заказчику; материалы для выполнения работ/оказания услуг; эксплуатацию оборудования; энергоресурсы в период выполнения работ/оказания услуг, пуско-наладочных и режимных работ в объеме, достаточном для ввода </w:t>
      </w:r>
      <w:r>
        <w:t xml:space="preserve">о</w:t>
      </w:r>
      <w:r>
        <w:t xml:space="preserve">бъектов </w:t>
      </w:r>
      <w:r>
        <w:t xml:space="preserve">в эксплуатацию; на соблюдение норм и правил технической, пожарной безопасности и охраны объекта; затраты на ревизию оборудования; расходы, связанные с риском неисполнения Договора; иные расходы по выполнению Договора. При этом общая стоимость </w:t>
      </w:r>
      <w:r>
        <w:t xml:space="preserve">Услуг</w:t>
      </w:r>
      <w:r>
        <w:t xml:space="preserve"> является окончательной и не подлежит корректировке в ходе выполнения Договора.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Д</w:t>
      </w:r>
      <w:r>
        <w:t xml:space="preserve">оговором </w:t>
      </w:r>
      <w:r>
        <w:t xml:space="preserve">предусмотрена выплата аванса. </w:t>
      </w:r>
      <w:r>
        <w:t xml:space="preserve">Оплата </w:t>
      </w:r>
      <w:r>
        <w:t xml:space="preserve">Услуг</w:t>
      </w:r>
      <w:r>
        <w:t xml:space="preserve"> </w:t>
      </w:r>
      <w:r>
        <w:t xml:space="preserve">Заказчиком производится следующим образом:</w:t>
      </w:r>
      <w:r/>
    </w:p>
    <w:p>
      <w:pPr>
        <w:ind w:firstLine="709"/>
        <w:jc w:val="both"/>
      </w:pPr>
      <w:r>
        <w:t xml:space="preserve">Заказчик обязуется перечислить на расчетный счет Исполнителя </w:t>
      </w:r>
      <w:r>
        <w:t xml:space="preserve">предоплату -</w:t>
      </w:r>
      <w:r>
        <w:t xml:space="preserve"> </w:t>
      </w:r>
      <w:r>
        <w:t xml:space="preserve">30% от </w:t>
      </w:r>
      <w:r>
        <w:t xml:space="preserve">цены</w:t>
      </w:r>
      <w:r>
        <w:t xml:space="preserve"> </w:t>
      </w:r>
      <w:r>
        <w:t xml:space="preserve">Д</w:t>
      </w:r>
      <w:r>
        <w:t xml:space="preserve">оговора</w:t>
      </w:r>
      <w:r>
        <w:t xml:space="preserve">,</w:t>
      </w:r>
      <w:r>
        <w:t xml:space="preserve"> </w:t>
      </w:r>
      <w:r>
        <w:t xml:space="preserve">в размере ______________</w:t>
      </w:r>
      <w:r>
        <w:t xml:space="preserve"> </w:t>
      </w:r>
      <w:r>
        <w:t xml:space="preserve">(___________________)</w:t>
      </w:r>
      <w:r>
        <w:t xml:space="preserve"> рубль __</w:t>
      </w:r>
      <w:r>
        <w:t xml:space="preserve"> копе</w:t>
      </w:r>
      <w:r>
        <w:t xml:space="preserve">йки,</w:t>
      </w:r>
      <w:r>
        <w:t xml:space="preserve"> </w:t>
      </w:r>
      <w:r>
        <w:t xml:space="preserve">в т.ч.</w:t>
      </w:r>
      <w:r>
        <w:t xml:space="preserve"> НДС 5% </w:t>
      </w:r>
      <w:r>
        <w:t xml:space="preserve">-</w:t>
      </w:r>
      <w:r>
        <w:t xml:space="preserve"> ______________</w:t>
      </w:r>
      <w:r>
        <w:t xml:space="preserve"> </w:t>
      </w:r>
      <w:r>
        <w:t xml:space="preserve">(__________</w:t>
      </w:r>
      <w:r>
        <w:t xml:space="preserve">) рубл</w:t>
      </w:r>
      <w:r>
        <w:t xml:space="preserve">я </w:t>
      </w:r>
      <w:r>
        <w:t xml:space="preserve">__ копе</w:t>
      </w:r>
      <w:r>
        <w:t xml:space="preserve">ек</w:t>
      </w:r>
      <w:r>
        <w:t xml:space="preserve">,</w:t>
      </w:r>
      <w:r>
        <w:t xml:space="preserve"> </w:t>
      </w:r>
      <w:r>
        <w:t xml:space="preserve">в течение 10</w:t>
      </w:r>
      <w:r>
        <w:t xml:space="preserve"> (десяти)</w:t>
      </w:r>
      <w:r>
        <w:t xml:space="preserve"> рабочих дней с </w:t>
      </w:r>
      <w:r>
        <w:t xml:space="preserve">даты подписания Договора</w:t>
      </w:r>
      <w:r>
        <w:t xml:space="preserve"> на основании выставленного счета.</w:t>
      </w:r>
      <w:r/>
    </w:p>
    <w:p>
      <w:pPr>
        <w:ind w:firstLine="709"/>
        <w:jc w:val="both"/>
      </w:pPr>
      <w:r>
        <w:t xml:space="preserve">Оставшиеся</w:t>
      </w:r>
      <w:r>
        <w:t xml:space="preserve"> </w:t>
      </w:r>
      <w:r>
        <w:t xml:space="preserve">70% </w:t>
      </w:r>
      <w:r>
        <w:t xml:space="preserve">цены</w:t>
      </w:r>
      <w:r>
        <w:t xml:space="preserve"> </w:t>
      </w:r>
      <w:r>
        <w:t xml:space="preserve">Д</w:t>
      </w:r>
      <w:r>
        <w:t xml:space="preserve">оговора </w:t>
      </w:r>
      <w:r>
        <w:t xml:space="preserve">в размере </w:t>
      </w:r>
      <w:r>
        <w:t xml:space="preserve">_______________ </w:t>
      </w:r>
      <w:r>
        <w:t xml:space="preserve">(</w:t>
      </w:r>
      <w:r>
        <w:t xml:space="preserve">___________________</w:t>
      </w:r>
      <w:r>
        <w:t xml:space="preserve">) рублей </w:t>
      </w:r>
      <w:r>
        <w:t xml:space="preserve">__ копеек, </w:t>
      </w:r>
      <w:r>
        <w:t xml:space="preserve">в т.ч.</w:t>
      </w:r>
      <w:r>
        <w:t xml:space="preserve"> НДС 5% </w:t>
      </w:r>
      <w:r>
        <w:t xml:space="preserve">-</w:t>
      </w:r>
      <w:r>
        <w:t xml:space="preserve"> _______________</w:t>
      </w:r>
      <w:r>
        <w:t xml:space="preserve"> </w:t>
      </w:r>
      <w:r>
        <w:t xml:space="preserve">(_______________________</w:t>
      </w:r>
      <w:r>
        <w:t xml:space="preserve">) рубля __ копейки</w:t>
      </w:r>
      <w:r>
        <w:t xml:space="preserve">, Заказчик обязуется перечислить на расчетный счет Исполнителя </w:t>
      </w:r>
      <w:r>
        <w:t xml:space="preserve">в течение </w:t>
      </w:r>
      <w:r>
        <w:t xml:space="preserve">10 (</w:t>
      </w:r>
      <w:r>
        <w:t xml:space="preserve">десяти)</w:t>
      </w:r>
      <w:r>
        <w:t xml:space="preserve"> рабочих дней</w:t>
      </w:r>
      <w:r>
        <w:t xml:space="preserve"> </w:t>
      </w:r>
      <w:r>
        <w:t xml:space="preserve">с момента подписания универсального передаточного документа</w:t>
      </w:r>
      <w:r>
        <w:t xml:space="preserve">.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Оплата </w:t>
      </w:r>
      <w:r>
        <w:t xml:space="preserve">Услуг</w:t>
      </w:r>
      <w:r>
        <w:t xml:space="preserve"> осуществляется Заказчиком в безналичной денежной форме путем перечисления денежных средств платежным поручением на расчетный счет Исполнителя, указанный в разделе 1</w:t>
      </w:r>
      <w:r>
        <w:t xml:space="preserve">3</w:t>
      </w:r>
      <w:r>
        <w:t xml:space="preserve"> Договора.</w:t>
      </w:r>
      <w:r>
        <w:t xml:space="preserve"> 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</w:pPr>
      <w:r>
        <w:t xml:space="preserve">Обязательства Заказчика по оплате </w:t>
      </w:r>
      <w:r>
        <w:t xml:space="preserve">Услуг</w:t>
      </w:r>
      <w:r>
        <w:t xml:space="preserve"> считаются исполненными с момента списания денежных средств с </w:t>
      </w:r>
      <w:r>
        <w:t xml:space="preserve">р</w:t>
      </w:r>
      <w:r>
        <w:t xml:space="preserve">асчетн</w:t>
      </w:r>
      <w:r>
        <w:t xml:space="preserve">ого</w:t>
      </w:r>
      <w:r>
        <w:t xml:space="preserve"> счет</w:t>
      </w:r>
      <w:r>
        <w:t xml:space="preserve">а</w:t>
      </w:r>
      <w:r>
        <w:t xml:space="preserve"> Заказчика.</w:t>
      </w:r>
      <w:r/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  <w:rPr>
          <w:highlight w:val="white"/>
          <w14:ligatures w14:val="none"/>
        </w:rPr>
      </w:pPr>
      <w:r>
        <w:rPr>
          <w:highlight w:val="white"/>
        </w:rPr>
        <w:t xml:space="preserve">КБК - </w:t>
      </w:r>
      <w:r>
        <w:rPr>
          <w:highlight w:val="white"/>
        </w:rPr>
        <w:t xml:space="preserve">108 0409 24 4 05 90059 242</w:t>
      </w:r>
      <w:r>
        <w:rPr>
          <w:highlight w:val="white"/>
        </w:rPr>
        <w:t xml:space="preserve">. Код мероприятия по информатизации - </w:t>
      </w:r>
      <w:r>
        <w:rPr>
          <w:highlight w:val="white"/>
        </w:rPr>
        <w:t xml:space="preserve">108.00100108.18.Э.11211.26</w:t>
      </w:r>
      <w:r>
        <w:rPr>
          <w:highlight w:val="white"/>
        </w:rPr>
        <w:t xml:space="preserve">.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 xml:space="preserve">ПРАВА И </w:t>
      </w:r>
      <w:r>
        <w:rPr>
          <w:b/>
          <w:sz w:val="24"/>
          <w:szCs w:val="24"/>
        </w:rPr>
        <w:t xml:space="preserve">ОБЯЗАННОСТИ</w:t>
      </w:r>
      <w:r>
        <w:rPr>
          <w:b/>
          <w:sz w:val="24"/>
          <w:szCs w:val="24"/>
          <w:lang w:bidi="ru-RU"/>
        </w:rPr>
        <w:t xml:space="preserve"> СТОРОН</w:t>
      </w:r>
      <w:r>
        <w:rPr>
          <w:b/>
          <w:sz w:val="24"/>
          <w:szCs w:val="24"/>
          <w:lang w:bidi="ru-RU"/>
        </w:rPr>
      </w:r>
      <w:r>
        <w:rPr>
          <w:b/>
          <w:sz w:val="24"/>
          <w:szCs w:val="24"/>
          <w:lang w:bidi="ru-RU"/>
        </w:rPr>
      </w:r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  <w:rPr>
          <w:lang w:bidi="ru-RU"/>
        </w:rPr>
      </w:pPr>
      <w:r>
        <w:t xml:space="preserve">Исполнитель</w:t>
      </w:r>
      <w:r>
        <w:rPr>
          <w:lang w:bidi="ru-RU"/>
        </w:rPr>
        <w:t xml:space="preserve"> обязуется: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Обеспечить полноту и качество </w:t>
      </w:r>
      <w:r>
        <w:rPr>
          <w:lang w:bidi="ru-RU"/>
        </w:rPr>
        <w:t xml:space="preserve">Услуг</w:t>
      </w:r>
      <w:r>
        <w:rPr>
          <w:lang w:bidi="ru-RU"/>
        </w:rPr>
        <w:t xml:space="preserve"> в соответствии с требованиями действующих нормативно-технических и методических документов ФСБ России и ФСТЭК России.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До начального срока оказания </w:t>
      </w:r>
      <w:r>
        <w:rPr>
          <w:lang w:bidi="ru-RU"/>
        </w:rPr>
        <w:t xml:space="preserve">У</w:t>
      </w:r>
      <w:r>
        <w:rPr>
          <w:lang w:bidi="ru-RU"/>
        </w:rPr>
        <w:t xml:space="preserve">слуг самостоятельно определять порядок оказания </w:t>
      </w:r>
      <w:r>
        <w:rPr>
          <w:lang w:bidi="ru-RU"/>
        </w:rPr>
        <w:t xml:space="preserve">Услуг</w:t>
      </w:r>
      <w:r>
        <w:rPr>
          <w:lang w:bidi="ru-RU"/>
        </w:rPr>
        <w:t xml:space="preserve"> по Договору.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Обладать разрешительными документами (лицензиями, разрешениями, свидетельствами, сертификатами и иными документами), необходимыми в соответствии с законодательством Российской Федерации для оказания </w:t>
      </w:r>
      <w:r>
        <w:rPr>
          <w:lang w:bidi="ru-RU"/>
        </w:rPr>
        <w:t xml:space="preserve">Услуг</w:t>
      </w:r>
      <w:r>
        <w:rPr>
          <w:lang w:bidi="ru-RU"/>
        </w:rPr>
        <w:t xml:space="preserve">, являющихся предметом Договора.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По требованию Заказчика в рабочее время предоставить ему информацию о ходе оказания </w:t>
      </w:r>
      <w:r>
        <w:rPr>
          <w:lang w:bidi="ru-RU"/>
        </w:rPr>
        <w:t xml:space="preserve">Услуг</w:t>
      </w:r>
      <w:r>
        <w:rPr>
          <w:lang w:bidi="ru-RU"/>
        </w:rPr>
        <w:t xml:space="preserve"> по Договору.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Не позднее чем за 3 (три) рабочих дня до </w:t>
      </w:r>
      <w:r>
        <w:rPr>
          <w:lang w:bidi="ru-RU"/>
        </w:rPr>
        <w:t xml:space="preserve">начал</w:t>
      </w:r>
      <w:r>
        <w:rPr>
          <w:lang w:bidi="ru-RU"/>
        </w:rPr>
        <w:t xml:space="preserve">а Услуг, направить в Заказчику письмо-заявку для допуска своих работников к осуществлению деятельности на объекте Заказчика. Письмо-заявка должно быть оформлено на фирменном бланке Исполнителя, зарегистрировано и подписано уполномоченным лицом Исполнителя.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Письмо-заявка может быть оформлено в электронном виде, подписано электронной цифровой подписью уполномоченного лица Исполнителя и направлено Заказчику на электронный адрес.  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 Перед началом выполнения Услуг на объекте Заказчика получить у Заказчика акт-допуск для осуществления деятельности на объекте Заказчика.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  <w:rPr>
          <w:lang w:bidi="ru-RU"/>
        </w:rPr>
      </w:pPr>
      <w:r>
        <w:t xml:space="preserve">Исполнитель</w:t>
      </w:r>
      <w:r>
        <w:rPr>
          <w:lang w:bidi="ru-RU"/>
        </w:rPr>
        <w:t xml:space="preserve"> вправе: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Получать от Заказчика материалы, документы и информацию, необходимую для </w:t>
      </w:r>
      <w:r>
        <w:rPr>
          <w:lang w:bidi="ru-RU"/>
        </w:rPr>
        <w:t xml:space="preserve">качественного оказания </w:t>
      </w:r>
      <w:r>
        <w:rPr>
          <w:lang w:bidi="ru-RU"/>
        </w:rPr>
        <w:t xml:space="preserve">Услуг</w:t>
      </w:r>
      <w:r>
        <w:rPr>
          <w:lang w:bidi="ru-RU"/>
        </w:rPr>
        <w:t xml:space="preserve"> по Договору.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Требовать своевременную оплату </w:t>
      </w:r>
      <w:r>
        <w:rPr>
          <w:lang w:bidi="ru-RU"/>
        </w:rPr>
        <w:t xml:space="preserve">Услуг</w:t>
      </w:r>
      <w:r>
        <w:t xml:space="preserve">,</w:t>
      </w:r>
      <w:r>
        <w:rPr>
          <w:lang w:bidi="ru-RU"/>
        </w:rPr>
        <w:t xml:space="preserve"> оказанны</w:t>
      </w:r>
      <w:r>
        <w:rPr>
          <w:lang w:bidi="ru-RU"/>
        </w:rPr>
        <w:t xml:space="preserve">х</w:t>
      </w:r>
      <w:r>
        <w:rPr>
          <w:lang w:bidi="ru-RU"/>
        </w:rPr>
        <w:t xml:space="preserve"> в соответствии с условиями </w:t>
      </w:r>
      <w:r>
        <w:rPr>
          <w:lang w:bidi="ru-RU"/>
        </w:rPr>
        <w:t xml:space="preserve">настоящего </w:t>
      </w:r>
      <w:r>
        <w:rPr>
          <w:lang w:bidi="ru-RU"/>
        </w:rPr>
        <w:t xml:space="preserve">Договора.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134" w:leader="none"/>
          <w:tab w:val="left" w:pos="1276" w:leader="none"/>
        </w:tabs>
        <w:rPr>
          <w:lang w:bidi="ru-RU"/>
        </w:rPr>
        <w:outlineLvl w:val="0"/>
      </w:pPr>
      <w:r>
        <w:t xml:space="preserve">Заказчик</w:t>
      </w:r>
      <w:r>
        <w:rPr>
          <w:lang w:bidi="ru-RU"/>
        </w:rPr>
        <w:t xml:space="preserve"> обязуется: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Представить Исполнителю все имеющиеся у Заказчика материалы, документы и информацию, необходимую для качественного оказания </w:t>
      </w:r>
      <w:r>
        <w:t xml:space="preserve">работ</w:t>
      </w:r>
      <w:r>
        <w:rPr>
          <w:lang w:bidi="ru-RU"/>
        </w:rPr>
        <w:t xml:space="preserve"> по Договору, а также содействие специалистов Заказчика в получении и уточнении исходных данных.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Заблаговременно уведомить Исполнителя о готовности/неготовности объектов информатизации Заказчика к оказанию </w:t>
      </w:r>
      <w:r>
        <w:rPr>
          <w:lang w:bidi="ru-RU"/>
        </w:rPr>
        <w:t xml:space="preserve">Услуг</w:t>
      </w:r>
      <w:r>
        <w:rPr>
          <w:lang w:bidi="ru-RU"/>
        </w:rPr>
        <w:t xml:space="preserve">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Обеспечить в течение сроков оказания </w:t>
      </w:r>
      <w:r>
        <w:rPr>
          <w:lang w:bidi="ru-RU"/>
        </w:rPr>
        <w:t xml:space="preserve">Услуг</w:t>
      </w:r>
      <w:r>
        <w:rPr>
          <w:lang w:bidi="ru-RU"/>
        </w:rPr>
        <w:t xml:space="preserve"> по Договору допуск специалистов Исполнителя к контролируемому объекту информатизации и его работоспособность. 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Своевременно принять результаты оказанных Исполнителем </w:t>
      </w:r>
      <w:r>
        <w:rPr>
          <w:lang w:bidi="ru-RU"/>
        </w:rPr>
        <w:t xml:space="preserve">Услуг</w:t>
      </w:r>
      <w:r>
        <w:t xml:space="preserve"> </w:t>
      </w:r>
      <w:r>
        <w:rPr>
          <w:lang w:bidi="ru-RU"/>
        </w:rPr>
        <w:t xml:space="preserve">по Договору и оплатить их.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Предоставлять Исполнителю информацию об оказываемых </w:t>
      </w:r>
      <w:r>
        <w:rPr>
          <w:lang w:bidi="ru-RU"/>
        </w:rPr>
        <w:t xml:space="preserve">Услугах</w:t>
      </w:r>
      <w:r>
        <w:rPr>
          <w:lang w:bidi="ru-RU"/>
        </w:rPr>
        <w:t xml:space="preserve">, подлежащих согласованию с федеральными органами.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Незамедлительно сообщать Исполнителю об изменении обстоятельств и о поступлении дополнительной информации, необходимой Исполнителю для оказания </w:t>
      </w:r>
      <w:r>
        <w:rPr>
          <w:lang w:bidi="ru-RU"/>
        </w:rPr>
        <w:t xml:space="preserve">Услуг</w:t>
      </w:r>
      <w:r>
        <w:rPr>
          <w:lang w:bidi="ru-RU"/>
        </w:rPr>
        <w:t xml:space="preserve"> по Договору.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1"/>
          <w:numId w:val="11"/>
        </w:numPr>
        <w:ind w:left="0" w:firstLine="709"/>
        <w:jc w:val="both"/>
        <w:tabs>
          <w:tab w:val="left" w:pos="1276" w:leader="none"/>
          <w:tab w:val="left" w:pos="6930" w:leader="none"/>
          <w:tab w:val="left" w:pos="7560" w:leader="none"/>
        </w:tabs>
        <w:rPr>
          <w:lang w:bidi="ru-RU"/>
        </w:rPr>
      </w:pPr>
      <w:r>
        <w:t xml:space="preserve">Заказчик</w:t>
      </w:r>
      <w:r>
        <w:rPr>
          <w:lang w:bidi="ru-RU"/>
        </w:rPr>
        <w:t xml:space="preserve"> вправе: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Проверять ход и качество оказанных </w:t>
      </w:r>
      <w:r>
        <w:rPr>
          <w:lang w:bidi="ru-RU"/>
        </w:rPr>
        <w:t xml:space="preserve">Услуг</w:t>
      </w:r>
      <w:r>
        <w:rPr>
          <w:lang w:bidi="ru-RU"/>
        </w:rPr>
        <w:t xml:space="preserve">, предусмотренных </w:t>
      </w:r>
      <w:r>
        <w:rPr>
          <w:lang w:bidi="ru-RU"/>
        </w:rPr>
        <w:t xml:space="preserve">Д</w:t>
      </w:r>
      <w:r>
        <w:rPr>
          <w:lang w:bidi="ru-RU"/>
        </w:rPr>
        <w:t xml:space="preserve">оговором, без вмешательства в оперативно-хозяйственную деятельность Исполнителя.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 В случае отступления Исполнителем от условий Договора назначить срок для приведения результата </w:t>
      </w:r>
      <w:r>
        <w:rPr>
          <w:lang w:bidi="ru-RU"/>
        </w:rPr>
        <w:t xml:space="preserve">Услуг</w:t>
      </w:r>
      <w:r>
        <w:rPr>
          <w:lang w:bidi="ru-RU"/>
        </w:rPr>
        <w:t xml:space="preserve"> в соответствие установленным условиям.</w:t>
      </w:r>
      <w:r>
        <w:rPr>
          <w:lang w:bidi="ru-RU"/>
        </w:rPr>
      </w:r>
      <w:r>
        <w:rPr>
          <w:lang w:bidi="ru-RU"/>
        </w:rPr>
      </w:r>
    </w:p>
    <w:p>
      <w:pPr>
        <w:pStyle w:val="993"/>
        <w:numPr>
          <w:ilvl w:val="2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lang w:bidi="ru-RU"/>
        </w:rPr>
        <w:outlineLvl w:val="0"/>
      </w:pPr>
      <w:r>
        <w:rPr>
          <w:lang w:bidi="ru-RU"/>
        </w:rPr>
        <w:t xml:space="preserve">Уточнять по согласованию с Исполнителем объем и содержание </w:t>
      </w:r>
      <w:r>
        <w:t xml:space="preserve">работ</w:t>
      </w:r>
      <w:r>
        <w:rPr>
          <w:lang w:bidi="ru-RU"/>
        </w:rPr>
        <w:t xml:space="preserve">, оказываемых по Договору.</w:t>
      </w:r>
      <w:r>
        <w:rPr>
          <w:lang w:bidi="ru-RU"/>
        </w:rPr>
      </w:r>
      <w:r>
        <w:rPr>
          <w:lang w:bidi="ru-RU"/>
        </w:rPr>
      </w:r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 xml:space="preserve">ПОРЯДОК ВЫПОЛНЕНИЯ И </w:t>
      </w:r>
      <w:r>
        <w:rPr>
          <w:b/>
          <w:sz w:val="24"/>
          <w:szCs w:val="24"/>
        </w:rPr>
        <w:t xml:space="preserve">СДАЧИ</w:t>
      </w:r>
      <w:r>
        <w:rPr>
          <w:b/>
          <w:sz w:val="24"/>
          <w:szCs w:val="24"/>
          <w:lang w:bidi="ru-RU"/>
        </w:rPr>
        <w:t xml:space="preserve">-ПРИЕМКИ УСЛУГ</w:t>
      </w:r>
      <w:r>
        <w:rPr>
          <w:b/>
          <w:sz w:val="24"/>
          <w:szCs w:val="24"/>
          <w:lang w:bidi="ru-RU"/>
        </w:rPr>
      </w:r>
      <w:r>
        <w:rPr>
          <w:b/>
          <w:sz w:val="24"/>
          <w:szCs w:val="24"/>
          <w:lang w:bidi="ru-RU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Исполнитель в течение 20 (двадцати) рабочих дней </w:t>
      </w:r>
      <w:r>
        <w:t xml:space="preserve">с даты заключения Договора и получения предоплаты </w:t>
      </w:r>
      <w:r>
        <w:t xml:space="preserve">обязан поставить средства защиты информации в соответствии со </w:t>
      </w:r>
      <w:r>
        <w:t xml:space="preserve">С</w:t>
      </w:r>
      <w:r>
        <w:t xml:space="preserve">пецификацией (Приложение № 1 к Договору)</w:t>
      </w:r>
      <w:r>
        <w:t xml:space="preserve">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течение 20 (двадцати) рабочих дней с момента поставки средств защиты информации, </w:t>
      </w:r>
      <w:r>
        <w:t xml:space="preserve">Заказчик предоставляет Исполнителю в электронном виде копии документов (в случае отсутствия такой возможности направляются оригиналы документов), указанных в пункте 11 Приказа № 77 ФСТЭК России.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течение 10 (десяти) рабочих дней с момента предоставления Заказчиком, указанных в пункте 4.</w:t>
      </w:r>
      <w:r>
        <w:t xml:space="preserve">2</w:t>
      </w:r>
      <w:r>
        <w:t xml:space="preserve"> </w:t>
      </w:r>
      <w:r>
        <w:t xml:space="preserve">Д</w:t>
      </w:r>
      <w:r>
        <w:t xml:space="preserve">оговора документов, Исполнитель обязуется разработать в соответстви</w:t>
      </w:r>
      <w:r>
        <w:t xml:space="preserve">и с требованиями пункта 13 Приказа № 77 ФСТЭК России программу и методики аттестационных испытаний объектов информатизации и направить ее на согласование Заказчику, либо предоставить информацию о необходимости доработки системы защиты информации Заказчика.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течение 3 (трех) рабочих дней с момента получения от Исполнителя программы и методик аттестационных испытаний Заказчик обязан либо согласовать ее, либо заявить Исполнителю в письменной форме мотивированные замечания (возражения). 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течение 3 (трех) рабочих дней с момента получения от Заказчика замечаний (возражений) по программе и м</w:t>
      </w:r>
      <w:r>
        <w:t xml:space="preserve">етодикам аттестационных испытания Исполнитель обязан либо устранить недостатки в случае признания замечаний (возражений) обоснованными, либо в тот же срок в письменной форме уведомить Заказчика об их отклонении с обоснованием причин отклонения. В случае от</w:t>
      </w:r>
      <w:r>
        <w:t xml:space="preserve">клонения Исполнителем замечаний (возражений) Заказчика Стороны обязуются урегулировать разногласия путем обращения за соответствующими разъяснениями в территориальный орган ФСТЭК России, разъяснения которого являются обязательными для исполнения Сторонами.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t xml:space="preserve">Заказчик обязуется обеспечить Исполнителю беспрепятственный доступ к </w:t>
      </w:r>
      <w:r>
        <w:t xml:space="preserve">Объектам </w:t>
      </w:r>
      <w:r>
        <w:t xml:space="preserve">информатизации для проведения его обследования в соответствии с внутриобъектовым режимом </w:t>
      </w:r>
      <w:r>
        <w:rPr>
          <w:highlight w:val="white"/>
        </w:rPr>
        <w:t xml:space="preserve">работы Заказчика.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rPr>
          <w:highlight w:val="white"/>
        </w:rPr>
        <w:t xml:space="preserve">Исполнитель обязан провести аттестационные испытания объектов информатизации</w:t>
      </w:r>
      <w:r>
        <w:rPr>
          <w:highlight w:val="white"/>
        </w:rPr>
        <w:t xml:space="preserve"> в объеме представленными в </w:t>
      </w:r>
      <w:r>
        <w:rPr>
          <w:highlight w:val="white"/>
        </w:rPr>
        <w:t xml:space="preserve">пункт</w:t>
      </w:r>
      <w:r>
        <w:rPr>
          <w:highlight w:val="white"/>
        </w:rPr>
        <w:t xml:space="preserve">е</w:t>
      </w:r>
      <w:r>
        <w:rPr>
          <w:highlight w:val="white"/>
        </w:rPr>
        <w:t xml:space="preserve"> 15 Приказа № 77 ФСТЭК России в течение </w:t>
      </w:r>
      <w:r>
        <w:rPr>
          <w:highlight w:val="white"/>
        </w:rPr>
        <w:t xml:space="preserve">60 (шестидесяти) рабочих дней</w:t>
      </w:r>
      <w:r>
        <w:rPr>
          <w:highlight w:val="white"/>
        </w:rPr>
        <w:t xml:space="preserve"> с момента заключения Договора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ходе проведения аттестацион</w:t>
      </w:r>
      <w:r>
        <w:t xml:space="preserve">ных испытаний Заказчик вправе вносить изменения в состав Объектов информатизации в целях его приведения в соответствие требованиям о защите информации. При этом Заказчик обязан незамедлительно уведомлять Исполнителя обо всех изменениях, внесенных в состав </w:t>
      </w:r>
      <w:r>
        <w:t xml:space="preserve">Объектов </w:t>
      </w:r>
      <w:r>
        <w:t xml:space="preserve">информатизации.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Исполнитель вправе по согласованию с Заказчиком вносить изменения в программу и методики аттестационных испытаний объектов информатизации в порядке, аналогичном предусмотренному пунктами 4.</w:t>
      </w:r>
      <w:r>
        <w:t xml:space="preserve">3</w:t>
      </w:r>
      <w:r>
        <w:t xml:space="preserve"> - 4.</w:t>
      </w:r>
      <w:r>
        <w:t xml:space="preserve">5</w:t>
      </w:r>
      <w:r>
        <w:t xml:space="preserve"> </w:t>
      </w:r>
      <w:r>
        <w:t xml:space="preserve">Д</w:t>
      </w:r>
      <w:r>
        <w:t xml:space="preserve">оговора.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Если в ходе проведения аттестационных испытаний будут выявлены несоответствия с</w:t>
      </w:r>
      <w:r>
        <w:t xml:space="preserve">истемы защиты информации объектов информатизации требованиям по технической защите информации, которые возможно устранить в процессе проведения аттестации, Исполнитель обязан уведомить об этом Заказчика. Заказчик вправе устранить выявленные несоответствия.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Заключение по результатам аттестационных испытаний объектов информатизации и протоколы аттестационных испытаний объектов информатизации в течение 5</w:t>
      </w:r>
      <w:r>
        <w:t xml:space="preserve"> (пяти)</w:t>
      </w:r>
      <w:r>
        <w:t xml:space="preserve"> рабочих дней после утверждения направляются Исполнителем Заказчику с соблюдением требований Закона о защите информации.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Заказчик в случае несогласия с выявленными при проведении аттестационных испытаний несоответствиями системы защиты информации объектов информатизации требо</w:t>
      </w:r>
      <w:r>
        <w:t xml:space="preserve">ваниям о защите информации и выводами, содержащимися в заключении по результатам аттестационных испытаний объектов информатизации, направляет письменное обращение в территориальный орган ФСТЭК России в соответствии с требованиями Приказа № 77 ФСТЭК России.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случае установления соответствия Объектов информатизации требованиям по безопасности информации, Исполнитель обязан выдать Заказчику аттестат соответствия в соответствии с требованиями Приказа № 77 ФСТЭК России. 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Исполнитель в течение 5 (пяти) рабочих дней со дня подписания аттестата соответствия представляет в территориальный орган ФСТЭК России в электронном виде копии аттестационных материалов в соответствии с требованиями пункта 27 Приказа № 77 ФСТЭК России.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После в</w:t>
      </w:r>
      <w:r>
        <w:t xml:space="preserve">ыдачи аттестата соответствия Заказчик самостоятельно обеспечивает поддержку безопасности аттестованных объектов информатизации, включая оценку эффективности защиты (защищенности) информации от утечки по техническим каналам и от несанкционированною доступа.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Сдача оказанных </w:t>
      </w:r>
      <w:r>
        <w:t xml:space="preserve">Услуг</w:t>
      </w:r>
      <w:r>
        <w:t xml:space="preserve"> Исполнителем, и приемка его Заказчиком оформляется Универсальным передаточным документом (УПД), подписанным обеими Сторонами.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bCs/>
        </w:rPr>
        <w:outlineLvl w:val="0"/>
      </w:pPr>
      <w:r>
        <w:t xml:space="preserve">По окончании оказания </w:t>
      </w:r>
      <w:r>
        <w:t xml:space="preserve">Услуг</w:t>
      </w:r>
      <w:r>
        <w:t xml:space="preserve"> Исполнитель направляет Заказчику в двух экземплярах подписанный со своей стороны УПД. К УПД должны быть приложены документы, предусмотренные </w:t>
      </w:r>
      <w:r>
        <w:t xml:space="preserve">Д</w:t>
      </w:r>
      <w:r>
        <w:t xml:space="preserve">оговором и приложениями к нему. </w:t>
      </w:r>
      <w:r>
        <w:rPr>
          <w:bCs/>
        </w:rPr>
      </w:r>
      <w:r>
        <w:rPr>
          <w:bCs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bCs/>
        </w:rPr>
        <w:outlineLvl w:val="0"/>
      </w:pPr>
      <w:r>
        <w:rPr>
          <w:bCs/>
        </w:rPr>
        <w:t xml:space="preserve">Заказчик в течение 3 (трех) рабочих дней со дня получения от Исполнителя УПД и документации обязан осуществить проверку оказанных </w:t>
      </w:r>
      <w:r>
        <w:rPr>
          <w:bCs/>
        </w:rPr>
        <w:t xml:space="preserve">Услуг</w:t>
      </w:r>
      <w:r>
        <w:rPr>
          <w:bCs/>
        </w:rPr>
        <w:t xml:space="preserve"> на предмет соответствия их объема и качества требованиям, изложенным в </w:t>
      </w:r>
      <w:r>
        <w:rPr>
          <w:bCs/>
        </w:rPr>
        <w:t xml:space="preserve">Д</w:t>
      </w:r>
      <w:r>
        <w:rPr>
          <w:bCs/>
        </w:rPr>
        <w:t xml:space="preserve">оговоре, подписать УПД и направить один его экземпляр Исполнителю либо направить Исполнителю мотивированный отказ от приемки </w:t>
      </w:r>
      <w:r>
        <w:rPr>
          <w:bCs/>
        </w:rPr>
        <w:t xml:space="preserve">Услуг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bCs/>
        </w:rPr>
        <w:outlineLvl w:val="0"/>
      </w:pPr>
      <w:r>
        <w:rPr>
          <w:bCs/>
        </w:rPr>
        <w:t xml:space="preserve">В </w:t>
      </w:r>
      <w:r>
        <w:t xml:space="preserve">случае</w:t>
      </w:r>
      <w:r>
        <w:rPr>
          <w:bCs/>
        </w:rPr>
        <w:t xml:space="preserve"> мотивированного отказа Заказчика от приемки услуг </w:t>
      </w:r>
      <w:r>
        <w:t xml:space="preserve">(работ)</w:t>
      </w:r>
      <w:r>
        <w:rPr>
          <w:bCs/>
        </w:rPr>
        <w:t xml:space="preserve"> Заказчиком составляется Акт с перечнем выявленных недостатков, необходимых доработок.</w:t>
      </w:r>
      <w:r>
        <w:rPr>
          <w:bCs/>
        </w:rPr>
      </w:r>
      <w:r>
        <w:rPr>
          <w:bCs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bCs/>
        </w:rPr>
        <w:outlineLvl w:val="0"/>
      </w:pPr>
      <w:r>
        <w:rPr>
          <w:bCs/>
        </w:rPr>
        <w:t xml:space="preserve">Основаниями для отказа в приемке </w:t>
      </w:r>
      <w:r>
        <w:rPr>
          <w:bCs/>
        </w:rPr>
        <w:t xml:space="preserve">У</w:t>
      </w:r>
      <w:r>
        <w:rPr>
          <w:bCs/>
        </w:rPr>
        <w:t xml:space="preserve">слуг является несоответствие оказанных </w:t>
      </w:r>
      <w:r>
        <w:rPr>
          <w:bCs/>
        </w:rPr>
        <w:t xml:space="preserve">Услуг</w:t>
      </w:r>
      <w:r>
        <w:rPr>
          <w:bCs/>
        </w:rPr>
        <w:t xml:space="preserve"> требованиям действующего законодательства Российской Федерации, государственных стандартов, нормативных и методических документов ФСТЭК России, а также требованиям, содержащимся в приложениях к </w:t>
      </w:r>
      <w:r>
        <w:rPr>
          <w:bCs/>
        </w:rPr>
        <w:t xml:space="preserve">Д</w:t>
      </w:r>
      <w:r>
        <w:rPr>
          <w:bCs/>
        </w:rPr>
        <w:t xml:space="preserve">оговору.</w:t>
      </w:r>
      <w:r>
        <w:rPr>
          <w:bCs/>
        </w:rPr>
      </w:r>
      <w:r>
        <w:rPr>
          <w:bCs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rFonts w:eastAsia="Calibri"/>
          <w:bCs/>
        </w:rPr>
        <w:outlineLvl w:val="0"/>
      </w:pPr>
      <w:r>
        <w:rPr>
          <w:rFonts w:eastAsia="Calibri"/>
          <w:bCs/>
        </w:rPr>
        <w:t xml:space="preserve">В случае признания Исполнителем отказа Заказчика от приемки оказанных </w:t>
      </w:r>
      <w:r>
        <w:t xml:space="preserve">работ</w:t>
      </w:r>
      <w:r>
        <w:rPr>
          <w:rFonts w:eastAsia="Calibri"/>
          <w:bCs/>
        </w:rPr>
        <w:t xml:space="preserve"> обоснованным Стороны дополнительно согласовывают срок устранения недостатков, которые Исполнитель обязуется устранить за свой счет и передать Заказчику отчет об устранении недостатков и повторный подписанный Исполнителем в двух экземплярах </w:t>
      </w:r>
      <w:r>
        <w:rPr>
          <w:rFonts w:eastAsia="Calibri"/>
          <w:bCs/>
        </w:rPr>
        <w:t xml:space="preserve">УПД</w:t>
      </w:r>
      <w:r>
        <w:rPr>
          <w:rFonts w:eastAsia="Calibri"/>
          <w:bCs/>
        </w:rPr>
        <w:t xml:space="preserve">. Повторная </w:t>
      </w:r>
      <w:r>
        <w:rPr>
          <w:rFonts w:eastAsia="Calibri"/>
          <w:bCs/>
        </w:rPr>
        <w:t xml:space="preserve">приемка </w:t>
      </w:r>
      <w:r>
        <w:rPr>
          <w:rFonts w:eastAsia="Calibri"/>
          <w:bCs/>
        </w:rPr>
        <w:t xml:space="preserve">Услуг</w:t>
      </w:r>
      <w:r>
        <w:rPr>
          <w:rFonts w:eastAsia="Calibri"/>
          <w:bCs/>
        </w:rPr>
        <w:t xml:space="preserve"> после устранения Исполнителем недостатков осуществляется Заказчиком в порядке, </w:t>
      </w:r>
      <w:r>
        <w:t xml:space="preserve">предусмотренном</w:t>
      </w:r>
      <w:r>
        <w:rPr>
          <w:rFonts w:eastAsia="Calibri"/>
          <w:bCs/>
        </w:rPr>
        <w:t xml:space="preserve"> пунктами 4.1</w:t>
      </w:r>
      <w:r>
        <w:rPr>
          <w:rFonts w:eastAsia="Calibri"/>
          <w:bCs/>
        </w:rPr>
        <w:t xml:space="preserve">7</w:t>
      </w:r>
      <w:r>
        <w:rPr>
          <w:rFonts w:eastAsia="Calibri"/>
          <w:bCs/>
        </w:rPr>
        <w:t xml:space="preserve">. - 4.2</w:t>
      </w:r>
      <w:r>
        <w:rPr>
          <w:rFonts w:eastAsia="Calibri"/>
          <w:bCs/>
        </w:rPr>
        <w:t xml:space="preserve">0</w:t>
      </w:r>
      <w:r>
        <w:rPr>
          <w:rFonts w:eastAsia="Calibri"/>
          <w:bCs/>
        </w:rPr>
        <w:t xml:space="preserve">. </w:t>
      </w:r>
      <w:r>
        <w:rPr>
          <w:rFonts w:eastAsia="Calibri"/>
          <w:bCs/>
        </w:rPr>
        <w:t xml:space="preserve">Д</w:t>
      </w:r>
      <w:r>
        <w:rPr>
          <w:rFonts w:eastAsia="Calibri"/>
          <w:bCs/>
        </w:rPr>
        <w:t xml:space="preserve">оговора. </w:t>
      </w:r>
      <w:r>
        <w:rPr>
          <w:rFonts w:eastAsia="Calibri"/>
          <w:bCs/>
        </w:rPr>
      </w:r>
      <w:r>
        <w:rPr>
          <w:rFonts w:eastAsia="Calibri"/>
          <w:bCs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rFonts w:eastAsia="Calibri"/>
          <w:bCs/>
        </w:rPr>
        <w:outlineLvl w:val="0"/>
      </w:pPr>
      <w:r>
        <w:rPr>
          <w:rFonts w:eastAsia="Calibri"/>
          <w:bCs/>
        </w:rPr>
        <w:t xml:space="preserve">Для проверки соответствия качества оказанных </w:t>
      </w:r>
      <w:r>
        <w:rPr>
          <w:rFonts w:eastAsia="Calibri"/>
          <w:bCs/>
        </w:rPr>
        <w:t xml:space="preserve">Услуг</w:t>
      </w:r>
      <w:r>
        <w:rPr>
          <w:rFonts w:eastAsia="Calibri"/>
          <w:bCs/>
        </w:rPr>
        <w:t xml:space="preserve"> установленным требованиям </w:t>
      </w:r>
      <w:r>
        <w:t xml:space="preserve">любая</w:t>
      </w:r>
      <w:r>
        <w:rPr>
          <w:rFonts w:eastAsia="Calibri"/>
          <w:bCs/>
        </w:rPr>
        <w:t xml:space="preserve"> из Сторон вправе привлекать независимых экспертов, экспертные организации. </w:t>
      </w:r>
      <w:r>
        <w:rPr>
          <w:rFonts w:eastAsia="Calibri"/>
          <w:bCs/>
        </w:rPr>
        <w:t xml:space="preserve">Р</w:t>
      </w:r>
      <w:r>
        <w:t xml:space="preserve">аботы</w:t>
      </w:r>
      <w:r>
        <w:rPr>
          <w:rFonts w:eastAsia="Calibri"/>
          <w:bCs/>
        </w:rPr>
        <w:t xml:space="preserve"> привлеченных экспертов (экспертных организаций) оплачиваются виновной стороной.</w:t>
      </w:r>
      <w:r>
        <w:rPr>
          <w:rFonts w:eastAsia="Calibri"/>
          <w:bCs/>
        </w:rPr>
      </w:r>
      <w:r>
        <w:rPr>
          <w:rFonts w:eastAsia="Calibri"/>
          <w:bCs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rFonts w:eastAsia="Calibri"/>
          <w:bCs/>
        </w:rPr>
        <w:outlineLvl w:val="0"/>
      </w:pPr>
      <w:r>
        <w:rPr>
          <w:rFonts w:eastAsia="Calibri"/>
          <w:lang w:eastAsia="ar-SA"/>
        </w:rPr>
        <w:t xml:space="preserve">В случае неполучения Исполнителем от Заказчика в срок, установленный в пункте 4.18. </w:t>
      </w:r>
      <w:r>
        <w:rPr>
          <w:rFonts w:eastAsia="Calibri"/>
          <w:lang w:eastAsia="ar-SA"/>
        </w:rPr>
        <w:t xml:space="preserve">Д</w:t>
      </w:r>
      <w:r>
        <w:rPr>
          <w:rFonts w:eastAsia="Calibri"/>
          <w:lang w:eastAsia="ar-SA"/>
        </w:rPr>
        <w:t xml:space="preserve">оговора, подписанного экземпляра УПД либо мотивированного отказа от приемки оказанных </w:t>
      </w:r>
      <w:r>
        <w:rPr>
          <w:rFonts w:eastAsia="Calibri"/>
          <w:lang w:eastAsia="ar-SA"/>
        </w:rPr>
        <w:t xml:space="preserve">Услуг</w:t>
      </w:r>
      <w:r>
        <w:rPr>
          <w:rFonts w:eastAsia="Calibri"/>
          <w:lang w:eastAsia="ar-SA"/>
        </w:rPr>
        <w:t xml:space="preserve">, </w:t>
      </w:r>
      <w:r>
        <w:rPr>
          <w:rFonts w:eastAsia="Calibri"/>
          <w:lang w:eastAsia="ar-SA"/>
        </w:rPr>
        <w:t xml:space="preserve">Услуги</w:t>
      </w:r>
      <w:r>
        <w:rPr>
          <w:rFonts w:eastAsia="Calibri"/>
          <w:lang w:eastAsia="ar-SA"/>
        </w:rPr>
        <w:t xml:space="preserve"> считаются принятыми Заказчиком без замечаний в </w:t>
      </w:r>
      <w:r>
        <w:t xml:space="preserve">последний</w:t>
      </w:r>
      <w:r>
        <w:rPr>
          <w:rFonts w:eastAsia="Calibri"/>
          <w:lang w:eastAsia="ar-SA"/>
        </w:rPr>
        <w:t xml:space="preserve"> день указанного срока и подлежат оплате в соответствии с условиями Договора, а подписанный Исполнителем </w:t>
      </w:r>
      <w:r>
        <w:rPr>
          <w:rFonts w:eastAsia="Calibri"/>
          <w:lang w:eastAsia="ar-SA"/>
        </w:rPr>
        <w:t xml:space="preserve">УПД</w:t>
      </w:r>
      <w:r>
        <w:rPr>
          <w:rFonts w:eastAsia="Calibri"/>
          <w:lang w:eastAsia="ar-SA"/>
        </w:rPr>
        <w:t xml:space="preserve"> является надлежащим подтверждением соответствия объема и качества оказанных </w:t>
      </w:r>
      <w:r>
        <w:rPr>
          <w:rFonts w:eastAsia="Calibri"/>
          <w:lang w:eastAsia="ar-SA"/>
        </w:rPr>
        <w:t xml:space="preserve">Услуг</w:t>
      </w:r>
      <w:r>
        <w:rPr>
          <w:rFonts w:eastAsia="Calibri"/>
          <w:lang w:eastAsia="ar-SA"/>
        </w:rPr>
        <w:t xml:space="preserve"> условиям Договора.</w:t>
      </w:r>
      <w:r>
        <w:rPr>
          <w:rFonts w:eastAsia="Calibri"/>
          <w:bCs/>
        </w:rPr>
      </w:r>
      <w:r>
        <w:rPr>
          <w:rFonts w:eastAsia="Calibri"/>
          <w:bCs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t xml:space="preserve">Моментом исполнения Исполнителем обязательств по настоящему Договору является </w:t>
      </w:r>
      <w:r>
        <w:rPr>
          <w:highlight w:val="white"/>
        </w:rPr>
        <w:t xml:space="preserve">подписание Заказчиком УПД. 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rPr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После подписания УПД Заказчик формирует </w:t>
      </w:r>
      <w:r>
        <w:rPr>
          <w:rFonts w:ascii="Times New Roman" w:hAnsi="Times New Roman"/>
          <w:sz w:val="24"/>
          <w:szCs w:val="24"/>
          <w:highlight w:val="white"/>
        </w:rPr>
        <w:t xml:space="preserve">Акт приемки товаров, работ, услуг по форме № 0510452, утверждённой приказом Минфина от 15.04.2021 № 61н</w:t>
      </w:r>
      <w:r>
        <w:rPr>
          <w:rFonts w:ascii="Times New Roman" w:hAnsi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/>
          <w:sz w:val="24"/>
          <w:szCs w:val="24"/>
          <w:highlight w:val="white"/>
        </w:rPr>
        <w:t xml:space="preserve"> и направляет в </w:t>
      </w:r>
      <w:r>
        <w:rPr>
          <w:rFonts w:ascii="Times New Roman" w:hAnsi="Times New Roman"/>
          <w:i/>
          <w:sz w:val="24"/>
          <w:szCs w:val="24"/>
          <w:highlight w:val="white"/>
          <w:u w:val="single"/>
        </w:rPr>
        <w:t xml:space="preserve">электронном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виде на подписание Исполнителю.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Заказчик вправе при отсутствии претензий, расхождений по результатам приемки, проведенной без участия Исполнителя составить и подписать акт приемки товаров, работ, услуг по форме 0510452 в одностороннем порядке.</w:t>
      </w:r>
      <w:r>
        <w:rPr>
          <w:highlight w:val="white"/>
        </w:rPr>
      </w:r>
      <w:r>
        <w:rPr>
          <w:highlight w:val="white"/>
        </w:rPr>
      </w:r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Стороны несут ответственность за неисполнение или ненадлежащее исполнение условий </w:t>
      </w:r>
      <w:r>
        <w:t xml:space="preserve">Д</w:t>
      </w:r>
      <w:r>
        <w:t xml:space="preserve">оговора в соответствии с действующим законодательством РФ и </w:t>
      </w:r>
      <w:r>
        <w:t xml:space="preserve">настоящим </w:t>
      </w:r>
      <w:r>
        <w:t xml:space="preserve">Д</w:t>
      </w:r>
      <w:r>
        <w:t xml:space="preserve">оговором.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Исполнитель несет ответственность за соответствие качества выполненных Работ требованиям, установленным </w:t>
      </w:r>
      <w:r>
        <w:t xml:space="preserve">нормативными правовыми актами Российской Федерации и методическими документами ФСТЭК России в области безопасности информации</w:t>
      </w:r>
      <w:r>
        <w:t xml:space="preserve">. Если в результате экспертно-документальной оценки материалов, представленных Исполнителем в соответствии с пунктом 2</w:t>
      </w:r>
      <w:r>
        <w:t xml:space="preserve">7</w:t>
      </w:r>
      <w:r>
        <w:t xml:space="preserve"> Приказа № </w:t>
      </w:r>
      <w:r>
        <w:t xml:space="preserve">77</w:t>
      </w:r>
      <w:r>
        <w:t xml:space="preserve">, территориальным органом ФСТЭК будут выявлены их несоответствия требованиям Приказа № </w:t>
      </w:r>
      <w:r>
        <w:t xml:space="preserve">77</w:t>
      </w:r>
      <w:r>
        <w:t xml:space="preserve">, Исполнитель обязан в течени</w:t>
      </w:r>
      <w:r>
        <w:t xml:space="preserve">е</w:t>
      </w:r>
      <w:r>
        <w:t xml:space="preserve"> </w:t>
      </w:r>
      <w:r>
        <w:t xml:space="preserve">15</w:t>
      </w:r>
      <w:r>
        <w:t xml:space="preserve"> (</w:t>
      </w:r>
      <w:r>
        <w:t xml:space="preserve">пятнадцати</w:t>
      </w:r>
      <w:r>
        <w:t xml:space="preserve">) рабочих дней с момента получения заключения территориального органа ФСТЭК России устранить выявленные недостатки.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Заказчик несет ответственность за достоверность, актуальность, полноту и соответствие законодательству Российской Федерации предоставленных Исполнителю для выполнения </w:t>
      </w:r>
      <w:r>
        <w:t xml:space="preserve">Услуг</w:t>
      </w:r>
      <w:r>
        <w:t xml:space="preserve"> документов и информации.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случае просрочки исполнения Сторонами обязательств (в том числе гарантийного обязательства), предусмотренных </w:t>
      </w:r>
      <w:r>
        <w:t xml:space="preserve">Д</w:t>
      </w:r>
      <w:r>
        <w:t xml:space="preserve">оговором, а также в иных случаях неисполнения или ненадлежащего исполнения Сторонами обязательств, предусмотренных </w:t>
      </w:r>
      <w:r>
        <w:t xml:space="preserve">Д</w:t>
      </w:r>
      <w:r>
        <w:t xml:space="preserve">оговором, направляется требование об уплате неустоек (штрафов, пеней)</w:t>
      </w:r>
      <w:r>
        <w:t xml:space="preserve">, в размере 0,1 % от суммы неисполненного или ненадлежаще исполненного обязательства.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Общая сумма начисленных </w:t>
      </w:r>
      <w:bookmarkStart w:id="1" w:name="_Hlk230083714"/>
      <w:r>
        <w:t xml:space="preserve">неустоек (</w:t>
      </w:r>
      <w:r>
        <w:t xml:space="preserve">штрафов</w:t>
      </w:r>
      <w:r>
        <w:t xml:space="preserve">, пеней)</w:t>
      </w:r>
      <w:bookmarkEnd w:id="1"/>
      <w:r>
        <w:t xml:space="preserve"> за неисполнение или ненадлежащее исполнение Сторонами обязательств, предусмотренных </w:t>
      </w:r>
      <w:r>
        <w:t xml:space="preserve">Д</w:t>
      </w:r>
      <w:r>
        <w:t xml:space="preserve">оговором, не может превышать цену </w:t>
      </w:r>
      <w:r>
        <w:t xml:space="preserve">Д</w:t>
      </w:r>
      <w:r>
        <w:t xml:space="preserve">оговора.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Уплата штрафа, не освобождает Стороны от необходимости исполнения обязательств или устранения нарушений.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Сторона освобождается от уплаты </w:t>
      </w:r>
      <w:r>
        <w:t xml:space="preserve">неустоек (штрафов, пеней)</w:t>
      </w:r>
      <w:r>
        <w:t xml:space="preserve">, если докажет, что неисполнение или ненадлежащее исполнение обязательства, предусмотренного </w:t>
      </w:r>
      <w:r>
        <w:t xml:space="preserve">Д</w:t>
      </w:r>
      <w:r>
        <w:t xml:space="preserve">оговором, произошло вследс</w:t>
      </w:r>
      <w:r>
        <w:t xml:space="preserve">твие непреодолимой силы или по вине другой Стороны. Надлежащим доказательством наличия форс-мажорных обстоятельств и их продолжительности служат соответствующие документы государственных органов, а также общеизвестные факторы, имеющие юридическое значение.</w:t>
      </w:r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КОНФИДЕНЦИАЛЬНОСТЬ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Стороны обязуются обеспечивать защиту взаимно передаваемых сведений</w:t>
      </w:r>
      <w:r>
        <w:t xml:space="preserve"> ограниченного доступа, не составляющи</w:t>
      </w:r>
      <w:r>
        <w:t xml:space="preserve">х</w:t>
      </w:r>
      <w:r>
        <w:t xml:space="preserve"> государственную тайну</w:t>
      </w:r>
      <w:r>
        <w:t xml:space="preserve">, по Договору в соответствии с </w:t>
      </w:r>
      <w:r>
        <w:t xml:space="preserve">Законом о защите информации.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Стороны обязуются не разглашать конфиденциальную информацию, предоставлен</w:t>
      </w:r>
      <w:r>
        <w:t xml:space="preserve">ную каждой из Сторон в ходе исполнения Договора. Под конфиденциальной понимается любая информация технического, коммерческого, финансового характера, информация о субъектах персональных данных, полученные сведения о безопасности персональных данных при их </w:t>
      </w:r>
      <w:r>
        <w:t xml:space="preserve">обработке, прямо или косвенно относящаяся к взаимоотношениям </w:t>
      </w:r>
      <w:r>
        <w:t xml:space="preserve">Сторон, не опубликованная в открытой печати или иным образом не переданная для свободного доступа, и ставшая известной сторонам в ходе выполнения Договора или предварительных переговоров о его заключении. Никакая такая конфиденциальная информация не может </w:t>
      </w:r>
      <w:r>
        <w:t xml:space="preserve">быть разглашена какой-либо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Договора, а также в течение 5 (пяти) лет после его прекращения по любой причине.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информации, а также обеспечить конфиденциальность персональных данных и безопасность персональн</w:t>
      </w:r>
      <w:r>
        <w:t xml:space="preserve">ых данных при их обработке, принять необходимые организационные и технические меры для защиты персональных данных субъектов персональных данных. При этом принимаемые меры должны быть не менее существенны, чем те, которые Сторона принимает для сохранения св</w:t>
      </w:r>
      <w:r>
        <w:t xml:space="preserve">оей собственной информации подобного рода. Стороны обязуются передавать информацию в рамках Договора исключительно через уполномоченных на то своих представителей, либо по защищенному каналу связи. Условия Договора действительны также при реорганизации как</w:t>
      </w:r>
      <w:r>
        <w:t xml:space="preserve">ой-либо из Сторон – для её правопреемников, при ликвидации одной из Сторон – для другой Стороны. Сторона, разгласившая конфиденциальную информацию, обязана возместить другой стороне причиненные убытки. Данный пункт является существенным условием Договора. </w:t>
      </w:r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ФОРС-МАЖОР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Стороны не несут ответственности за полное или частичное неисполнение предусмотренных Договором обязательств, если такое неисполнение связано с обстоятельствами непреодолимой силы, т.е. чрезвычайными и непредотвратимыми обстоятельств</w:t>
      </w:r>
      <w:r>
        <w:t xml:space="preserve">ами, не подлежащими разумному контролю, как то: пожар, наводнение, землетрясение, радиационное, химическое, биологическое заражения, военные действия, террористические акты, эпидемии, национальные забастовки, действия и нормативные акты государственных орг</w:t>
      </w:r>
      <w:r>
        <w:t xml:space="preserve">анов, имеющие обязательную силу, хотя бы для одной из Сторон, а также иные обстоятельства, возникшие после заключения Договора, которые непосредственно повлияли на выполнение Сторонами своих обязательств (Ст. 401 Гражданского кодекса Российской Федерации).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Сторона, которая не в состоянии выполнить обязательства по Договору, незамедлительно в письменной форме извещает другую Сторону о начале и прекращении указанных выше обстоятельств, но в любом случ</w:t>
      </w:r>
      <w:r>
        <w:t xml:space="preserve">ае не позднее 14 (четырнадцати) календарных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При возникновении обстоятельств непреодолимой силы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Если указанные обстоятельства продолжаются более 2 (двух) месяцев, каждая Сторона имеет право на досрочное расторжение Договора. В этом случае Стороны производят взаиморасчеты, пропорционально </w:t>
      </w:r>
      <w:r>
        <w:t xml:space="preserve">выполненным </w:t>
      </w:r>
      <w:r>
        <w:t xml:space="preserve">Услугам</w:t>
      </w:r>
      <w:r>
        <w:t xml:space="preserve"> без возмещения убытков.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компетентных органов и организаций. </w:t>
      </w:r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АНТИКОРРУПЦИОННАЯ ОГОВОРКА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Руководствуясь антикоррупционной политикой и законодательством Российской Федерации, при исполнении своих обязательств по Договору Стороны, их аффилированные лица, работники или посредники не выплачивают, не предлагают выпла</w:t>
      </w:r>
      <w:r>
        <w:t xml:space="preserve">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При исполнении своих обязательств по Договору Стороны, их аффилированные лица, работники или посредники не осущ</w:t>
      </w:r>
      <w:r>
        <w:t xml:space="preserve">ествляют действия, квалифицируемые применимым для целей Договора законодательством,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Каждая из Сторон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</w:t>
      </w:r>
      <w:r>
        <w:t xml:space="preserve">мездного выполнения в их адрес работ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Под действиями работника, осуществляемыми в пользу стимулирующей его Стороны, понимаются:</w:t>
      </w:r>
      <w:r/>
    </w:p>
    <w:p>
      <w:pPr>
        <w:ind w:firstLine="709"/>
        <w:jc w:val="both"/>
        <w:tabs>
          <w:tab w:val="left" w:pos="1276" w:leader="none"/>
        </w:tabs>
      </w:pPr>
      <w:r>
        <w:t xml:space="preserve">8</w:t>
      </w:r>
      <w:r>
        <w:t xml:space="preserve">.4.1.</w:t>
      </w:r>
      <w:r>
        <w:rPr>
          <w:lang w:val="en-US"/>
        </w:rPr>
        <w:t xml:space="preserve"> </w:t>
      </w:r>
      <w:r>
        <w:t xml:space="preserve">предоставление неоправданных преимуществ по сравнению с другими контрагентами;</w:t>
      </w:r>
      <w:r/>
    </w:p>
    <w:p>
      <w:pPr>
        <w:ind w:firstLine="709"/>
        <w:jc w:val="both"/>
        <w:tabs>
          <w:tab w:val="left" w:pos="1276" w:leader="none"/>
        </w:tabs>
      </w:pPr>
      <w:r>
        <w:t xml:space="preserve">8</w:t>
      </w:r>
      <w:r>
        <w:t xml:space="preserve">.4.2. предоставление каких-либо гарантий;</w:t>
      </w:r>
      <w:r/>
    </w:p>
    <w:p>
      <w:pPr>
        <w:ind w:firstLine="709"/>
        <w:jc w:val="both"/>
        <w:tabs>
          <w:tab w:val="left" w:pos="1276" w:leader="none"/>
        </w:tabs>
      </w:pPr>
      <w:r>
        <w:t xml:space="preserve">8</w:t>
      </w:r>
      <w:r>
        <w:t xml:space="preserve">.4.3. ускорение существующих процедур;</w:t>
      </w:r>
      <w:r/>
    </w:p>
    <w:p>
      <w:pPr>
        <w:ind w:firstLine="709"/>
        <w:jc w:val="both"/>
        <w:tabs>
          <w:tab w:val="left" w:pos="1276" w:leader="none"/>
        </w:tabs>
      </w:pPr>
      <w:r>
        <w:t xml:space="preserve">8</w:t>
      </w:r>
      <w:r>
        <w:t xml:space="preserve">.4.4</w:t>
      </w:r>
      <w:r>
        <w:t xml:space="preserve">. 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случае возникновения у Стороны подозрений, что произошло или может произойти нарушение каких-либо положений Договора, соответствующая Сторона обязуется уведомить об этом другую Сторону в письменной форме. В письменном уведомлении Сторона обязана</w:t>
      </w:r>
      <w:r>
        <w:t xml:space="preserve">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Договора другой Стороной, ее аффилированными лицами, работниками или посредниками.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Сторона, получившая уведомление о нарушении каких-либо положений антикоррупционного законодательства, обязана рассмотреть уведомление и сообщить другой Стороне об итогах его рассмотрения.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Стороны гарантируют осуществление надлежащего разбирательства по фактам нарушения положений Договора с соблюдением принципов конфиденциальности и приме</w:t>
      </w:r>
      <w:r>
        <w:t xml:space="preserve">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законности.</w:t>
      </w:r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368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РАЗРЕШЕНИЯ СПОРОВ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случае возникновения споров и разногласий, связанных с исполнением Договора, Стороны примут все меры к их разрешению путем переговоров.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Претензионный или иной до</w:t>
      </w:r>
      <w:r>
        <w:t xml:space="preserve">судебный порядок урегулирования спора является обязательным. Претензии предъявляются в письменной форме. К претензии должны быть приложены документы, обосновывающие предъявленные заинтересованной стороной требования в случае их отсутствия у другой стороны.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Сторона, получившая претензию, обязана в течение пяти рабочих дней со дня получения претензии направить ответ на претензию.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В случае полного или частичного отказа от удовлетворения претензии, а также в случае неполучения ответа на претензию спор передается на разрешение Арбитражного суда Ростовской области.</w:t>
      </w:r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56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ГАРАНТИИ КАЧЕСТВА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Качество </w:t>
      </w:r>
      <w:r>
        <w:t xml:space="preserve">Услуг</w:t>
      </w:r>
      <w:r>
        <w:t xml:space="preserve"> должно соответствовать требованиям нормативных правовых актов Российской Федерации и методических документов ФСТЭК России. 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Гарантийное обслуживание осуществляется Исполнителем в течение 1 (одного) года со дня исполнения обязательств по Договору</w:t>
      </w:r>
      <w:r>
        <w:t xml:space="preserve"> при условии поддержания Заказчиком конфигурации </w:t>
      </w:r>
      <w:r>
        <w:t xml:space="preserve">Объектов </w:t>
      </w:r>
      <w:r>
        <w:t xml:space="preserve">информатизации в состоянии, закрепленном аттестационными материалами.</w:t>
      </w:r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56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ДЕЙСТВИЕ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rPr>
          <w:highlight w:val="white"/>
        </w:rPr>
        <w:t xml:space="preserve">Договор вступает в силу с момента его подписания обеими Сторонами и действует до </w:t>
      </w:r>
      <w:r>
        <w:rPr>
          <w:highlight w:val="white"/>
        </w:rPr>
        <w:t xml:space="preserve">31.12.2026</w:t>
      </w:r>
      <w:r>
        <w:rPr>
          <w:highlight w:val="white"/>
        </w:rPr>
        <w:t xml:space="preserve">, а в части неисполненных обязательств - до </w:t>
      </w:r>
      <w:r>
        <w:rPr>
          <w:highlight w:val="white"/>
        </w:rPr>
        <w:t xml:space="preserve">полного </w:t>
      </w:r>
      <w:r>
        <w:rPr>
          <w:highlight w:val="white"/>
        </w:rPr>
        <w:t xml:space="preserve">надлежащего исполнения Сторонами предусмотренных Договором обязательств.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rPr>
          <w:highlight w:val="white"/>
        </w:rPr>
        <w:t xml:space="preserve">Все дополнения и изме</w:t>
      </w:r>
      <w:r>
        <w:rPr>
          <w:highlight w:val="white"/>
        </w:rPr>
        <w:t xml:space="preserve">нения к Договору оформляются Сторонами в письменной форме в виде дополнительных соглашений к Договору и являются его неотъемлемыми частями при условии их подписания уполномоченными представителями Сторон и скрепления круглыми печатями (при наличии) Сторон.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rPr>
          <w:highlight w:val="white"/>
        </w:rPr>
        <w:t xml:space="preserve">Договор может быть досрочно расторгнут в порядке, установленном действующим законодательством Российс</w:t>
      </w:r>
      <w:r>
        <w:t xml:space="preserve">кой Федерации, по следующим основаниям:</w:t>
      </w:r>
      <w:r/>
    </w:p>
    <w:p>
      <w:pPr>
        <w:ind w:firstLine="708"/>
        <w:jc w:val="both"/>
      </w:pPr>
      <w:r>
        <w:t xml:space="preserve">1</w:t>
      </w:r>
      <w:r>
        <w:t xml:space="preserve">1</w:t>
      </w:r>
      <w:r>
        <w:t xml:space="preserve">.3.1.</w:t>
      </w:r>
      <w:r>
        <w:t xml:space="preserve"> </w:t>
      </w:r>
      <w:r>
        <w:t xml:space="preserve">по соглашению Сторон;</w:t>
      </w:r>
      <w:r/>
    </w:p>
    <w:p>
      <w:pPr>
        <w:ind w:firstLine="708"/>
        <w:jc w:val="both"/>
      </w:pPr>
      <w:r>
        <w:t xml:space="preserve">1</w:t>
      </w:r>
      <w:r>
        <w:t xml:space="preserve">1</w:t>
      </w:r>
      <w:r>
        <w:t xml:space="preserve">.3.2.</w:t>
      </w:r>
      <w:r>
        <w:t xml:space="preserve"> </w:t>
      </w:r>
      <w:r>
        <w:t xml:space="preserve">по решению суда на основании требования одной из Сторон;</w:t>
      </w:r>
      <w:r/>
    </w:p>
    <w:p>
      <w:pPr>
        <w:ind w:firstLine="708"/>
        <w:jc w:val="both"/>
      </w:pPr>
      <w:r>
        <w:t xml:space="preserve">1</w:t>
      </w:r>
      <w:r>
        <w:t xml:space="preserve">1</w:t>
      </w:r>
      <w:r>
        <w:t xml:space="preserve">.3.3.</w:t>
      </w:r>
      <w:r>
        <w:t xml:space="preserve"> </w:t>
      </w:r>
      <w:r>
        <w:t xml:space="preserve">в связи с односторонним отказом одной из Сторон от его исполнения по основаниям, предусмотренным гражданским законодательством.</w:t>
      </w:r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56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ЗАКЛЮЧИТЕЛЬНЫЕ ПОЛОЖЕНИЯ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/>
      <w:bookmarkStart w:id="2" w:name="_Hlk54103892"/>
      <w:r>
        <w:t xml:space="preserve">Уведомления, извещения, требования, претензии и иные юридически значимые сообщения (далее – Сообщения) направляются Сторонами друг другу любым из следующих способов:</w:t>
      </w:r>
      <w:bookmarkEnd w:id="2"/>
      <w:r/>
      <w:r/>
    </w:p>
    <w:p>
      <w:pPr>
        <w:ind w:firstLine="708"/>
        <w:jc w:val="both"/>
      </w:pPr>
      <w:r>
        <w:t xml:space="preserve">1</w:t>
      </w:r>
      <w:r>
        <w:t xml:space="preserve">2</w:t>
      </w:r>
      <w:r>
        <w:t xml:space="preserve">.1.1.</w:t>
      </w:r>
      <w:r>
        <w:t xml:space="preserve"> </w:t>
      </w:r>
      <w:r>
        <w:t xml:space="preserve">непосредственным вручением одной стороной другой стороне с отметкой (распиской) о вручении;</w:t>
      </w:r>
      <w:r/>
    </w:p>
    <w:p>
      <w:pPr>
        <w:ind w:firstLine="708"/>
        <w:jc w:val="both"/>
        <w:widowControl w:val="off"/>
        <w:rPr>
          <w:rFonts w:eastAsia="Arial Unicode MS"/>
        </w:rPr>
      </w:pPr>
      <w:r>
        <w:rPr>
          <w:rFonts w:eastAsia="Arial Unicode MS"/>
        </w:rPr>
        <w:t xml:space="preserve">1</w:t>
      </w:r>
      <w:r>
        <w:rPr>
          <w:rFonts w:eastAsia="Arial Unicode MS"/>
        </w:rPr>
        <w:t xml:space="preserve">2</w:t>
      </w:r>
      <w:r>
        <w:rPr>
          <w:rFonts w:eastAsia="Arial Unicode MS"/>
        </w:rPr>
        <w:t xml:space="preserve">.1.2.</w:t>
      </w:r>
      <w:r>
        <w:rPr>
          <w:rFonts w:eastAsia="Arial Unicode MS"/>
        </w:rPr>
        <w:t xml:space="preserve"> </w:t>
      </w:r>
      <w:r>
        <w:rPr>
          <w:rFonts w:eastAsia="Arial Unicode MS"/>
        </w:rPr>
        <w:t xml:space="preserve">заказным (регистрируемым) почтовым отправлением. </w:t>
      </w:r>
      <w:bookmarkStart w:id="3" w:name="_Hlk54110853"/>
      <w:r>
        <w:rPr>
          <w:rFonts w:eastAsia="Arial Unicode MS"/>
        </w:rPr>
        <w:t xml:space="preserve">При этом датой получения отправления считается шестой рабочий день после даты поступления отправления в почтовое отделение получателя;</w:t>
      </w:r>
      <w:bookmarkEnd w:id="3"/>
      <w:r>
        <w:rPr>
          <w:rFonts w:eastAsia="Arial Unicode MS"/>
        </w:rPr>
      </w:r>
      <w:r>
        <w:rPr>
          <w:rFonts w:eastAsia="Arial Unicode MS"/>
        </w:rPr>
      </w:r>
    </w:p>
    <w:p>
      <w:pPr>
        <w:ind w:firstLine="708"/>
        <w:jc w:val="both"/>
      </w:pPr>
      <w:r>
        <w:t xml:space="preserve">1</w:t>
      </w:r>
      <w:r>
        <w:t xml:space="preserve">2</w:t>
      </w:r>
      <w:r>
        <w:t xml:space="preserve">.1.3.</w:t>
      </w:r>
      <w:bookmarkStart w:id="4" w:name="_Hlk54104087"/>
      <w:r>
        <w:t xml:space="preserve"> </w:t>
      </w:r>
      <w:r>
        <w:t xml:space="preserve">по адресам электронной почты (</w:t>
      </w:r>
      <w:r>
        <w:rPr>
          <w:lang w:val="en-US"/>
        </w:rPr>
        <w:t xml:space="preserve">e</w:t>
      </w:r>
      <w:r>
        <w:t xml:space="preserve">-</w:t>
      </w:r>
      <w:r>
        <w:rPr>
          <w:lang w:val="en-US"/>
        </w:rPr>
        <w:t xml:space="preserve">mail</w:t>
      </w:r>
      <w:r>
        <w:t xml:space="preserve">)</w:t>
      </w:r>
      <w:bookmarkEnd w:id="4"/>
      <w:r>
        <w:t xml:space="preserve"> Сторон. </w:t>
      </w:r>
      <w:r>
        <w:rPr>
          <w:rFonts w:eastAsia="ArialMT"/>
          <w:bCs/>
        </w:rPr>
        <w:t xml:space="preserve">Сообщение по электронной почте считается полученным стороной-получателем в день успешной отправки этого сообщения стороной-отправителем при условии, что оно отправляется по адресу электронной почты, указанному в </w:t>
      </w:r>
      <w:r>
        <w:rPr>
          <w:rFonts w:eastAsia="ArialMT"/>
          <w:bCs/>
        </w:rPr>
        <w:t xml:space="preserve">разделе</w:t>
      </w:r>
      <w:r>
        <w:rPr>
          <w:rFonts w:eastAsia="ArialMT"/>
          <w:bCs/>
        </w:rPr>
        <w:t xml:space="preserve"> </w:t>
      </w:r>
      <w:r>
        <w:rPr>
          <w:rFonts w:eastAsia="ArialMT"/>
          <w:bCs/>
        </w:rPr>
        <w:t xml:space="preserve">1</w:t>
      </w:r>
      <w:r>
        <w:rPr>
          <w:rFonts w:eastAsia="ArialMT"/>
          <w:bCs/>
        </w:rPr>
        <w:t xml:space="preserve">3</w:t>
      </w:r>
      <w:r>
        <w:rPr>
          <w:rFonts w:eastAsia="ArialMT"/>
          <w:bCs/>
        </w:rPr>
        <w:t xml:space="preserve"> Договора. Отправка сообщения по электронной почте считается не состоявшейся, если передающая </w:t>
      </w:r>
      <w:r>
        <w:rPr>
          <w:rFonts w:eastAsia="ArialMT"/>
          <w:bCs/>
        </w:rPr>
        <w:t xml:space="preserve">С</w:t>
      </w:r>
      <w:r>
        <w:rPr>
          <w:rFonts w:eastAsia="ArialMT"/>
          <w:bCs/>
        </w:rPr>
        <w:t xml:space="preserve">торона получает сообщение о невозможности доставки.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К отношениям по передаче и приему Сообщений по электронной почте применяются правила о простой электронной подписи, которая считается аналогом собственноручной подписи полномочных предста</w:t>
      </w:r>
      <w:r>
        <w:t xml:space="preserve">вителей Сторон. Копии (электронные образы) документов, направленные посредством электронной почты, имеют одинаковую юридическую силу с оригиналами документов на бумажном носителе до момента предоставления таких оригиналов. Сторона обязана направить другой </w:t>
      </w:r>
      <w:r>
        <w:t xml:space="preserve">С</w:t>
      </w:r>
      <w:r>
        <w:t xml:space="preserve">тороне по её требованию подписанный оригинал документа на бумажном носителе в течение 3 (трех) рабочих дней с даты предъявления соответствующего требования. 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Сообщения влекут гражданско-правовые последствия для </w:t>
      </w:r>
      <w:r>
        <w:t xml:space="preserve">С</w:t>
      </w:r>
      <w:r>
        <w:t xml:space="preserve">тороны, которой они направлены, с момента вручения (доставки) данных сообщений ей или её представителю способами, указанными в пункте </w:t>
      </w:r>
      <w:r>
        <w:t xml:space="preserve">1</w:t>
      </w:r>
      <w:r>
        <w:t xml:space="preserve">2</w:t>
      </w:r>
      <w:r>
        <w:t xml:space="preserve">.</w:t>
      </w:r>
      <w:r>
        <w:t xml:space="preserve">1.</w:t>
      </w:r>
      <w:r>
        <w:t xml:space="preserve"> Договора. Такие последствия возникают и в том случае, когда сообщение не было вручено адресату по зависящим от него обстоятельствам.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При обмене Сообщениями или документами, содержащими сведения </w:t>
      </w:r>
      <w:r>
        <w:t xml:space="preserve">ограниченного доступа, не составляющие государственную тайну</w:t>
      </w:r>
      <w:r>
        <w:t xml:space="preserve">, Стороны обязаны соблюдать требования законодательства </w:t>
      </w:r>
      <w:r>
        <w:t xml:space="preserve">о защите информации</w:t>
      </w:r>
      <w:r>
        <w:t xml:space="preserve">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outlineLvl w:val="0"/>
      </w:pPr>
      <w:r>
        <w:t xml:space="preserve">По всем вопросам, не урегулированным Договором, Стороны руководствуются требованиями законодательства Российской Федерации.</w:t>
      </w:r>
      <w:r/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t xml:space="preserve">Договор составлен на </w:t>
      </w:r>
      <w:r>
        <w:t xml:space="preserve">1</w:t>
      </w:r>
      <w:r>
        <w:t xml:space="preserve">0</w:t>
      </w:r>
      <w:r>
        <w:t xml:space="preserve"> (</w:t>
      </w:r>
      <w:r>
        <w:t xml:space="preserve">десяти</w:t>
      </w:r>
      <w:r>
        <w:t xml:space="preserve">) </w:t>
      </w:r>
      <w:r>
        <w:t xml:space="preserve">листах</w:t>
      </w:r>
      <w:r>
        <w:t xml:space="preserve"> в двух экземплярах, </w:t>
      </w:r>
      <w:r>
        <w:t xml:space="preserve">по одному экземпляру для каждой </w:t>
      </w:r>
      <w:r>
        <w:rPr>
          <w:highlight w:val="white"/>
        </w:rPr>
        <w:t xml:space="preserve">из Сторон, </w:t>
      </w:r>
      <w:r>
        <w:rPr>
          <w:highlight w:val="white"/>
        </w:rPr>
        <w:t xml:space="preserve">имеющих одинаковую юридическую силу. 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numPr>
          <w:ilvl w:val="1"/>
          <w:numId w:val="11"/>
        </w:numPr>
        <w:contextualSpacing/>
        <w:ind w:left="0" w:firstLine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rPr>
          <w:highlight w:val="white"/>
        </w:rPr>
        <w:t xml:space="preserve">К настоящему Договору прилага</w:t>
      </w:r>
      <w:r>
        <w:rPr>
          <w:highlight w:val="white"/>
        </w:rPr>
        <w:t xml:space="preserve">е</w:t>
      </w:r>
      <w:r>
        <w:rPr>
          <w:highlight w:val="white"/>
        </w:rPr>
        <w:t xml:space="preserve">тся и явля</w:t>
      </w:r>
      <w:r>
        <w:rPr>
          <w:highlight w:val="white"/>
        </w:rPr>
        <w:t xml:space="preserve">е</w:t>
      </w:r>
      <w:r>
        <w:rPr>
          <w:highlight w:val="white"/>
        </w:rPr>
        <w:t xml:space="preserve">тся его неотъемлем</w:t>
      </w:r>
      <w:r>
        <w:rPr>
          <w:highlight w:val="white"/>
        </w:rPr>
        <w:t xml:space="preserve">ой</w:t>
      </w:r>
      <w:r>
        <w:rPr>
          <w:highlight w:val="white"/>
        </w:rPr>
        <w:t xml:space="preserve"> част</w:t>
      </w:r>
      <w:r>
        <w:rPr>
          <w:highlight w:val="white"/>
        </w:rPr>
        <w:t xml:space="preserve">ью</w:t>
      </w:r>
      <w:r>
        <w:rPr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contextualSpacing/>
        <w:ind w:left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rPr>
          <w:highlight w:val="white"/>
        </w:rPr>
        <w:t xml:space="preserve">         </w:t>
      </w:r>
      <w:r>
        <w:rPr>
          <w:highlight w:val="white"/>
        </w:rPr>
        <w:t xml:space="preserve">Приложение №1 – Спецификация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93"/>
        <w:contextualSpacing/>
        <w:ind w:left="709"/>
        <w:jc w:val="both"/>
        <w:widowControl w:val="off"/>
        <w:tabs>
          <w:tab w:val="left" w:pos="1276" w:leader="none"/>
        </w:tabs>
        <w:rPr>
          <w:highlight w:val="white"/>
        </w:rPr>
        <w:outlineLvl w:val="0"/>
      </w:pPr>
      <w:r>
        <w:rPr>
          <w:highlight w:val="white"/>
        </w:rPr>
        <w:tab/>
        <w:t xml:space="preserve">Приложение №2 – Техническое задание.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jc w:val="both"/>
        <w:widowControl w:val="off"/>
        <w:tabs>
          <w:tab w:val="left" w:pos="1276" w:leader="none"/>
        </w:tabs>
        <w:outlineLvl w:val="0"/>
      </w:pPr>
      <w:r/>
      <w:r/>
    </w:p>
    <w:p>
      <w:pPr>
        <w:pStyle w:val="1070"/>
        <w:numPr>
          <w:ilvl w:val="0"/>
          <w:numId w:val="11"/>
        </w:numPr>
        <w:ind w:left="0" w:firstLine="0"/>
        <w:jc w:val="center"/>
        <w:spacing w:before="120" w:after="120"/>
        <w:tabs>
          <w:tab w:val="left" w:pos="284" w:leader="none"/>
          <w:tab w:val="left" w:pos="56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АДРЕСА И БАНКОВСКИЕ РЕКВИЗИТЫ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4111"/>
        <w:gridCol w:w="709"/>
        <w:gridCol w:w="675"/>
        <w:gridCol w:w="4286"/>
      </w:tblGrid>
      <w:tr>
        <w:trPr/>
        <w:tc>
          <w:tcPr>
            <w:tcW w:w="4111" w:type="dxa"/>
            <w:textDirection w:val="lrTb"/>
            <w:noWrap w:val="false"/>
          </w:tcPr>
          <w:p>
            <w:pPr>
              <w:pStyle w:val="988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gridSpan w:val="2"/>
            <w:tcW w:w="4961" w:type="dxa"/>
            <w:textDirection w:val="lrTb"/>
            <w:noWrap w:val="false"/>
          </w:tcPr>
          <w:p>
            <w:pPr>
              <w:jc w:val="both"/>
            </w:pPr>
            <w:r>
              <w:t xml:space="preserve">ЗАКАЗЧИК:</w:t>
            </w:r>
            <w:r/>
          </w:p>
        </w:tc>
      </w:tr>
      <w:tr>
        <w:trPr>
          <w:trHeight w:val="5849"/>
        </w:trPr>
        <w:tc>
          <w:tcPr>
            <w:tcW w:w="4111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88" w:leader="none"/>
              </w:tabs>
            </w:pPr>
            <w:r/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gridSpan w:val="2"/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ФКУ Упрдор "Новороссия"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344000, г. Ростов-на-Дону,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Красноармейская, д. 202, этаж 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7717109981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 1037700028090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КПП 616301001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УФК по Ростовской области (ФКУ Упрд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 «Новороссия» л/с 03581388640)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ОКЦ № 1 Волго-Вятского ГУ Банка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//УФК по Нижего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родской области,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Нижний Новгород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 банка: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Единый казначейский счет (к/с):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казначейского счета (р/с):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03211643000000013230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nv-ross@mail.ru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88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4111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Директор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  <w:p>
            <w:pPr>
              <w:jc w:val="both"/>
              <w:widowControl w:val="off"/>
              <w:tabs>
                <w:tab w:val="left" w:pos="788" w:leader="none"/>
              </w:tabs>
            </w:pPr>
            <w:r>
              <w:t xml:space="preserve">________________ 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gridSpan w:val="2"/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начальника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ФКУ Упрдор «Новороссия»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О.Н. Гулый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4111" w:type="dxa"/>
            <w:textDirection w:val="lrTb"/>
            <w:noWrap w:val="false"/>
          </w:tcPr>
          <w:p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384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4286" w:type="dxa"/>
            <w:textDirection w:val="lrTb"/>
            <w:noWrap w:val="false"/>
          </w:tcPr>
          <w:p>
            <w:pPr>
              <w:ind w:firstLine="45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9"/>
          <w:footnotePr/>
          <w:endnotePr/>
          <w:type w:val="nextPage"/>
          <w:pgSz w:w="11906" w:h="16838" w:orient="portrait"/>
          <w:pgMar w:top="1134" w:right="566" w:bottom="1134" w:left="1134" w:header="425" w:footer="709" w:gutter="0"/>
          <w:cols w:num="1" w:sep="0" w:space="708" w:equalWidth="1"/>
          <w:docGrid w:linePitch="360"/>
          <w:titlePg/>
        </w:sectPr>
      </w:pPr>
      <w:r/>
      <w:r/>
    </w:p>
    <w:p>
      <w:pPr>
        <w:jc w:val="right"/>
        <w:rPr>
          <w:bCs/>
        </w:rPr>
      </w:pPr>
      <w:r>
        <w:rPr>
          <w:bCs/>
        </w:rPr>
        <w:t xml:space="preserve">Приложение № 1</w:t>
      </w:r>
      <w:r>
        <w:rPr>
          <w:bCs/>
        </w:rPr>
      </w:r>
      <w:r>
        <w:rPr>
          <w:bCs/>
        </w:rPr>
      </w:r>
    </w:p>
    <w:p>
      <w:pPr>
        <w:jc w:val="right"/>
        <w:rPr>
          <w:b/>
        </w:rPr>
      </w:pPr>
      <w:r>
        <w:rPr>
          <w:bCs/>
        </w:rPr>
        <w:t xml:space="preserve">к Договору № </w:t>
      </w:r>
      <w:r>
        <w:t xml:space="preserve">А-</w:t>
      </w:r>
      <w:r>
        <w:rPr>
          <w:lang w:val="en-US"/>
        </w:rPr>
        <w:t xml:space="preserve">__________</w:t>
      </w:r>
      <w:r>
        <w:t xml:space="preserve">/202</w:t>
      </w:r>
      <w:r>
        <w:t xml:space="preserve">6</w:t>
      </w:r>
      <w:r>
        <w:t xml:space="preserve">/</w:t>
      </w:r>
      <w:r>
        <w:rPr>
          <w:b/>
        </w:rPr>
        <w:t xml:space="preserve"> </w:t>
      </w:r>
      <w:r>
        <w:rPr>
          <w:b/>
        </w:rPr>
        <w:t xml:space="preserve">/ _</w:t>
      </w:r>
      <w:r>
        <w:rPr>
          <w:b/>
          <w:lang w:val="en-US"/>
        </w:rPr>
        <w:t xml:space="preserve">_______</w:t>
      </w:r>
      <w:r>
        <w:rPr>
          <w:b/>
        </w:rPr>
        <w:t xml:space="preserve">_______________________</w:t>
      </w:r>
      <w:r>
        <w:rPr>
          <w:b/>
        </w:rPr>
      </w:r>
      <w:r>
        <w:rPr>
          <w:b/>
        </w:rPr>
      </w:r>
    </w:p>
    <w:p>
      <w:pPr>
        <w:jc w:val="right"/>
      </w:pPr>
      <w:r>
        <w:rPr>
          <w:bCs/>
        </w:rPr>
        <w:t xml:space="preserve">от "</w:t>
      </w:r>
      <w:r>
        <w:rPr>
          <w:bCs/>
        </w:rPr>
        <w:t xml:space="preserve">___</w:t>
      </w:r>
      <w:r>
        <w:rPr>
          <w:bCs/>
        </w:rPr>
        <w:t xml:space="preserve">_</w:t>
      </w:r>
      <w:r>
        <w:rPr>
          <w:bCs/>
        </w:rPr>
        <w:t xml:space="preserve">" </w:t>
      </w:r>
      <w:r>
        <w:rPr>
          <w:bCs/>
        </w:rPr>
        <w:t xml:space="preserve">сентября</w:t>
      </w:r>
      <w:r>
        <w:rPr>
          <w:bCs/>
        </w:rPr>
        <w:t xml:space="preserve"> 202</w:t>
      </w:r>
      <w:r>
        <w:rPr>
          <w:bCs/>
        </w:rPr>
        <w:t xml:space="preserve">6</w:t>
      </w:r>
      <w:r>
        <w:rPr>
          <w:bCs/>
        </w:rPr>
        <w:t xml:space="preserve"> </w:t>
      </w:r>
      <w:r>
        <w:rPr>
          <w:bCs/>
        </w:rPr>
        <w:t xml:space="preserve">г.</w:t>
      </w:r>
      <w:r/>
    </w:p>
    <w:p>
      <w:pPr>
        <w:jc w:val="center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082"/>
        <w:jc w:val="center"/>
        <w:shd w:val="clear" w:color="auto" w:fill="auto"/>
        <w:rPr>
          <w:color w:val="auto"/>
        </w:rPr>
      </w:pPr>
      <w:r>
        <w:rPr>
          <w:color w:val="auto"/>
        </w:rPr>
        <w:t xml:space="preserve">СПЕЦИФИКАЦИЯ</w:t>
      </w:r>
      <w:r>
        <w:rPr>
          <w:color w:val="auto"/>
        </w:rPr>
      </w:r>
      <w:r>
        <w:rPr>
          <w:color w:val="auto"/>
        </w:rPr>
      </w:r>
    </w:p>
    <w:p>
      <w:pPr>
        <w:pStyle w:val="1082"/>
        <w:jc w:val="center"/>
        <w:shd w:val="clear" w:color="auto" w:fill="auto"/>
      </w:pPr>
      <w:r/>
      <w:r/>
    </w:p>
    <w:tbl>
      <w:tblPr>
        <w:tblW w:w="10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6"/>
        <w:gridCol w:w="5179"/>
        <w:gridCol w:w="709"/>
        <w:gridCol w:w="1276"/>
        <w:gridCol w:w="1276"/>
        <w:gridCol w:w="1233"/>
      </w:tblGrid>
      <w:tr>
        <w:trPr>
          <w:trHeight w:val="759"/>
        </w:trPr>
        <w:tc>
          <w:tcPr>
            <w:tcMar>
              <w:left w:w="57" w:type="dxa"/>
              <w:right w:w="57" w:type="dxa"/>
            </w:tcMar>
            <w:tcW w:w="48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п/п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услуги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Кол-во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Цена за ед., руб.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Сумма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 НДС (руб.)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НДС*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(руб.)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gridSpan w:val="6"/>
            <w:tcMar>
              <w:left w:w="57" w:type="dxa"/>
              <w:right w:w="57" w:type="dxa"/>
            </w:tcMar>
            <w:tcW w:w="1015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Поставка средств защиты информации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Mar>
              <w:left w:w="57" w:type="dxa"/>
              <w:right w:w="57" w:type="dxa"/>
            </w:tcMar>
            <w:tcW w:w="486" w:type="dxa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color w:val="000000"/>
                <w:sz w:val="20"/>
                <w:szCs w:val="20"/>
                <w:lang w:val="en-US" w:eastAsia="en-US" w:bidi="ar-SA"/>
              </w:rPr>
              <w:t xml:space="preserve">Kaspersky 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Стандартный</w:t>
            </w:r>
            <w:r>
              <w:rPr>
                <w:color w:val="000000"/>
                <w:sz w:val="20"/>
                <w:szCs w:val="20"/>
                <w:lang w:val="en-US" w:eastAsia="en-US" w:bidi="ar-SA"/>
              </w:rPr>
              <w:t xml:space="preserve"> Certified media Pack Russian </w:t>
            </w:r>
            <w:r>
              <w:rPr>
                <w:color w:val="000000"/>
                <w:sz w:val="20"/>
                <w:szCs w:val="20"/>
                <w:lang w:val="en-US" w:eastAsia="en-US" w:bidi="ar-SA"/>
              </w:rPr>
              <w:t xml:space="preserve">Edition Media Pack - 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Установочный</w:t>
            </w:r>
            <w:r>
              <w:rPr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486" w:type="dxa"/>
            <w:vMerge w:val="restart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Программно-аппаратный комплекс "Соболь". Версия 4, 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PCIe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 без ФДСЧ, A7, сертификат ФСТЭК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33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486" w:type="dxa"/>
            <w:vMerge w:val="restart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79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ПАК "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Guardant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 ID" v.2 в составе:</w:t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Электронный идентификатор 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Guardant</w:t>
            </w: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 ID 2.0 ндв2; </w:t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Копия Сертификата ФСТЭК России; </w:t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US" w:bidi="ar-SA"/>
              </w:rPr>
              <w:t xml:space="preserve">Формуляр.</w:t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70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33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gridSpan w:val="6"/>
            <w:tcMar>
              <w:left w:w="57" w:type="dxa"/>
              <w:right w:w="57" w:type="dxa"/>
            </w:tcMar>
            <w:tcW w:w="1015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Аттестационные испытания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Mar>
              <w:left w:w="57" w:type="dxa"/>
              <w:right w:w="57" w:type="dxa"/>
            </w:tcMar>
            <w:tcW w:w="486" w:type="dxa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Информационное обследование объекта информатизации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tcMar>
              <w:left w:w="57" w:type="dxa"/>
              <w:right w:w="57" w:type="dxa"/>
            </w:tcMar>
            <w:tcW w:w="486" w:type="dxa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Разработка проектов организационной документации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tcMar>
              <w:left w:w="57" w:type="dxa"/>
              <w:right w:w="57" w:type="dxa"/>
            </w:tcMar>
            <w:tcW w:w="486" w:type="dxa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Разработка программы и методики аттестационных испытаний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tcMar>
              <w:left w:w="57" w:type="dxa"/>
              <w:right w:w="57" w:type="dxa"/>
            </w:tcMar>
            <w:tcW w:w="486" w:type="dxa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Испытание объекта информатизации на соответствие организационно-режимным требованиям по защите информации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tcMar>
              <w:left w:w="57" w:type="dxa"/>
              <w:right w:w="57" w:type="dxa"/>
            </w:tcMar>
            <w:tcW w:w="486" w:type="dxa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Испытание объекта информатизации на соответствие требованиям по защите информации от утечки за счет несанкционированного доступа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tcMar>
              <w:left w:w="57" w:type="dxa"/>
              <w:right w:w="57" w:type="dxa"/>
            </w:tcMar>
            <w:tcW w:w="486" w:type="dxa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Оформление заключения по результатам аттестационных испытаний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tcMar>
              <w:left w:w="57" w:type="dxa"/>
              <w:right w:w="57" w:type="dxa"/>
            </w:tcMar>
            <w:tcW w:w="486" w:type="dxa"/>
            <w:textDirection w:val="lrTb"/>
            <w:noWrap/>
          </w:tcPr>
          <w:p>
            <w:pPr>
              <w:ind w:left="-116" w:right="-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79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Выдача аттестата соответствия объекта информатизации (в случае соответствия объекта информатизации требованиям по защите информации)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Mar>
              <w:left w:w="57" w:type="dxa"/>
              <w:right w:w="57" w:type="dxa"/>
            </w:tcMar>
            <w:tcW w:w="1233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gridSpan w:val="4"/>
            <w:tcMar>
              <w:left w:w="57" w:type="dxa"/>
              <w:right w:w="57" w:type="dxa"/>
            </w:tcMar>
            <w:tcW w:w="7650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 включая НДС: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Mar>
              <w:left w:w="57" w:type="dxa"/>
              <w:right w:w="57" w:type="dxa"/>
            </w:tcMar>
            <w:tcW w:w="2509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0"/>
        </w:trPr>
        <w:tc>
          <w:tcPr>
            <w:gridSpan w:val="4"/>
            <w:tcMar>
              <w:left w:w="57" w:type="dxa"/>
              <w:right w:w="57" w:type="dxa"/>
            </w:tcMar>
            <w:tcW w:w="7650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 НДС: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Mar>
              <w:left w:w="57" w:type="dxa"/>
              <w:right w:w="57" w:type="dxa"/>
            </w:tcMar>
            <w:tcW w:w="2509" w:type="dxa"/>
            <w:vAlign w:val="center"/>
            <w:textDirection w:val="lrTb"/>
            <w:noWrap/>
          </w:tcPr>
          <w:p>
            <w:r/>
            <w:r/>
          </w:p>
        </w:tc>
      </w:tr>
    </w:tbl>
    <w:p>
      <w:pPr>
        <w:jc w:val="both"/>
        <w:tabs>
          <w:tab w:val="left" w:pos="793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*НДС 5 % на основании п. 8 ст. 164 Налогового кодекса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tabs>
          <w:tab w:val="left" w:pos="793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**Право на использование, программного обеспечения и лицензий НДС не облагаются в соответствии со ст. 149 Налогового кодекса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tabs>
          <w:tab w:val="left" w:pos="7938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4995"/>
        <w:gridCol w:w="959"/>
        <w:gridCol w:w="4219"/>
      </w:tblGrid>
      <w:tr>
        <w:trPr>
          <w:jc w:val="center"/>
        </w:trPr>
        <w:tc>
          <w:tcPr>
            <w:tcW w:w="4995" w:type="dxa"/>
            <w:textDirection w:val="lrTb"/>
            <w:noWrap w:val="false"/>
          </w:tcPr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ind w:firstLine="26"/>
              <w:jc w:val="both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iCs/>
                <w:lang w:eastAsia="en-US"/>
              </w:rPr>
              <w:t xml:space="preserve">М.П.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4219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88" w:leader="none"/>
              </w:tabs>
            </w:pPr>
            <w:r/>
            <w:r/>
          </w:p>
          <w:p>
            <w:pPr>
              <w:jc w:val="both"/>
              <w:widowControl w:val="off"/>
              <w:tabs>
                <w:tab w:val="left" w:pos="788" w:leader="none"/>
              </w:tabs>
            </w:pPr>
            <w:r/>
            <w:r/>
          </w:p>
          <w:p>
            <w:pPr>
              <w:jc w:val="both"/>
              <w:widowControl w:val="off"/>
              <w:tabs>
                <w:tab w:val="left" w:pos="788" w:leader="none"/>
              </w:tabs>
            </w:pPr>
            <w:r/>
            <w:r/>
          </w:p>
          <w:p>
            <w:pPr>
              <w:ind w:firstLine="26"/>
              <w:jc w:val="both"/>
              <w:spacing w:line="256" w:lineRule="auto"/>
            </w:pPr>
            <w:r>
              <w:t xml:space="preserve">________________ О.Н. Гулый</w:t>
            </w:r>
            <w:r/>
          </w:p>
          <w:p>
            <w:pPr>
              <w:jc w:val="both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iCs/>
                <w:lang w:eastAsia="en-US"/>
              </w:rPr>
              <w:t xml:space="preserve">М.П.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</w:tbl>
    <w:p>
      <w:pPr>
        <w:jc w:val="both"/>
        <w:tabs>
          <w:tab w:val="left" w:pos="7938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tabs>
          <w:tab w:val="left" w:pos="7938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975" w:leader="none"/>
          <w:tab w:val="left" w:pos="5745" w:leader="none"/>
        </w:tabs>
        <w:rPr>
          <w:sz w:val="20"/>
          <w:szCs w:val="20"/>
        </w:rPr>
      </w:pPr>
      <w:r>
        <w:rPr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bCs/>
        </w:rPr>
      </w:pPr>
      <w:r>
        <w:rPr>
          <w:bCs/>
        </w:rPr>
        <w:t xml:space="preserve">Приложение № 2</w:t>
      </w:r>
      <w:r>
        <w:rPr>
          <w:bCs/>
        </w:rPr>
      </w:r>
      <w:r>
        <w:rPr>
          <w:bCs/>
        </w:rPr>
      </w:r>
    </w:p>
    <w:p>
      <w:pPr>
        <w:jc w:val="right"/>
        <w:rPr>
          <w:b/>
        </w:rPr>
      </w:pPr>
      <w:r>
        <w:rPr>
          <w:bCs/>
        </w:rPr>
        <w:t xml:space="preserve">к Договору № </w:t>
      </w:r>
      <w:r>
        <w:t xml:space="preserve">А-</w:t>
      </w:r>
      <w:r>
        <w:rPr>
          <w:lang w:val="en-US"/>
        </w:rPr>
        <w:t xml:space="preserve">__________</w:t>
      </w:r>
      <w:r>
        <w:t xml:space="preserve">/202</w:t>
      </w:r>
      <w:r>
        <w:t xml:space="preserve">6</w:t>
      </w:r>
      <w:r>
        <w:t xml:space="preserve">/</w:t>
      </w:r>
      <w:r>
        <w:rPr>
          <w:b/>
        </w:rPr>
        <w:t xml:space="preserve"> </w:t>
      </w:r>
      <w:r>
        <w:rPr>
          <w:b/>
        </w:rPr>
        <w:t xml:space="preserve">/ _</w:t>
      </w:r>
      <w:r>
        <w:rPr>
          <w:b/>
          <w:lang w:val="en-US"/>
        </w:rPr>
        <w:t xml:space="preserve">_______</w:t>
      </w:r>
      <w:r>
        <w:rPr>
          <w:b/>
        </w:rPr>
        <w:t xml:space="preserve">_______________________</w:t>
      </w:r>
      <w:r>
        <w:rPr>
          <w:b/>
        </w:rPr>
      </w:r>
      <w:r>
        <w:rPr>
          <w:b/>
        </w:rPr>
      </w:r>
    </w:p>
    <w:p>
      <w:pPr>
        <w:jc w:val="right"/>
      </w:pPr>
      <w:r>
        <w:rPr>
          <w:bCs/>
        </w:rPr>
        <w:t xml:space="preserve">от "</w:t>
      </w:r>
      <w:r>
        <w:rPr>
          <w:bCs/>
        </w:rPr>
        <w:t xml:space="preserve">___</w:t>
      </w:r>
      <w:r>
        <w:rPr>
          <w:bCs/>
        </w:rPr>
        <w:t xml:space="preserve">_</w:t>
      </w:r>
      <w:r>
        <w:rPr>
          <w:bCs/>
        </w:rPr>
        <w:t xml:space="preserve">" </w:t>
      </w:r>
      <w:r>
        <w:rPr>
          <w:bCs/>
        </w:rPr>
        <w:t xml:space="preserve">сентября</w:t>
      </w:r>
      <w:r>
        <w:rPr>
          <w:bCs/>
        </w:rPr>
        <w:t xml:space="preserve"> 202</w:t>
      </w:r>
      <w:r>
        <w:rPr>
          <w:bCs/>
        </w:rPr>
        <w:t xml:space="preserve">6</w:t>
      </w:r>
      <w:r>
        <w:rPr>
          <w:bCs/>
        </w:rPr>
        <w:t xml:space="preserve"> </w:t>
      </w:r>
      <w:r>
        <w:rPr>
          <w:bCs/>
        </w:rPr>
        <w:t xml:space="preserve">г.</w:t>
      </w:r>
      <w:r/>
    </w:p>
    <w:p>
      <w:pPr>
        <w:ind w:right="-45"/>
        <w:jc w:val="center"/>
        <w:tabs>
          <w:tab w:val="left" w:pos="0" w:leader="none"/>
        </w:tabs>
        <w:rPr>
          <w:rFonts w:cs="Times New Roman"/>
          <w:b/>
          <w:bCs/>
          <w:caps/>
          <w:color w:val="000000"/>
          <w:highlight w:val="none"/>
          <w:lang w:eastAsia="en-US"/>
        </w:rPr>
      </w:pPr>
      <w:r>
        <w:rPr>
          <w:rFonts w:cs="Times New Roman"/>
          <w:b/>
          <w:bCs/>
          <w:caps/>
          <w:color w:val="000000"/>
          <w:highlight w:val="none"/>
          <w:lang w:eastAsia="en-US"/>
        </w:rPr>
      </w:r>
      <w:r>
        <w:rPr>
          <w:rFonts w:cs="Times New Roman"/>
          <w:b/>
          <w:bCs/>
          <w:caps/>
          <w:color w:val="000000"/>
          <w:highlight w:val="none"/>
          <w:lang w:eastAsia="en-US"/>
        </w:rPr>
      </w:r>
      <w:r>
        <w:rPr>
          <w:rFonts w:cs="Times New Roman"/>
          <w:b/>
          <w:bCs/>
          <w:caps/>
          <w:color w:val="000000"/>
          <w:highlight w:val="none"/>
          <w:lang w:eastAsia="en-US"/>
        </w:rPr>
      </w:r>
    </w:p>
    <w:p>
      <w:pPr>
        <w:ind w:right="-45"/>
        <w:jc w:val="center"/>
        <w:tabs>
          <w:tab w:val="left" w:pos="0" w:leader="none"/>
        </w:tabs>
        <w:rPr>
          <w:rFonts w:cs="Times New Roman"/>
          <w:b/>
          <w:bCs/>
          <w:caps/>
          <w:color w:val="000000"/>
          <w:highlight w:val="none"/>
          <w:lang w:eastAsia="en-US"/>
        </w:rPr>
      </w:pPr>
      <w:r>
        <w:rPr>
          <w:rFonts w:cs="Times New Roman"/>
          <w:b/>
          <w:bCs/>
          <w:caps/>
          <w:color w:val="000000"/>
          <w:lang w:eastAsia="en-US"/>
        </w:rPr>
        <w:t xml:space="preserve">ТЕХНИЧЕСКОЕ ЗАДАНИЕ</w:t>
      </w:r>
      <w:r>
        <w:rPr>
          <w:rFonts w:cs="Times New Roman"/>
          <w:b/>
          <w:bCs/>
          <w:caps/>
          <w:color w:val="000000"/>
          <w:highlight w:val="none"/>
          <w:lang w:eastAsia="en-US"/>
        </w:rPr>
      </w:r>
      <w:r>
        <w:rPr>
          <w:rFonts w:cs="Times New Roman"/>
          <w:b/>
          <w:bCs/>
          <w:caps/>
          <w:color w:val="000000"/>
          <w:highlight w:val="none"/>
          <w:lang w:eastAsia="en-US"/>
        </w:rPr>
      </w:r>
    </w:p>
    <w:p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оказание услуг по аттестации </w:t>
      </w:r>
      <w:r>
        <w:rPr>
          <w:rFonts w:cs="Times New Roman"/>
          <w:b/>
        </w:rPr>
        <w:br/>
        <w:t xml:space="preserve">информационных систем </w:t>
      </w:r>
      <w:r>
        <w:rPr>
          <w:rFonts w:cs="Times New Roman"/>
          <w:b/>
        </w:rPr>
        <w:t xml:space="preserve">ФКУ Упрдор "Новороссия"</w:t>
      </w:r>
      <w:r>
        <w:rPr>
          <w:rFonts w:cs="Times New Roman"/>
          <w:b/>
        </w:rPr>
        <w:t xml:space="preserve"> и поставке средств защиты информации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Наименование объекта закупки: </w:t>
      </w:r>
      <w:r>
        <w:rPr>
          <w:rFonts w:cs="Times New Roman"/>
          <w:b/>
        </w:rPr>
        <w:t xml:space="preserve">"</w:t>
      </w:r>
      <w:r>
        <w:rPr>
          <w:rFonts w:cs="Times New Roman"/>
          <w:bCs/>
        </w:rPr>
        <w:t xml:space="preserve">Оказание комплекса специальных научно-технических услуг в области информационной безопасности по проведению аттестации объекта информатизации</w:t>
      </w:r>
      <w:r>
        <w:rPr>
          <w:rFonts w:cs="Times New Roman"/>
          <w:bCs/>
        </w:rPr>
        <w:t xml:space="preserve"> и поставке средств защиты информации</w:t>
      </w:r>
      <w:r>
        <w:rPr>
          <w:rFonts w:cs="Times New Roman"/>
          <w:b/>
        </w:rPr>
        <w:t xml:space="preserve">"</w:t>
      </w:r>
      <w:r>
        <w:rPr>
          <w:rFonts w:cs="Times New Roman"/>
          <w:bCs/>
        </w:rPr>
        <w:t xml:space="preserve">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</w:rPr>
      </w:pPr>
      <w:r>
        <w:rPr>
          <w:rFonts w:cs="Times New Roman"/>
          <w:bCs/>
        </w:rPr>
        <w:t xml:space="preserve">ОКПД2: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74.90.20.149 - Услуги (работы) в области защиты информации прочие 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26.20.40.140 - Средства защиты информации, а также информационные и</w:t>
      </w:r>
      <w:r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телекоммуникационные системы, защищенные с использованием средств защиты информации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Срок оказания услуг: в течение </w:t>
      </w:r>
      <w:r>
        <w:rPr>
          <w:rFonts w:cs="Times New Roman"/>
          <w:bCs/>
        </w:rPr>
        <w:t xml:space="preserve">60</w:t>
      </w:r>
      <w:r>
        <w:rPr>
          <w:rFonts w:cs="Times New Roman"/>
          <w:bCs/>
        </w:rPr>
        <w:t xml:space="preserve"> (</w:t>
      </w:r>
      <w:r>
        <w:rPr>
          <w:rFonts w:cs="Times New Roman"/>
          <w:bCs/>
        </w:rPr>
        <w:t xml:space="preserve">шестидесяти</w:t>
      </w:r>
      <w:r>
        <w:rPr>
          <w:rFonts w:cs="Times New Roman"/>
          <w:bCs/>
        </w:rPr>
        <w:t xml:space="preserve">) рабочих дней с даты заключения</w:t>
      </w:r>
      <w:r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договора.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93"/>
        <w:numPr>
          <w:ilvl w:val="0"/>
          <w:numId w:val="50"/>
        </w:numPr>
        <w:ind w:left="0" w:firstLine="709"/>
        <w:widowControl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Цел</w:t>
      </w:r>
      <w:r>
        <w:rPr>
          <w:rFonts w:cs="Times New Roman"/>
          <w:b/>
          <w:bCs/>
        </w:rPr>
        <w:t xml:space="preserve">и</w:t>
      </w:r>
      <w:r>
        <w:rPr>
          <w:rFonts w:cs="Times New Roman"/>
          <w:b/>
          <w:bCs/>
        </w:rPr>
        <w:t xml:space="preserve"> оказания услуг:</w:t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pStyle w:val="993"/>
        <w:ind w:left="0" w:firstLine="709"/>
        <w:jc w:val="both"/>
        <w:widowControl/>
        <w:rPr>
          <w:rFonts w:cs="Times New Roman"/>
          <w:bCs/>
        </w:rPr>
      </w:pPr>
      <w:r>
        <w:rPr>
          <w:rFonts w:cs="Times New Roman"/>
          <w:bCs/>
        </w:rPr>
        <w:t xml:space="preserve">П</w:t>
      </w:r>
      <w:r>
        <w:rPr>
          <w:rFonts w:cs="Times New Roman"/>
          <w:bCs/>
        </w:rPr>
        <w:t xml:space="preserve">роведение аттестационных испытаний для определения соответствия объекта</w:t>
      </w:r>
      <w:r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информатизации требованиям законодательства по защите информации ограниченного доступа, не содержащей сведений, составляющих государственную тайну</w:t>
      </w:r>
      <w:r>
        <w:rPr>
          <w:rFonts w:cs="Times New Roman"/>
          <w:bCs/>
        </w:rPr>
        <w:t xml:space="preserve">; </w:t>
      </w:r>
      <w:r>
        <w:rPr>
          <w:rFonts w:cs="Times New Roman"/>
          <w:bCs/>
        </w:rPr>
        <w:t xml:space="preserve">поставка средств защиты информации.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/>
        </w:rPr>
      </w:pPr>
      <w:r>
        <w:rPr>
          <w:rFonts w:cs="Times New Roman"/>
          <w:b/>
        </w:rPr>
        <w:t xml:space="preserve">1.1 </w:t>
      </w:r>
      <w:r>
        <w:rPr>
          <w:rFonts w:cs="Times New Roman"/>
          <w:b/>
        </w:rPr>
        <w:t xml:space="preserve">Услуги по п</w:t>
      </w:r>
      <w:r>
        <w:rPr>
          <w:rFonts w:cs="Times New Roman"/>
          <w:b/>
        </w:rPr>
        <w:t xml:space="preserve">роведени</w:t>
      </w:r>
      <w:r>
        <w:rPr>
          <w:rFonts w:cs="Times New Roman"/>
          <w:b/>
        </w:rPr>
        <w:t xml:space="preserve">ю</w:t>
      </w:r>
      <w:r>
        <w:rPr>
          <w:rFonts w:cs="Times New Roman"/>
          <w:b/>
        </w:rPr>
        <w:t xml:space="preserve"> аттестации объекта информатизации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</w:rPr>
      </w:pPr>
      <w:r>
        <w:rPr>
          <w:rFonts w:cs="Times New Roman"/>
          <w:bCs/>
        </w:rPr>
        <w:t xml:space="preserve">Целью оказания услуги является проведение работ по аттестации информационн</w:t>
      </w:r>
      <w:r>
        <w:rPr>
          <w:rFonts w:cs="Times New Roman"/>
          <w:bCs/>
        </w:rPr>
        <w:t xml:space="preserve">ых</w:t>
      </w:r>
      <w:r>
        <w:rPr>
          <w:rFonts w:cs="Times New Roman"/>
          <w:bCs/>
        </w:rPr>
        <w:t xml:space="preserve"> систем </w:t>
      </w:r>
      <w:r>
        <w:rPr>
          <w:rFonts w:cs="Times New Roman"/>
          <w:bCs/>
        </w:rPr>
        <w:t xml:space="preserve">ФКУ Упрдор "Новороссия" </w:t>
      </w:r>
      <w:r>
        <w:rPr>
          <w:rFonts w:cs="Times New Roman"/>
          <w:bCs/>
        </w:rPr>
        <w:t xml:space="preserve">(далее — Заказчик)</w:t>
      </w:r>
      <w:r>
        <w:rPr>
          <w:rFonts w:cs="Times New Roman"/>
          <w:bCs/>
        </w:rPr>
        <w:t xml:space="preserve"> на соответствие требованиям по информационной безопасности</w:t>
      </w:r>
      <w:r>
        <w:rPr>
          <w:rFonts w:cs="Times New Roman"/>
          <w:bCs/>
        </w:rPr>
        <w:t xml:space="preserve">. 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работ Исполнителем проводятся: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Информационное обследование объекта информатизации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проектов организационной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</w:t>
      </w:r>
      <w:r>
        <w:rPr>
          <w:rFonts w:ascii="Times New Roman" w:hAnsi="Times New Roman" w:cs="Times New Roman"/>
          <w:sz w:val="24"/>
          <w:szCs w:val="24"/>
        </w:rPr>
        <w:t xml:space="preserve"> программы и методики проведения испытаний;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Испытание объекта информатизации на соответствие организационным и режимным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Испытание объекта информатизации на соответствие требованиям по защите информации от утечки за счет несанкционированного доступа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заключения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проведения аттестационных испытаний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</w:rPr>
      </w:pPr>
      <w:r>
        <w:rPr>
          <w:rFonts w:cs="Times New Roman"/>
        </w:rPr>
        <w:t xml:space="preserve">По результатам работ Исполнитель выдает Аттестат</w:t>
      </w:r>
      <w:r>
        <w:rPr>
          <w:rFonts w:cs="Times New Roman"/>
        </w:rPr>
        <w:t xml:space="preserve"> (в случае подтверждения соответствия объекта информатизации требования по безопасности информации)</w:t>
      </w:r>
      <w:r>
        <w:rPr>
          <w:rFonts w:cs="Times New Roman"/>
        </w:rPr>
        <w:t xml:space="preserve"> соответствия требованиям по защите информации на объект информатизации.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contextualSpacing w:val="0"/>
        <w:ind w:left="0" w:firstLine="709"/>
        <w:spacing w:after="12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Услуги по п</w:t>
      </w:r>
      <w:r>
        <w:rPr>
          <w:rFonts w:ascii="Times New Roman" w:hAnsi="Times New Roman" w:cs="Times New Roman"/>
          <w:b/>
          <w:sz w:val="24"/>
          <w:szCs w:val="24"/>
        </w:rPr>
        <w:t xml:space="preserve">оставк</w:t>
      </w:r>
      <w:r>
        <w:rPr>
          <w:rFonts w:ascii="Times New Roman" w:hAnsi="Times New Roman" w:cs="Times New Roman"/>
          <w:b/>
          <w:sz w:val="24"/>
          <w:szCs w:val="24"/>
        </w:rPr>
        <w:t xml:space="preserve">е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средств защиты информации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Целью оказания услуги является</w:t>
      </w:r>
      <w:r>
        <w:rPr>
          <w:rFonts w:cs="Times New Roman"/>
          <w:bCs/>
        </w:rPr>
        <w:t xml:space="preserve"> поставка средств защиты информации в соответствии с таблицей 1.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tbl>
      <w:tblPr>
        <w:tblStyle w:val="1071"/>
        <w:tblW w:w="9918" w:type="dxa"/>
        <w:tblLook w:val="04A0" w:firstRow="1" w:lastRow="0" w:firstColumn="1" w:lastColumn="0" w:noHBand="0" w:noVBand="1"/>
      </w:tblPr>
      <w:tblGrid>
        <w:gridCol w:w="6091"/>
        <w:gridCol w:w="3827"/>
      </w:tblGrid>
      <w:tr>
        <w:trPr/>
        <w:tc>
          <w:tcPr>
            <w:tcW w:w="6091" w:type="dxa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091" w:type="dxa"/>
            <w:textDirection w:val="lrTb"/>
            <w:noWrap w:val="false"/>
          </w:tcPr>
          <w:p>
            <w:pPr>
              <w:pStyle w:val="109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Программно-аппаратный комплекс "Соболь". Версия 4,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PCIe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 без ФДСЧ, A7, сертификат ФСТЭК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6091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ПАК "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Guardant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 ID" v.2 в составе: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Электронный идентификатор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Guardant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 ID 2.0 ндв2;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Копия Сертификата ФСТЭК России;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Формуляр.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346"/>
        </w:trPr>
        <w:tc>
          <w:tcPr>
            <w:tcW w:w="6091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Kaspersky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Стандартный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Certified media Pack Russian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Edition Media Pack 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Установочный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</w:tr>
    </w:tbl>
    <w:p>
      <w:pPr>
        <w:pStyle w:val="1098"/>
        <w:ind w:left="709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98"/>
        <w:ind w:left="709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98"/>
        <w:ind w:left="709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98"/>
        <w:numPr>
          <w:ilvl w:val="0"/>
          <w:numId w:val="50"/>
        </w:numPr>
        <w:ind w:left="0" w:firstLine="70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</w:t>
      </w:r>
      <w:r>
        <w:rPr>
          <w:rFonts w:ascii="Times New Roman" w:hAnsi="Times New Roman" w:cs="Times New Roman"/>
          <w:b/>
          <w:sz w:val="24"/>
          <w:szCs w:val="24"/>
        </w:rPr>
        <w:t xml:space="preserve">ИС</w:t>
      </w:r>
      <w:r>
        <w:rPr>
          <w:rFonts w:ascii="Times New Roman" w:hAnsi="Times New Roman" w:cs="Times New Roman"/>
          <w:b/>
          <w:sz w:val="24"/>
          <w:szCs w:val="24"/>
        </w:rPr>
        <w:t xml:space="preserve"> Заказчика.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567" w:leader="none"/>
        </w:tabs>
        <w:rPr>
          <w:rFonts w:eastAsia="Calibri" w:cs="Times New Roman"/>
          <w:bCs/>
          <w:color w:val="000000"/>
        </w:rPr>
      </w:pPr>
      <w:r>
        <w:rPr>
          <w:rFonts w:eastAsia="Calibri" w:cs="Times New Roman"/>
          <w:bCs/>
          <w:color w:val="000000"/>
        </w:rPr>
      </w:r>
      <w:r>
        <w:rPr>
          <w:rFonts w:eastAsia="Calibri" w:cs="Times New Roman"/>
          <w:bCs/>
          <w:color w:val="000000"/>
        </w:rPr>
      </w:r>
      <w:r>
        <w:rPr>
          <w:rFonts w:eastAsia="Calibri" w:cs="Times New Roman"/>
          <w:bCs/>
          <w:color w:val="000000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bCs/>
          <w:color w:val="000000"/>
        </w:rPr>
        <w:t xml:space="preserve">К ИС Заказчика </w:t>
      </w:r>
      <w:r>
        <w:rPr>
          <w:rFonts w:eastAsia="Calibri" w:cs="Times New Roman"/>
          <w:bCs/>
        </w:rPr>
        <w:t xml:space="preserve">предъявляются требования класса К1, в соответствии с Приказом ФСТЭК России № 117 от 11.04.2025</w:t>
      </w:r>
      <w:r>
        <w:rPr>
          <w:rFonts w:eastAsia="Calibri" w:cs="Times New Roman"/>
          <w:bCs/>
          <w:color w:val="000000"/>
        </w:rPr>
        <w:t xml:space="preserve">.</w:t>
      </w:r>
      <w:r>
        <w:rPr>
          <w:rFonts w:cs="Times New Roman"/>
        </w:rPr>
      </w:r>
      <w:r>
        <w:rPr>
          <w:rFonts w:cs="Times New Roman"/>
        </w:rPr>
      </w:r>
    </w:p>
    <w:p>
      <w:pPr>
        <w:rPr>
          <w:rFonts w:cs="Times New Roman"/>
        </w:rPr>
      </w:pPr>
      <w:r>
        <w:rPr>
          <w:rFonts w:cs="Times New Roman"/>
          <w:bCs/>
        </w:rPr>
        <w:tab/>
        <w:t xml:space="preserve">Описание аттестуемой </w:t>
      </w:r>
      <w:r>
        <w:rPr>
          <w:rFonts w:eastAsia="Calibri" w:cs="Times New Roman"/>
          <w:bCs/>
          <w:color w:val="000000"/>
        </w:rPr>
        <w:t xml:space="preserve">ИС </w:t>
      </w:r>
      <w:r>
        <w:rPr>
          <w:rFonts w:cs="Times New Roman"/>
          <w:bCs/>
        </w:rPr>
        <w:t xml:space="preserve">представлено в таблице </w:t>
      </w:r>
      <w:r>
        <w:rPr>
          <w:rFonts w:cs="Times New Roman"/>
          <w:bCs/>
        </w:rPr>
        <w:t xml:space="preserve">2</w:t>
      </w:r>
      <w:r>
        <w:rPr>
          <w:rFonts w:cs="Times New Roman"/>
          <w:bCs/>
        </w:rPr>
        <w:t xml:space="preserve">.</w:t>
      </w:r>
      <w:r>
        <w:rPr>
          <w:rFonts w:cs="Times New Roman"/>
        </w:rPr>
      </w:r>
      <w:r>
        <w:rPr>
          <w:rFonts w:cs="Times New Roman"/>
        </w:rPr>
      </w:r>
    </w:p>
    <w:p>
      <w:pPr>
        <w:rPr>
          <w:rFonts w:cs="Times New Roman"/>
          <w:bCs/>
        </w:rPr>
      </w:pPr>
      <w:r>
        <w:rPr>
          <w:rFonts w:cs="Times New Roman"/>
          <w:bCs/>
        </w:rPr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rPr>
          <w:rFonts w:cs="Times New Roman"/>
        </w:rPr>
      </w:pPr>
      <w:r>
        <w:rPr>
          <w:rFonts w:cs="Times New Roman"/>
          <w:bCs/>
        </w:rPr>
        <w:t xml:space="preserve">Таблица </w:t>
      </w:r>
      <w:r>
        <w:rPr>
          <w:rFonts w:cs="Times New Roman"/>
          <w:bCs/>
        </w:rPr>
        <w:t xml:space="preserve">2</w:t>
      </w:r>
      <w:r>
        <w:rPr>
          <w:rFonts w:cs="Times New Roman"/>
          <w:bCs/>
        </w:rPr>
        <w:t xml:space="preserve"> - Описание аттестуемых ГИС</w:t>
      </w:r>
      <w:r>
        <w:rPr>
          <w:rFonts w:cs="Times New Roman"/>
        </w:rPr>
      </w:r>
      <w:r>
        <w:rPr>
          <w:rFonts w:cs="Times New Roman"/>
        </w:rPr>
      </w:r>
    </w:p>
    <w:tbl>
      <w:tblPr>
        <w:tblW w:w="10348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5" w:type="dxa"/>
          <w:right w:w="103" w:type="dxa"/>
        </w:tblCellMar>
        <w:tblLook w:val="0000" w:firstRow="0" w:lastRow="0" w:firstColumn="0" w:lastColumn="0" w:noHBand="0" w:noVBand="0"/>
      </w:tblPr>
      <w:tblGrid>
        <w:gridCol w:w="449"/>
        <w:gridCol w:w="3662"/>
        <w:gridCol w:w="4394"/>
        <w:gridCol w:w="1843"/>
      </w:tblGrid>
      <w:tr>
        <w:trPr/>
        <w:tc>
          <w:tcPr>
            <w:tcW w:w="449" w:type="dxa"/>
            <w:textDirection w:val="lrTb"/>
            <w:noWrap w:val="false"/>
          </w:tcPr>
          <w:p>
            <w:pPr>
              <w:pStyle w:val="1099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№ п/п</w:t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tcW w:w="3662" w:type="dxa"/>
            <w:textDirection w:val="lrTb"/>
            <w:noWrap w:val="false"/>
          </w:tcPr>
          <w:p>
            <w:pPr>
              <w:pStyle w:val="1099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Наименование</w:t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pStyle w:val="1099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ИС</w:t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9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Назначение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99"/>
              <w:ind w:left="136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Кол-во АРМ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449" w:type="dxa"/>
            <w:textDirection w:val="lrTb"/>
            <w:noWrap w:val="false"/>
          </w:tcPr>
          <w:p>
            <w:pPr>
              <w:pStyle w:val="1099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themeColor="background1" w:fill="ffffff" w:themeFill="background1"/>
            <w:tcW w:w="3662" w:type="dxa"/>
            <w:textDirection w:val="lrTb"/>
            <w:noWrap w:val="false"/>
          </w:tcPr>
          <w:p>
            <w:pPr>
              <w:pStyle w:val="1099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  <w:t xml:space="preserve">А</w:t>
            </w:r>
            <w:r>
              <w:rPr>
                <w:rFonts w:cs="Times New Roman"/>
                <w:sz w:val="22"/>
                <w:szCs w:val="22"/>
              </w:rPr>
              <w:t xml:space="preserve">втоматизированная информационная система </w:t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</w:p>
          <w:p>
            <w:pPr>
              <w:pStyle w:val="1099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«АРМ ДСП»</w:t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9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Хранение и обработка </w:t>
            </w:r>
            <w:r>
              <w:rPr>
                <w:rFonts w:cs="Times New Roman"/>
                <w:sz w:val="22"/>
                <w:szCs w:val="22"/>
              </w:rPr>
              <w:t xml:space="preserve">информации с ограничительной пометкой «Для служебного пользования»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99"/>
              <w:ind w:left="136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cs="Times New Roman"/>
                <w:sz w:val="22"/>
                <w:szCs w:val="22"/>
                <w:lang w:val="en-US"/>
              </w:rPr>
            </w:r>
            <w:r>
              <w:rPr>
                <w:rFonts w:cs="Times New Roman"/>
                <w:sz w:val="22"/>
                <w:szCs w:val="22"/>
                <w:lang w:val="en-US"/>
              </w:rPr>
            </w:r>
          </w:p>
        </w:tc>
      </w:tr>
    </w:tbl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составе ИС Заказчика применяются сертифицированные ФСТЭК России СЗИ, представленные в таблице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tabs>
          <w:tab w:val="left" w:pos="567" w:leader="none"/>
        </w:tabs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</w:r>
      <w:r>
        <w:rPr>
          <w:rFonts w:cs="Times New Roman"/>
          <w:bCs/>
          <w:color w:val="000000"/>
        </w:rPr>
      </w:r>
      <w:r>
        <w:rPr>
          <w:rFonts w:cs="Times New Roman"/>
          <w:bCs/>
          <w:color w:val="000000"/>
        </w:rPr>
      </w:r>
    </w:p>
    <w:p>
      <w:pPr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  <w:bCs/>
          <w:color w:val="000000"/>
        </w:rPr>
        <w:t xml:space="preserve">Таблица </w:t>
      </w:r>
      <w:r>
        <w:rPr>
          <w:rFonts w:cs="Times New Roman"/>
          <w:bCs/>
          <w:color w:val="000000"/>
        </w:rPr>
        <w:t xml:space="preserve">3</w:t>
      </w:r>
      <w:r>
        <w:rPr>
          <w:rFonts w:cs="Times New Roman"/>
          <w:bCs/>
          <w:color w:val="000000"/>
        </w:rPr>
        <w:t xml:space="preserve"> – Перечень сертифицированных ФСТЭК России СЗИ</w:t>
      </w:r>
      <w:r>
        <w:rPr>
          <w:rFonts w:cs="Times New Roman"/>
        </w:rPr>
      </w:r>
      <w:r>
        <w:rPr>
          <w:rFonts w:cs="Times New Roman"/>
        </w:rPr>
      </w:r>
    </w:p>
    <w:tbl>
      <w:tblPr>
        <w:tblW w:w="102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2"/>
        <w:gridCol w:w="4553"/>
        <w:gridCol w:w="4706"/>
      </w:tblGrid>
      <w:tr>
        <w:trPr>
          <w:trHeight w:val="7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52" w:type="dxa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53" w:type="dxa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Наименование СЗИ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6" w:type="dxa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Сведения о сертификате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52" w:type="dxa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53" w:type="dxa"/>
            <w:textDirection w:val="lrTb"/>
            <w:noWrap w:val="false"/>
          </w:tcPr>
          <w:p>
            <w:pPr>
              <w:rPr>
                <w:rFonts w:cs="Times New Roman"/>
              </w:rPr>
            </w:pPr>
            <w:r>
              <w:t xml:space="preserve">Операционная система специального назначения "Astra Linux Special Edition" для 64-х разрядной платформы на базе процессорной архитектуры х86-64, уровень защищенности "Максимальный" ("Смоленск")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6" w:type="dxa"/>
            <w:textDirection w:val="lrTb"/>
            <w:noWrap w:val="false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  <w:lang w:eastAsia="en-US" w:bidi="ar-SA"/>
              </w:rPr>
              <w:t xml:space="preserve">Сертификат соответствия ФСТЭК России № 2557 действителен 27.01.2031 </w:t>
            </w:r>
            <w:r>
              <w:rPr>
                <w:rFonts w:eastAsia="Calibri" w:cs="Times New Roman"/>
                <w:bCs/>
                <w:lang w:eastAsia="en-US" w:bidi="ar-SA"/>
              </w:rPr>
              <w:t xml:space="preserve">(для обновления 1.8)</w:t>
            </w:r>
            <w:r>
              <w:rPr>
                <w:rFonts w:eastAsia="Calibri" w:cs="Times New Roman"/>
                <w:lang w:eastAsia="en-US" w:bidi="ar-SA"/>
              </w:rPr>
              <w:t xml:space="preserve">.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1098"/>
        <w:ind w:left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98"/>
        <w:numPr>
          <w:ilvl w:val="0"/>
          <w:numId w:val="50"/>
        </w:numPr>
        <w:ind w:left="0" w:firstLine="70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Исполнителю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98"/>
        <w:numPr>
          <w:ilvl w:val="1"/>
          <w:numId w:val="5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наличию у исполнителя лицензий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rPr>
          <w:rFonts w:cs="Times New Roman"/>
        </w:rPr>
      </w:pPr>
      <w:r>
        <w:rPr>
          <w:rFonts w:cs="Times New Roman"/>
          <w:bCs/>
        </w:rPr>
        <w:t xml:space="preserve">Исполнитель должен соответствовать требованиям, устанавливаемым в соответствии с законодательством Российской Федерации к лицам, осуществляющим проведение работ по предмету торгов, в том числе иметь действующие лицензии: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numPr>
          <w:ilvl w:val="0"/>
          <w:numId w:val="45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Лицензию ФСТЭК России на осуществление деятельности по технической защите конфиденциальной информации, в соответствии с пунктом 5 час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ти 1 статьи 12 Федерального закона от 04.05.2011 № 99-ФЗ «О лицензировании отдельных видов деятельности», постановлением Правительства Российской Федерации от 03.02.2012 № 79 «О лицензировании деятельности по технической защите конфиденциальной информации»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ind w:left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1"/>
          <w:numId w:val="5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персоналу Исполнителя и его квалификации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штате Исполнителя должно быть </w:t>
      </w:r>
      <w:r>
        <w:rPr>
          <w:rFonts w:ascii="Times New Roman" w:hAnsi="Times New Roman" w:cs="Times New Roman"/>
          <w:sz w:val="24"/>
          <w:szCs w:val="24"/>
        </w:rPr>
        <w:t xml:space="preserve">не менее 3 (трех) квалифицированных сотрудников, имеющих высшее профессиональное образование (профессиональную переподготовку в объеме не менее 250 академических часов) по направлению информационной безопасности.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cs="Times New Roman"/>
          <w:bCs/>
        </w:rPr>
        <w:t xml:space="preserve">Квалификация сотрудников подтверждается на этапе рассмотрения заявок предоставлением </w:t>
      </w:r>
      <w:r>
        <w:rPr>
          <w:rFonts w:cs="Times New Roman"/>
        </w:rPr>
        <w:t xml:space="preserve">копий дипломов высшего учебного заведения или копий удостоверений о прохождении профессиональной переподготовки; 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дейс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твующими в Российской Федерации нормативными документами персонал Исполнителя должен быть обучен, иметь квалификацию и допуски, необходимые для указанного вида услуг. Исполнитель назначает ответственного за охрану труда и пожарную безопасность на Объекте.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 несёт ответственность за нарушение его персоналом требований охраны труда и требований пожарной безопасности в соответствии с законодательством Российской Федерации.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 несёт имущественную ответственность перед Заказчиком за целостность технических средств, нахо</w:t>
      </w:r>
      <w:r>
        <w:rPr>
          <w:rFonts w:ascii="Times New Roman" w:hAnsi="Times New Roman" w:cs="Times New Roman"/>
          <w:bCs/>
          <w:sz w:val="24"/>
          <w:szCs w:val="24"/>
        </w:rPr>
        <w:t xml:space="preserve">дящихся на территории Заказчика, сохранность их и функциональных свойств. В случае возникновения неисправности технических средств по вине Исполнителя вследствие некачественно проведённой его разборки (сборки) Исполнитель устраняет недостатки за свой счёт.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Весь комплекс услуг (в том числе оборудование для оказания услуг), предусмотренных настоящим техническим заданием, оказывается Исполнителем за свой счет, без дополнительных трат со стороны Заказчика.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Сотрудники Исполнителя, находящиеся на территории Заказчика, должны соблюдать все правила и распорядок, принятым в организации Заказчика.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 в процессе оказания услуг обязан соблюдать требования пропускного и внутри объектового режима, установленного на Объекте Заказчика.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jc w:val="both"/>
        <w:tabs>
          <w:tab w:val="left" w:pos="1134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numPr>
          <w:ilvl w:val="0"/>
          <w:numId w:val="50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оказанию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num" w:pos="0" w:leader="none"/>
          <w:tab w:val="left" w:pos="567" w:leader="none"/>
        </w:tabs>
        <w:rPr>
          <w:rFonts w:cs="Times New Roman"/>
        </w:rPr>
      </w:pPr>
      <w:r>
        <w:rPr>
          <w:rFonts w:cs="Times New Roman"/>
          <w:bCs/>
        </w:rPr>
        <w:t xml:space="preserve">Проведение аттестационных испытаний </w:t>
      </w:r>
      <w:r>
        <w:rPr>
          <w:rFonts w:cs="Times New Roman"/>
        </w:rPr>
        <w:t xml:space="preserve">объект</w:t>
      </w:r>
      <w:r>
        <w:rPr>
          <w:rFonts w:cs="Times New Roman"/>
        </w:rPr>
        <w:t xml:space="preserve">а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информатизации</w:t>
      </w:r>
      <w:r>
        <w:rPr>
          <w:rFonts w:cs="Times New Roman"/>
        </w:rPr>
        <w:t xml:space="preserve"> осуществляется в полном соответствии с </w:t>
      </w:r>
      <w:r>
        <w:rPr>
          <w:rFonts w:cs="Times New Roman"/>
          <w:bCs/>
        </w:rPr>
        <w:t xml:space="preserve">приказом ФСТЭК России № 77 от 29 апреля 2021.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num" w:pos="0" w:leader="none"/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В ходе проведения аттестационных испытаний Исполнителем осуществляется: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технического паспорта на объект информатизации;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соответствия структуры технического паспорта на объект информатизации требованиям действующей нормативно-методической документации по защите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соответствия реального состава и мест размещения технических средств, программного обеспечения и средств защиты информации, сведениям, представленным в техническом паспорте на объект информатизации;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технологического процесса обработки, хранения и передачи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акта </w:t>
      </w:r>
      <w:r>
        <w:rPr>
          <w:rFonts w:ascii="Times New Roman" w:hAnsi="Times New Roman" w:cs="Times New Roman"/>
          <w:sz w:val="24"/>
          <w:szCs w:val="24"/>
        </w:rPr>
        <w:t xml:space="preserve">категорирования ИС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правильности </w:t>
      </w:r>
      <w:r>
        <w:rPr>
          <w:rFonts w:ascii="Times New Roman" w:hAnsi="Times New Roman" w:cs="Times New Roman"/>
          <w:sz w:val="24"/>
          <w:szCs w:val="24"/>
        </w:rPr>
        <w:t xml:space="preserve">категорирования ИС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эксплуатационной документации на систему защиты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состава и содержания эксплуатационной документации на систему защиты информации требованиям о защите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отчета по результатам сканирования уязвимостей объекта информатизации, составленного на этапе внедрения системы защиты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сертификатов соответствия на используемые средства защиты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проверку наличия у владельца объекта информатизации работников, ответственных з</w:t>
      </w:r>
      <w:r>
        <w:rPr>
          <w:rFonts w:ascii="Times New Roman" w:hAnsi="Times New Roman" w:cs="Times New Roman"/>
          <w:sz w:val="24"/>
          <w:szCs w:val="24"/>
        </w:rPr>
        <w:t xml:space="preserve">а обеспечение защиты информации в ходе эксплуатации объекта информатизации, в том числе за проведение оценки угроз безопасности информации, управление (администрирование) системой защиты информации (администраторов безопасности), управление конфигурацией о</w:t>
      </w:r>
      <w:r>
        <w:rPr>
          <w:rFonts w:ascii="Times New Roman" w:hAnsi="Times New Roman" w:cs="Times New Roman"/>
          <w:sz w:val="24"/>
          <w:szCs w:val="24"/>
        </w:rPr>
        <w:t xml:space="preserve">бъекта информатизации, реагирование на инциденты, информирование и обучение персонала, контроль за обеспечением уровня защиты информации, а также проверку достаточности установленных для них обязанностей в соответствии с требованиями по защите информации;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уровня знаний и умений работников, ответственных за обеспечение защиты информации, в соответствии с установленными для них обязанностями в организационно-распорядительной документации;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соответстви</w:t>
      </w:r>
      <w:r>
        <w:rPr>
          <w:rFonts w:ascii="Times New Roman" w:hAnsi="Times New Roman" w:cs="Times New Roman"/>
          <w:sz w:val="24"/>
          <w:szCs w:val="24"/>
        </w:rPr>
        <w:t xml:space="preserve">я принятых на объекте информатизации организационных и технических мер требованиям по защите информации и их достаточности для защиты от актуальных для объекта информатизации угроз безопасности информации, а также их достаточности для выполнения требований</w:t>
      </w:r>
      <w:r>
        <w:rPr>
          <w:rStyle w:val="1094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по: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Идентификация и аутентификация;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Управление доступом;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Регистрация событий безопасности;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виртуализации и облачных вычислений;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технологий контейнерных сред и их </w:t>
      </w:r>
      <w:r>
        <w:rPr>
          <w:rFonts w:eastAsia="Times New Roman" w:cs="Times New Roman"/>
          <w:sz w:val="22"/>
          <w:szCs w:val="20"/>
          <w:lang w:eastAsia="ru-RU" w:bidi="ar-SA"/>
        </w:rPr>
        <w:t xml:space="preserve">оркестрации</w:t>
      </w:r>
      <w:r>
        <w:rPr>
          <w:rFonts w:eastAsia="Times New Roman" w:cs="Times New Roman"/>
          <w:sz w:val="22"/>
          <w:szCs w:val="20"/>
          <w:lang w:eastAsia="ru-RU" w:bidi="ar-SA"/>
        </w:rPr>
        <w:t xml:space="preserve">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сервисов электронной почты;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веб-технологий;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программных интерфейсов взаимодействия приложений (API);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конечных устройств;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мобильных устройств;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технологий «интернета вещей»; 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точек беспроводного доступа;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Антивирусная защита; 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Обнаружение и предотвращение вторжений на сетевом уровне;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Сегментация и межсетевое экранирование; 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от компьютерных атак, направленных на отказ в обслуживании;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93"/>
        <w:numPr>
          <w:ilvl w:val="0"/>
          <w:numId w:val="49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каналов связи и сетевого взаимодействия 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ind w:firstLine="709"/>
        <w:jc w:val="both"/>
        <w:tabs>
          <w:tab w:val="num" w:pos="0" w:leader="none"/>
          <w:tab w:val="left" w:pos="1418" w:leader="none"/>
        </w:tabs>
        <w:rPr>
          <w:rFonts w:eastAsia="Times New Roman" w:cs="Times New Roman"/>
        </w:rPr>
      </w:pPr>
      <w:r>
        <w:rPr>
          <w:rFonts w:eastAsia="Times New Roman" w:cs="Times New Roman"/>
        </w:rPr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ind w:firstLine="709"/>
        <w:jc w:val="both"/>
        <w:tabs>
          <w:tab w:val="num" w:pos="0" w:leader="none"/>
          <w:tab w:val="left" w:pos="1418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В ходе проведения аттестационных испытаний, в случае выявления недостатков в параметрах и конфигурациях применяемых СЗИ, Исполнителем осуществляется их корректировка (настройка) в соответствии с установленными для </w:t>
      </w:r>
      <w:r>
        <w:rPr>
          <w:rFonts w:eastAsia="Times New Roman" w:cs="Times New Roman"/>
        </w:rPr>
        <w:t xml:space="preserve">объекта информатизации</w:t>
      </w:r>
      <w:r>
        <w:rPr>
          <w:rFonts w:eastAsia="Times New Roman" w:cs="Times New Roman"/>
        </w:rPr>
        <w:t xml:space="preserve"> требованиями, своими силами.</w:t>
      </w:r>
      <w:bookmarkStart w:id="0" w:name="undefined"/>
      <w:r/>
      <w:bookmarkEnd w:id="0"/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num" w:pos="0" w:leader="none"/>
          <w:tab w:val="left" w:pos="1134" w:leader="none"/>
        </w:tabs>
        <w:rPr>
          <w:rFonts w:cs="Times New Roman"/>
        </w:rPr>
      </w:pPr>
      <w:r>
        <w:rPr>
          <w:rFonts w:cs="Times New Roman"/>
          <w:bCs/>
        </w:rPr>
        <w:t xml:space="preserve">Протокол(ы) и заключение по результатам аттестационных испытаний передаются Заказчику в бумажном, сброшюрованном виде и в электронном, редактируемом виде, на машинном носителе информации.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num" w:pos="0" w:leader="none"/>
          <w:tab w:val="left" w:pos="1134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Аттестат соответствия передается Заказчику в бумажном, сброшюрованном виде.</w:t>
      </w:r>
      <w:r>
        <w:rPr>
          <w:rFonts w:cs="Times New Roman"/>
          <w:bCs/>
        </w:rPr>
        <w:br/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pStyle w:val="1098"/>
        <w:numPr>
          <w:ilvl w:val="0"/>
          <w:numId w:val="50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методам оказания услуг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98"/>
        <w:ind w:left="0" w:firstLine="709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ходе проведения аттестационных испытаний должны применяться следующие методы: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43"/>
        </w:numPr>
        <w:ind w:left="0"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экспертно-документальный метод, предусматривающий проверку соответствия системы защиты информации объекта вычислительной техники установленным требованиям по безопасности информации на основе экспертной оценки в представленных док</w:t>
      </w:r>
      <w:r>
        <w:rPr>
          <w:rFonts w:eastAsia="Times New Roman" w:cs="Times New Roman"/>
        </w:rPr>
        <w:t xml:space="preserve">ументах полноты и достаточности необходимых мер по технической защите информации, а также соответствия реальных условий эксплуатации объекта информатизации требованиям к размещению, монтажу и эксплуатации технических средств и систем и средств обеспечения;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43"/>
        </w:numPr>
        <w:ind w:left="0"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проверка соответствия примененных параметров настройки элементов системы защиты информации требованиям по безопасности информации, в том числе установленным в эксплуатационной документации на средства защиты информации;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43"/>
        </w:numPr>
        <w:ind w:left="0"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проверка настроек подсистемы защиты от несанкционированного доступа к информации, целостности применяемых средств защиты информации от несанкционированного доступа, в том числе с использованием средств контроля эффективности;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43"/>
        </w:numPr>
        <w:ind w:left="0"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анализ уязвимостей информационной (автоматизированной) системы;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43"/>
        </w:numPr>
        <w:ind w:left="0" w:firstLine="709"/>
        <w:jc w:val="both"/>
        <w:tabs>
          <w:tab w:val="left" w:pos="1134" w:leader="none"/>
        </w:tabs>
        <w:rPr>
          <w:rFonts w:eastAsia="Times New Roman" w:cs="Times New Roman"/>
        </w:rPr>
      </w:pPr>
      <w:r>
        <w:rPr>
          <w:rFonts w:eastAsia="Times New Roman" w:cs="Times New Roman"/>
        </w:rPr>
        <w:t xml:space="preserve">испытания подсистемы защиты от несанкционированного доступа </w:t>
      </w:r>
      <w:r>
        <w:rPr>
          <w:rFonts w:eastAsia="Times New Roman" w:cs="Times New Roman"/>
        </w:rPr>
        <w:t xml:space="preserve">к информации путем осуществления попыток несанкционированного доступа в обход подсистемы защиты информации, в том числе с использованием специальных программных тестирующих средств (тестирование на проникновение информационной (автоматизированной) системы)</w:t>
      </w:r>
      <w:r>
        <w:rPr>
          <w:rStyle w:val="1096"/>
          <w:rFonts w:eastAsia="Times New Roman" w:cs="Times New Roman"/>
        </w:rPr>
        <w:footnoteReference w:id="3"/>
      </w:r>
      <w:r>
        <w:rPr>
          <w:rFonts w:eastAsia="Times New Roman" w:cs="Times New Roman"/>
        </w:rPr>
        <w:t xml:space="preserve">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43"/>
        </w:numPr>
        <w:ind w:left="0" w:firstLine="709"/>
        <w:jc w:val="both"/>
        <w:tabs>
          <w:tab w:val="left" w:pos="1134" w:leader="none"/>
        </w:tabs>
        <w:rPr>
          <w:rFonts w:eastAsia="Times New Roman" w:cs="Times New Roman"/>
        </w:rPr>
      </w:pPr>
      <w:r>
        <w:rPr>
          <w:rFonts w:eastAsia="Times New Roman" w:cs="Times New Roman"/>
        </w:rPr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pStyle w:val="1098"/>
        <w:numPr>
          <w:ilvl w:val="0"/>
          <w:numId w:val="50"/>
        </w:numPr>
        <w:contextualSpacing w:val="0"/>
        <w:ind w:left="0" w:firstLine="709"/>
        <w:jc w:val="both"/>
        <w:spacing w:after="12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услуг и этапы оказания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объекта информатизации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04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10"/>
        <w:gridCol w:w="522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Этап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1098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Результат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Информационное обследование объекта информатизации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Отчет об обследовании объекта информатизации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Разработка проектов организационной документации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Комплект организационно-распорядительной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Разработка программы и методики проведения испытаний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Программа и методики испытаний объекта информатизации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Испытание объекта информатизации на соответствие организационным и режимным требованиям</w:t>
            </w:r>
            <w:r>
              <w:rPr>
                <w:rFonts w:cs="Times New Roman"/>
                <w:sz w:val="24"/>
                <w:szCs w:val="24"/>
                <w:highlight w:val="yellow"/>
              </w:rPr>
            </w:r>
            <w:r>
              <w:rPr>
                <w:rFonts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Протокол аттестационных испытаний объекта информатизации на соответствие организационным и режимным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Испытание объекта информатизации на соответствие требованиям по защите информации от утечки за счет несанкционированного доступа</w:t>
            </w:r>
            <w:r>
              <w:rPr>
                <w:rFonts w:cs="Times New Roman"/>
                <w:sz w:val="24"/>
                <w:szCs w:val="24"/>
                <w:highlight w:val="yellow"/>
              </w:rPr>
            </w:r>
            <w:r>
              <w:rPr>
                <w:rFonts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eastAsia="Calibri" w:cs="Times New Roman"/>
                <w:lang w:eastAsia="en-US" w:bidi="ar-SA"/>
              </w:rPr>
            </w:pPr>
            <w:r>
              <w:rPr>
                <w:rFonts w:eastAsia="Calibri" w:cs="Times New Roman"/>
                <w:lang w:eastAsia="en-US" w:bidi="ar-SA"/>
              </w:rPr>
              <w:t xml:space="preserve">Протокол аттестационных испытаний объекта информатизации на соответствие требованиям по защите информации от утечки за счет несанкционированного доступа</w:t>
            </w:r>
            <w:r>
              <w:rPr>
                <w:rFonts w:eastAsia="Calibri" w:cs="Times New Roman"/>
                <w:lang w:eastAsia="en-US" w:bidi="ar-SA"/>
              </w:rPr>
            </w:r>
            <w:r>
              <w:rPr>
                <w:rFonts w:eastAsia="Calibri" w:cs="Times New Roman"/>
                <w:lang w:eastAsia="en-US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Оформление заключения по результатам аттестационных испытаний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Заключение по результату аттестационных испытаний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rPr>
                <w:rFonts w:cs="Times New Roman"/>
              </w:rPr>
            </w:pPr>
            <w:r>
              <w:rPr>
                <w:rFonts w:eastAsia="Calibri" w:cs="Times New Roman"/>
                <w:lang w:eastAsia="en-US" w:bidi="ar-SA"/>
              </w:rPr>
              <w:t xml:space="preserve">Выдача аттестата соответствия объекта информатизации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1098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Аттестат соответствия объекта информатизации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1098"/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предоставляются на бумажном и электронном носителях.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ind w:left="0" w:firstLine="709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</w:p>
    <w:p>
      <w:pPr>
        <w:pStyle w:val="1098"/>
        <w:numPr>
          <w:ilvl w:val="0"/>
          <w:numId w:val="50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оказания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Услуги в соответствии настоящим техническим заданием должны быть оказаны Исполнителем </w:t>
      </w:r>
      <w:r>
        <w:rPr>
          <w:rFonts w:cs="Times New Roman"/>
          <w:bCs/>
        </w:rPr>
        <w:t xml:space="preserve">в течение </w:t>
      </w:r>
      <w:r>
        <w:rPr>
          <w:rFonts w:cs="Times New Roman"/>
          <w:bCs/>
        </w:rPr>
        <w:t xml:space="preserve">60</w:t>
      </w:r>
      <w:r>
        <w:rPr>
          <w:rFonts w:cs="Times New Roman"/>
          <w:bCs/>
        </w:rPr>
        <w:t xml:space="preserve"> (</w:t>
      </w:r>
      <w:r>
        <w:rPr>
          <w:rFonts w:cs="Times New Roman"/>
          <w:bCs/>
        </w:rPr>
        <w:t xml:space="preserve">шестидесяти</w:t>
      </w:r>
      <w:r>
        <w:rPr>
          <w:rFonts w:cs="Times New Roman"/>
          <w:bCs/>
        </w:rPr>
        <w:t xml:space="preserve">) рабочих дней с даты заключения</w:t>
      </w:r>
      <w:r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договора.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ind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numPr>
          <w:ilvl w:val="0"/>
          <w:numId w:val="50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и гарантийным обязательствам оказываемых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color w:val="000000"/>
        </w:rPr>
        <w:t xml:space="preserve">Все оказываемые услуги должны соответствовать действующим нормативным актам Российской Федерации в области защиты информации и правилам внутреннего распорядка Заказчика.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color w:val="000000"/>
        </w:rPr>
        <w:t xml:space="preserve">Оказание услуг, предусмотренных настоящим Техническим заданием, не должно нарушать работоспособность других автоматизированных информационных систем Заказчика.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color w:val="000000"/>
        </w:rPr>
        <w:t xml:space="preserve">Оказание услуг, предусмотренных настоящим Техническим заданием, не должно препятствовать осуществлению основной деятельности </w:t>
      </w:r>
      <w:r>
        <w:rPr>
          <w:rFonts w:eastAsia="Calibri" w:cs="Times New Roman"/>
          <w:color w:val="000000"/>
        </w:rPr>
        <w:t xml:space="preserve">ФКУ Упрдор "Новороссия".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color w:val="000000"/>
        </w:rPr>
        <w:t xml:space="preserve">Все услуги оказываются с соблюдением необходимых мер по охране труда, предотвращению аварийных ситуаций и согласовываются с Заказчиком на предмет соответствия их оказания действующим нормативным актам и правилам внутреннего распорядка Заказчика.</w:t>
      </w:r>
      <w:r>
        <w:rPr>
          <w:rFonts w:cs="Times New Roman"/>
        </w:rPr>
        <w:t xml:space="preserve">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Гарантийные обязательства составляют 12 месяцев с даты выдачи аттестата соответствия на </w:t>
      </w:r>
      <w:r>
        <w:rPr>
          <w:rFonts w:cs="Times New Roman"/>
        </w:rPr>
        <w:t xml:space="preserve">каждый объект информатизации</w:t>
      </w:r>
      <w:r>
        <w:rPr>
          <w:rFonts w:cs="Times New Roman"/>
        </w:rPr>
        <w:t xml:space="preserve"> Заказчика.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Гарантийные обязательства включают в себя устранение любых выявленных нарушений в полноте, качестве и достоверности в предоставленной со стороны Исполнителя документации по результатам проведения аттестационных испытаний.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Исполнитель за свой счет и своими силами осуществляет устранение выявленных в предоставленной, по результатам проведения аттестационных испытаний, документации недостатков.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Сроки устранения недостатков согласовывается с Заказчиком в каждом отдельном случае, но не могут превышать 15 рабочих дней.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numPr>
          <w:ilvl w:val="0"/>
          <w:numId w:val="50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конфиденциальности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9.1. Заказчик и Исполнитель (далее - Стороны) обязуются обеспечивать конфиденциальность полученной друг от друга информации и не допускать ее разглашения. Стороны несут ответственность за соблюдение этого требования в соответствии с </w:t>
      </w:r>
      <w:r>
        <w:rPr>
          <w:rFonts w:eastAsia="Times New Roman" w:cs="Times New Roman"/>
          <w:color w:val="000000"/>
          <w:lang w:eastAsia="ru-RU"/>
        </w:rPr>
        <w:t xml:space="preserve">законодательством Российской Федерации.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9.2. Информация ограниченного доступа, передаваемая сторонами друг другу в письменном виде или на ином материальном носителе, должна быть помечена реквизитами, позволяющими идентифицировать ее как конфиденциальную.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9.3. Сторона, получающая конфиденциальную информацию, должна обеспечить защиту этой информации от несанкционированного использования, распространения или публикации.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Вышеперечисленные обязательства по обеспечению </w:t>
      </w:r>
      <w:r>
        <w:rPr>
          <w:rFonts w:eastAsia="Times New Roman" w:cs="Times New Roman"/>
          <w:color w:val="000000"/>
          <w:lang w:eastAsia="ru-RU"/>
        </w:rPr>
        <w:t xml:space="preserve">конфиденциальности,</w:t>
      </w:r>
      <w:r>
        <w:rPr>
          <w:rFonts w:eastAsia="Times New Roman" w:cs="Times New Roman"/>
          <w:color w:val="000000"/>
          <w:lang w:eastAsia="ru-RU"/>
        </w:rPr>
        <w:t xml:space="preserve"> полученной </w:t>
      </w:r>
      <w:r>
        <w:rPr>
          <w:rFonts w:eastAsia="Times New Roman" w:cs="Times New Roman"/>
          <w:color w:val="000000"/>
          <w:lang w:eastAsia="ru-RU"/>
        </w:rPr>
        <w:t xml:space="preserve">Исполнителем информации,</w:t>
      </w:r>
      <w:r>
        <w:rPr>
          <w:rFonts w:eastAsia="Times New Roman" w:cs="Times New Roman"/>
          <w:color w:val="000000"/>
          <w:lang w:eastAsia="ru-RU"/>
        </w:rPr>
        <w:t xml:space="preserve"> действуют во все время оказания услуг и в течение 3 лет после окончания этих услуг, если другое не предусмотрено действующим законодательством Российской Федерации.</w:t>
      </w:r>
      <w:r>
        <w:rPr>
          <w:rFonts w:eastAsia="Times New Roman" w:cs="Times New Roman"/>
          <w:color w:val="000000"/>
          <w:lang w:eastAsia="ru-RU"/>
        </w:rPr>
      </w:r>
      <w:r>
        <w:rPr>
          <w:rFonts w:eastAsia="Times New Roman" w:cs="Times New Roman"/>
          <w:color w:val="000000"/>
          <w:lang w:eastAsia="ru-RU"/>
        </w:rPr>
      </w:r>
    </w:p>
    <w:p>
      <w:pPr>
        <w:ind w:firstLine="709"/>
        <w:jc w:val="both"/>
        <w:tabs>
          <w:tab w:val="left" w:pos="927" w:leader="none"/>
        </w:tabs>
        <w:rPr>
          <w:rFonts w:eastAsia="Times New Roman" w:cs="Times New Roman"/>
          <w:color w:val="000000"/>
          <w:lang w:eastAsia="ru-RU"/>
          <w14:ligatures w14:val="none"/>
        </w:rPr>
      </w:pPr>
      <w:r>
        <w:rPr>
          <w:rFonts w:eastAsia="Times New Roman" w:cs="Times New Roman"/>
          <w:color w:val="000000"/>
          <w:lang w:eastAsia="ru-RU"/>
        </w:rPr>
      </w:r>
      <w:r>
        <w:rPr>
          <w:rFonts w:eastAsia="Times New Roman" w:cs="Times New Roman"/>
          <w:color w:val="000000"/>
          <w:lang w:eastAsia="ru-RU"/>
        </w:rPr>
        <w:t xml:space="preserve">В соответствии с п.58 приказа ФСТЭК России от 11.04.2025г № 117 "Об</w:t>
        <w:br/>
        <w:t xml:space="preserve">утверждении требований о защите информации, содержащейся в</w:t>
        <w:br/>
        <w:t xml:space="preserve">государственных информационных системах, иных информационных системах</w:t>
        <w:br/>
        <w:t xml:space="preserve">государственных органов, государственных унитарных предприя</w:t>
      </w:r>
      <w:r>
        <w:rPr>
          <w:rFonts w:eastAsia="Times New Roman" w:cs="Times New Roman"/>
          <w:color w:val="000000"/>
          <w:lang w:eastAsia="ru-RU"/>
        </w:rPr>
        <w:t xml:space="preserve">тий,</w:t>
        <w:br/>
        <w:t xml:space="preserve">государственных учреждений" в информационных системах Исполнителя, в</w:t>
        <w:br/>
        <w:t xml:space="preserve">которых осуществляются обработка и хранение полученной в результате</w:t>
        <w:br/>
        <w:t xml:space="preserve">оказание услуг по аттестации информационных систем Заказчика информации,</w:t>
        <w:br/>
        <w:t xml:space="preserve">должны быть приняты меры по защите информ</w:t>
      </w:r>
      <w:r>
        <w:rPr>
          <w:rFonts w:eastAsia="Times New Roman" w:cs="Times New Roman"/>
          <w:color w:val="000000"/>
          <w:lang w:eastAsia="ru-RU"/>
        </w:rPr>
        <w:t xml:space="preserve">ации соответствующие</w:t>
        <w:br/>
        <w:t xml:space="preserve">требованиям предъявляемым к ИСПДн с установленным уровнем защищенности</w:t>
        <w:br/>
        <w:t xml:space="preserve">не ниже УЗ 3 и/или требованиям предъявляемым к ГИС не ниже К1.</w:t>
      </w:r>
      <w:r>
        <w:rPr>
          <w:rFonts w:eastAsia="Times New Roman" w:cs="Times New Roman"/>
          <w:color w:val="000000"/>
          <w:lang w:eastAsia="ru-RU"/>
          <w14:ligatures w14:val="none"/>
        </w:rPr>
      </w:r>
      <w:r>
        <w:rPr>
          <w:rFonts w:eastAsia="Times New Roman" w:cs="Times New Roman"/>
          <w:color w:val="000000"/>
          <w:lang w:eastAsia="ru-RU"/>
          <w14:ligatures w14:val="none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cs="Times New Roman"/>
          <w:bCs/>
        </w:rPr>
        <w:t xml:space="preserve">Выполнение требований по информационной безопасности в информационных системах Исполнителя подтверждается на этапе рассмотрения заявок предоставлением </w:t>
      </w:r>
      <w:r>
        <w:rPr>
          <w:rFonts w:cs="Times New Roman"/>
        </w:rPr>
        <w:t xml:space="preserve">копий аттестатов соответствия информационных систем или заключений по результатам оценки защищенности.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numPr>
          <w:ilvl w:val="0"/>
          <w:numId w:val="50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документированию: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Отчетные материалы (документы) представляются Заказчику по результатам аттестационных испытаний объектов информатизации на русском языке </w:t>
      </w:r>
      <w:r>
        <w:rPr>
          <w:rFonts w:eastAsia="Times New Roman" w:cs="Times New Roman"/>
          <w:color w:val="000000"/>
          <w:lang w:eastAsia="ru-RU"/>
        </w:rPr>
        <w:br/>
        <w:t xml:space="preserve">в напечатанном виде (на бумажном носителе) в одном экземпляре и в электронном виде, на отчуждаемом машинном носителе информации: флэш-карте или CD-R (DVD-R) диске.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Материалы оформляются в формате: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47"/>
        </w:numPr>
        <w:contextualSpacing/>
        <w:ind w:left="0" w:firstLine="709"/>
        <w:jc w:val="both"/>
        <w:tabs>
          <w:tab w:val="left" w:pos="1276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текстовые документы в формате Microsoft Word (.</w:t>
      </w:r>
      <w:r>
        <w:rPr>
          <w:rFonts w:eastAsia="Times New Roman" w:cs="Times New Roman"/>
          <w:color w:val="000000"/>
          <w:lang w:eastAsia="ru-RU"/>
        </w:rPr>
        <w:t xml:space="preserve">doc</w:t>
      </w:r>
      <w:r>
        <w:rPr>
          <w:rFonts w:eastAsia="Times New Roman" w:cs="Times New Roman"/>
          <w:color w:val="000000"/>
          <w:lang w:eastAsia="ru-RU"/>
        </w:rPr>
        <w:t xml:space="preserve"> или .</w:t>
      </w:r>
      <w:r>
        <w:rPr>
          <w:rFonts w:eastAsia="Times New Roman" w:cs="Times New Roman"/>
          <w:color w:val="000000"/>
          <w:lang w:eastAsia="ru-RU"/>
        </w:rPr>
        <w:t xml:space="preserve">docx</w:t>
      </w:r>
      <w:r>
        <w:rPr>
          <w:rFonts w:eastAsia="Times New Roman" w:cs="Times New Roman"/>
          <w:color w:val="000000"/>
          <w:lang w:eastAsia="ru-RU"/>
        </w:rPr>
        <w:t xml:space="preserve">) или совместимых российских аналогов; 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47"/>
        </w:numPr>
        <w:contextualSpacing/>
        <w:ind w:left="0" w:firstLine="709"/>
        <w:jc w:val="both"/>
        <w:tabs>
          <w:tab w:val="left" w:pos="1276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схемы, графическая часть </w:t>
      </w:r>
      <w:bookmarkStart w:id="0" w:name="undefined"/>
      <w:r>
        <w:rPr>
          <w:rFonts w:eastAsia="Times New Roman" w:cs="Times New Roman"/>
          <w:color w:val="000000"/>
          <w:lang w:eastAsia="ru-RU"/>
        </w:rPr>
        <w:t xml:space="preserve">в формате </w:t>
      </w:r>
      <w:bookmarkEnd w:id="0"/>
      <w:r>
        <w:rPr>
          <w:rFonts w:eastAsia="Times New Roman" w:cs="Times New Roman"/>
          <w:color w:val="000000"/>
          <w:lang w:eastAsia="ru-RU"/>
        </w:rPr>
        <w:t xml:space="preserve">Visio</w:t>
      </w:r>
      <w:r>
        <w:rPr>
          <w:rFonts w:eastAsia="Times New Roman" w:cs="Times New Roman"/>
          <w:color w:val="000000"/>
          <w:lang w:eastAsia="ru-RU"/>
        </w:rPr>
        <w:t xml:space="preserve">, рисунки в формате JPEG или PDF или совместимых российских аналогов.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В документах должен применяться шрифт 14 пт. (Times New </w:t>
      </w:r>
      <w:r>
        <w:rPr>
          <w:rFonts w:eastAsia="Times New Roman" w:cs="Times New Roman"/>
          <w:color w:val="000000"/>
          <w:lang w:eastAsia="ru-RU"/>
        </w:rPr>
        <w:t xml:space="preserve">Roman</w:t>
      </w:r>
      <w:r>
        <w:rPr>
          <w:rFonts w:eastAsia="Times New Roman" w:cs="Times New Roman"/>
          <w:color w:val="000000"/>
          <w:lang w:eastAsia="ru-RU"/>
        </w:rPr>
        <w:t xml:space="preserve">).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Документы в электронном виде, предоставляемые по результатам проведения аттестационных испытаний, должны допускать их последующее редактирование.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Документы и отчуждаемые машинные носители информации, содержащие информацию конфиденц</w:t>
      </w:r>
      <w:r>
        <w:rPr>
          <w:rFonts w:eastAsia="Times New Roman" w:cs="Times New Roman"/>
          <w:color w:val="000000"/>
          <w:lang w:eastAsia="ru-RU"/>
        </w:rPr>
        <w:t xml:space="preserve">иального характера, не содержащую сведений, составляющих государственную тайну, должны быть учтены и оформлены в соответствии с требованиями законодательства об обеспечении защиты информации и содержать ограничительную пометку «Для служебного пользования».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numPr>
          <w:ilvl w:val="0"/>
          <w:numId w:val="46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нормативной базе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Все услуги должны осуществляться в соответствии с требованиями следующих нормативных документов: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098"/>
        <w:numPr>
          <w:ilvl w:val="3"/>
          <w:numId w:val="48"/>
        </w:numPr>
        <w:ind w:left="0" w:right="-6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27 июля 2006 г. № 149-ФЗ «Об информации, информационных технологиях и защите информации».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3"/>
          <w:numId w:val="48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«Методика определения актуальных угроз безопасности персональных данных при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 xml:space="preserve">обработке в информационных системах персональных данных» (ФСТЭК России, 2008 г.).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3"/>
          <w:numId w:val="48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«Методика проведения испытаний систем защиты информации информационных систем методами тестирования на проникновение» утверждена ФСТЭК России от 25 июня 2025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3"/>
          <w:numId w:val="48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приказ ФСТЭК России от 11.04.2025 № 117 "Об утверждении Требований о защите </w:t>
      </w:r>
      <w:r>
        <w:rPr>
          <w:rFonts w:ascii="Times New Roman" w:hAnsi="Times New Roman" w:cs="Times New Roman"/>
          <w:sz w:val="24"/>
          <w:szCs w:val="24"/>
        </w:rPr>
        <w:t xml:space="preserve">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учреждений"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3"/>
          <w:numId w:val="48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"Методика анализа защищенности информационных систем" утверждена ФСТЭК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25 ноября 2025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98"/>
        <w:numPr>
          <w:ilvl w:val="3"/>
          <w:numId w:val="48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Базовая модель угроз безопасности персональных данных при их обработке в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информационных системах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val="none"/>
        </w:rPr>
        <w:t xml:space="preserve">персональных данных» (ФСТЭК России, 2008 г.).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</w:p>
    <w:p>
      <w:pPr>
        <w:pStyle w:val="1098"/>
        <w:numPr>
          <w:ilvl w:val="0"/>
          <w:numId w:val="48"/>
        </w:numPr>
        <w:ind w:left="0" w:right="-6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color w:val="000000" w:themeColor="text1"/>
          <w:u w:val="none"/>
        </w:rPr>
      </w:r>
      <w:hyperlink r:id="rId11" w:tooltip="consultantplus://offline/ref=42413CE1F5982A93907E6E08FD4E4A03260423D6357107C503513E3625E8l5J" w:history="1">
        <w:r>
          <w:rPr>
            <w:rStyle w:val="99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ГОСТ Р 50922-2006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Защита информации. Основные термины и определения.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</w:p>
    <w:p>
      <w:pPr>
        <w:pStyle w:val="1098"/>
        <w:numPr>
          <w:ilvl w:val="0"/>
          <w:numId w:val="48"/>
        </w:numPr>
        <w:ind w:left="0" w:right="-6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color w:val="000000" w:themeColor="text1"/>
          <w:u w:val="none"/>
        </w:rPr>
      </w:r>
      <w:hyperlink r:id="rId12" w:tooltip="consultantplus://offline/ref=42413CE1F5982A93907E6404E34E4A03240C2AD73E2E50C7520430E3l3J" w:history="1">
        <w:r>
          <w:rPr>
            <w:rStyle w:val="99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ГОСТ Р 51583-2014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Защита информации. Порядок создания автоматизированных систем в защищенном исполнении. Общие положения.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</w:p>
    <w:p>
      <w:pPr>
        <w:pStyle w:val="1098"/>
        <w:numPr>
          <w:ilvl w:val="0"/>
          <w:numId w:val="48"/>
        </w:numPr>
        <w:ind w:left="0" w:right="-6"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ГОСТ Р 51624-2000 Защита информации. Автоматизированные системы в защищенном исполнении. Общие требования.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</w:p>
    <w:p>
      <w:pPr>
        <w:pStyle w:val="1098"/>
        <w:numPr>
          <w:ilvl w:val="0"/>
          <w:numId w:val="48"/>
        </w:numPr>
        <w:ind w:left="0" w:right="-6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ГОСТ 34.602-2020 Информационные технологии. Комплекс стандартов на автоматизированные системы. Техническое задание на создание автоматизированной системы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none"/>
        </w:rPr>
      </w:r>
    </w:p>
    <w:p>
      <w:pPr>
        <w:tabs>
          <w:tab w:val="left" w:pos="975" w:leader="none"/>
          <w:tab w:val="left" w:pos="5745" w:leader="none"/>
        </w:tabs>
        <w:rPr>
          <w:color w:val="000000" w:themeColor="text1"/>
          <w:sz w:val="20"/>
          <w:szCs w:val="20"/>
          <w:u w:val="none"/>
        </w:rPr>
      </w:pPr>
      <w:r>
        <w:rPr>
          <w:iCs/>
          <w:color w:val="000000" w:themeColor="text1"/>
          <w:sz w:val="20"/>
          <w:szCs w:val="20"/>
          <w:u w:val="none"/>
        </w:rPr>
      </w:r>
      <w:r>
        <w:rPr>
          <w:color w:val="000000" w:themeColor="text1"/>
          <w:sz w:val="20"/>
          <w:szCs w:val="20"/>
          <w:u w:val="none"/>
        </w:rPr>
      </w:r>
      <w:r>
        <w:rPr>
          <w:color w:val="000000" w:themeColor="text1"/>
          <w:sz w:val="20"/>
          <w:szCs w:val="20"/>
          <w:u w:val="none"/>
        </w:rPr>
      </w:r>
    </w:p>
    <w:p>
      <w:pPr>
        <w:tabs>
          <w:tab w:val="left" w:pos="975" w:leader="none"/>
          <w:tab w:val="left" w:pos="5745" w:leader="none"/>
        </w:tabs>
        <w:rPr>
          <w:color w:val="000000" w:themeColor="text1"/>
          <w:sz w:val="20"/>
          <w:szCs w:val="20"/>
          <w:u w:val="none"/>
        </w:rPr>
      </w:pPr>
      <w:r>
        <w:rPr>
          <w:iCs/>
          <w:color w:val="000000" w:themeColor="text1"/>
          <w:sz w:val="20"/>
          <w:szCs w:val="20"/>
          <w:u w:val="none"/>
        </w:rPr>
      </w:r>
      <w:r>
        <w:rPr>
          <w:color w:val="000000" w:themeColor="text1"/>
          <w:sz w:val="20"/>
          <w:szCs w:val="20"/>
          <w:u w:val="none"/>
        </w:rPr>
      </w:r>
      <w:r>
        <w:rPr>
          <w:color w:val="000000" w:themeColor="text1"/>
          <w:sz w:val="20"/>
          <w:szCs w:val="20"/>
          <w:u w:val="none"/>
        </w:rPr>
      </w:r>
    </w:p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4995"/>
        <w:gridCol w:w="959"/>
        <w:gridCol w:w="4219"/>
      </w:tblGrid>
      <w:tr>
        <w:trPr>
          <w:jc w:val="center"/>
        </w:trPr>
        <w:tc>
          <w:tcPr>
            <w:tcW w:w="4995" w:type="dxa"/>
            <w:textDirection w:val="lrTb"/>
            <w:noWrap w:val="false"/>
          </w:tcPr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ind w:firstLine="26"/>
              <w:jc w:val="both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iCs/>
                <w:lang w:eastAsia="en-US"/>
              </w:rPr>
              <w:t xml:space="preserve">М.П.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jc w:val="both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4219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88" w:leader="none"/>
              </w:tabs>
            </w:pPr>
            <w:r/>
            <w:r/>
          </w:p>
          <w:p>
            <w:pPr>
              <w:jc w:val="both"/>
              <w:widowControl w:val="off"/>
              <w:tabs>
                <w:tab w:val="left" w:pos="788" w:leader="none"/>
              </w:tabs>
            </w:pPr>
            <w:r/>
            <w:r/>
          </w:p>
          <w:p>
            <w:pPr>
              <w:jc w:val="both"/>
              <w:widowControl w:val="off"/>
              <w:tabs>
                <w:tab w:val="left" w:pos="788" w:leader="none"/>
              </w:tabs>
            </w:pPr>
            <w:r/>
            <w:r/>
          </w:p>
          <w:p>
            <w:pPr>
              <w:ind w:firstLine="26"/>
              <w:jc w:val="both"/>
              <w:spacing w:line="256" w:lineRule="auto"/>
            </w:pPr>
            <w:r>
              <w:t xml:space="preserve">________________ О.Н. Гулый</w:t>
            </w:r>
            <w:r/>
          </w:p>
          <w:p>
            <w:pPr>
              <w:jc w:val="both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iCs/>
                <w:lang w:eastAsia="en-US"/>
              </w:rPr>
              <w:t xml:space="preserve">М.П.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</w:tbl>
    <w:p>
      <w:pPr>
        <w:tabs>
          <w:tab w:val="left" w:pos="975" w:leader="none"/>
          <w:tab w:val="left" w:pos="5745" w:leader="none"/>
        </w:tabs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sectPr>
      <w:footnotePr/>
      <w:endnotePr/>
      <w:type w:val="nextPage"/>
      <w:pgSz w:w="11906" w:h="16838" w:orient="portrait"/>
      <w:pgMar w:top="993" w:right="566" w:bottom="142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imSun">
    <w:panose1 w:val="02000506000000020000"/>
  </w:font>
  <w:font w:name="OpenSymbol">
    <w:panose1 w:val="05010000000000000000"/>
  </w:font>
  <w:font w:name="Courier New">
    <w:panose1 w:val="02070409020205020404"/>
  </w:font>
  <w:font w:name="Mangal">
    <w:panose1 w:val="02040503050306020203"/>
  </w:font>
  <w:font w:name="Segoe UI">
    <w:panose1 w:val="020B0502040504020204"/>
  </w:font>
  <w:font w:name="Verdana">
    <w:panose1 w:val="020B0604030504040204"/>
  </w:font>
  <w:font w:name="ArialMT">
    <w:panose1 w:val="02020603050405020304"/>
  </w:font>
  <w:font w:name="Arial CYR">
    <w:panose1 w:val="02020603050405020304"/>
  </w:font>
  <w:font w:name="Cambria">
    <w:panose1 w:val="02040503050406030204"/>
  </w:font>
  <w:font w:name="Arial Unicode MS">
    <w:panose1 w:val="020B0506020203020204"/>
  </w:font>
  <w:font w:name="Arial">
    <w:panose1 w:val="020B0604020202020204"/>
  </w:font>
  <w:font w:name="Times New Roman">
    <w:panose1 w:val="02020603050405020304"/>
  </w:font>
  <w:font w:name="Liberation Mono">
    <w:panose1 w:val="020704090202050204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92"/>
        <w:jc w:val="both"/>
        <w:rPr>
          <w:sz w:val="16"/>
          <w:szCs w:val="16"/>
        </w:rPr>
      </w:pPr>
      <w:r>
        <w:rPr>
          <w:rStyle w:val="1094"/>
          <w:sz w:val="16"/>
          <w:szCs w:val="16"/>
        </w:rPr>
        <w:footnoteRef/>
      </w:r>
      <w:r>
        <w:rPr>
          <w:sz w:val="16"/>
          <w:szCs w:val="16"/>
        </w:rPr>
        <w:t xml:space="preserve"> Перечень требований должен быть уточнен (скорректирован) исполнителем на этапе информационного обследования объекта информатизации, исходя из применяемых в ИС информационных технологий.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  <w:footnote w:id="3">
    <w:p>
      <w:pPr>
        <w:pStyle w:val="1095"/>
        <w:jc w:val="both"/>
      </w:pPr>
      <w:r>
        <w:rPr>
          <w:rStyle w:val="1096"/>
        </w:rPr>
        <w:footnoteRef/>
      </w:r>
      <w:r>
        <w:rPr>
          <w:rFonts w:eastAsia="Times New Roman" w:cs="Times New Roman"/>
        </w:rPr>
        <w:tab/>
        <w:t xml:space="preserve"> </w:t>
      </w:r>
      <w:r>
        <w:t xml:space="preserve">Испытания проводятся в соответствии с Методикой проведения испытаний систем защиты информации информационных систем методами тестирования на проникновение, утвержденной ФСТЭК России от 25 июня 2025 г.</w:t>
      </w:r>
      <w:r/>
    </w:p>
    <w:p>
      <w:pPr>
        <w:pStyle w:val="1095"/>
        <w:jc w:val="both"/>
      </w:pPr>
      <w:r>
        <w:tab/>
        <w:t xml:space="preserve">Тестирования осуществляется на основании отдельно оформленного согласия, подписанного руководителем организации Заказчика. </w:t>
      </w:r>
      <w:r/>
    </w:p>
    <w:p>
      <w:pPr>
        <w:pStyle w:val="1095"/>
        <w:jc w:val="both"/>
      </w:pPr>
      <w:r>
        <w:tab/>
        <w:t xml:space="preserve">Результаты тестирования оформляются в виде отдельного протокола (отчета).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5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 w:ascii="Verdana" w:hAnsi="Verdana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-3" w:hanging="360"/>
        <w:tabs>
          <w:tab w:val="num" w:pos="-3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717" w:hanging="360"/>
        <w:tabs>
          <w:tab w:val="num" w:pos="717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437" w:hanging="360"/>
        <w:tabs>
          <w:tab w:val="num" w:pos="1437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2157" w:hanging="360"/>
        <w:tabs>
          <w:tab w:val="num" w:pos="2157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2877" w:hanging="360"/>
        <w:tabs>
          <w:tab w:val="num" w:pos="2877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3597" w:hanging="360"/>
        <w:tabs>
          <w:tab w:val="num" w:pos="3597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4317" w:hanging="360"/>
        <w:tabs>
          <w:tab w:val="num" w:pos="4317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5037" w:hanging="360"/>
        <w:tabs>
          <w:tab w:val="num" w:pos="5037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643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286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69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49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1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064" w:hanging="1800"/>
      </w:pPr>
      <w:rPr>
        <w:rFonts w:hint="default"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80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  <w:rPr>
        <w:rFonts w:hint="default"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567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firstLine="567"/>
      </w:pPr>
      <w:rPr>
        <w:rFonts w:hint="default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firstLine="567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firstLine="567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firstLine="567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firstLine="567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firstLine="567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firstLine="567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firstLine="567"/>
      </w:pPr>
      <w:rPr>
        <w:rFonts w:hint="default" w:cs="Times New Roman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11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73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46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97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8" w:hanging="1800"/>
      </w:pPr>
      <w:rPr>
        <w:rFonts w:hint="default"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555" w:hanging="555"/>
        <w:tabs>
          <w:tab w:val="num" w:pos="555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406" w:hanging="555"/>
        <w:tabs>
          <w:tab w:val="num" w:pos="1406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2422" w:hanging="720"/>
        <w:tabs>
          <w:tab w:val="num" w:pos="2422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73" w:hanging="720"/>
        <w:tabs>
          <w:tab w:val="num" w:pos="3273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484" w:hanging="1080"/>
        <w:tabs>
          <w:tab w:val="num" w:pos="4484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335" w:hanging="1080"/>
        <w:tabs>
          <w:tab w:val="num" w:pos="5335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546" w:hanging="1440"/>
        <w:tabs>
          <w:tab w:val="num" w:pos="6546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397" w:hanging="1440"/>
        <w:tabs>
          <w:tab w:val="num" w:pos="7397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608" w:hanging="1800"/>
        <w:tabs>
          <w:tab w:val="num" w:pos="8608" w:leader="none"/>
        </w:tabs>
      </w:pPr>
      <w:rPr>
        <w:rFonts w:hint="default" w:cs="Times New Roman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80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  <w:rPr>
        <w:rFonts w:hint="default" w:cs="Times New Roman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555" w:hanging="555"/>
        <w:tabs>
          <w:tab w:val="num" w:pos="555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406" w:hanging="555"/>
        <w:tabs>
          <w:tab w:val="num" w:pos="1406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2422" w:hanging="720"/>
        <w:tabs>
          <w:tab w:val="num" w:pos="2422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73" w:hanging="720"/>
        <w:tabs>
          <w:tab w:val="num" w:pos="3273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484" w:hanging="1080"/>
        <w:tabs>
          <w:tab w:val="num" w:pos="4484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335" w:hanging="1080"/>
        <w:tabs>
          <w:tab w:val="num" w:pos="5335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546" w:hanging="1440"/>
        <w:tabs>
          <w:tab w:val="num" w:pos="6546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397" w:hanging="1440"/>
        <w:tabs>
          <w:tab w:val="num" w:pos="7397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608" w:hanging="1800"/>
        <w:tabs>
          <w:tab w:val="num" w:pos="8608" w:leader="none"/>
        </w:tabs>
      </w:pPr>
      <w:rPr>
        <w:rFonts w:hint="default" w:cs="Times New Roman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643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286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69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49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1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064" w:hanging="1800"/>
      </w:pPr>
      <w:rPr>
        <w:rFonts w:hint="default" w:cs="Times New Roman"/>
      </w:rPr>
    </w:lvl>
  </w:abstractNum>
  <w:abstractNum w:abstractNumId="11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216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43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61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82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2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0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6200" w:hanging="1800"/>
      </w:pPr>
      <w:rPr>
        <w:rFonts w:hint="default"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rFonts w:cs="Times New Roman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1078" w:hanging="368"/>
        <w:tabs>
          <w:tab w:val="num" w:pos="1078" w:leader="none"/>
        </w:tabs>
      </w:pPr>
      <w:rPr>
        <w:rFonts w:hint="default" w:ascii="Times New Roman" w:hAnsi="Times New Roman" w:cs="Times New Roman"/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  <w:tabs>
          <w:tab w:val="num" w:pos="1287" w:leader="none"/>
        </w:tabs>
      </w:pPr>
      <w:rPr>
        <w:rFonts w:cs="Times New Roman"/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rFonts w:cs="Times New Roman"/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rFonts w:cs="Times New Roman"/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rFonts w:cs="Times New Roman"/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rFonts w:cs="Times New Roman"/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rFonts w:cs="Times New Roman"/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rFonts w:cs="Times New Roman"/>
        <w:b/>
        <w:bCs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80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  <w:rPr>
        <w:rFonts w:hint="default" w:cs="Times New Roman"/>
      </w:r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11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73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46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97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8" w:hanging="1800"/>
      </w:pPr>
      <w:rPr>
        <w:rFonts w:hint="default"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5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7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9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1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3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7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96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41" w:hanging="360"/>
      </w:pPr>
      <w:rPr>
        <w:rFonts w:cs="Times New Roman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5180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7382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1800"/>
      </w:pPr>
      <w:rPr>
        <w:rFonts w:hint="default" w:cs="Times New Roman"/>
      </w:rPr>
    </w:lvl>
  </w:abstractNum>
  <w:abstractNum w:abstractNumId="18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80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  <w:rPr>
        <w:rFonts w:hint="default" w:cs="Times New Roman"/>
      </w:rPr>
    </w:lvl>
  </w:abstractNum>
  <w:abstractNum w:abstractNumId="19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216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43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61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82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2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0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6200" w:hanging="1800"/>
      </w:pPr>
      <w:rPr>
        <w:rFonts w:hint="default" w:cs="Times New Roman"/>
      </w:rPr>
    </w:lvl>
  </w:abstractNum>
  <w:abstractNum w:abstractNumId="21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cs="Times New Roman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1800"/>
      </w:pPr>
      <w:rPr>
        <w:rFonts w:hint="default"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571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cs="Times New Roman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1800"/>
      </w:pPr>
      <w:rPr>
        <w:rFonts w:hint="default" w:cs="Times New Roman"/>
      </w:rPr>
    </w:lvl>
  </w:abstractNum>
  <w:abstractNum w:abstractNumId="31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 w:cs="Times New Roman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5" w:hanging="1425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2.%2."/>
      <w:lvlJc w:val="left"/>
      <w:pPr>
        <w:ind w:left="2276" w:hanging="1425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27" w:hanging="1425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78" w:hanging="1425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829" w:hanging="1425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46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8" w:hanging="1800"/>
      </w:pPr>
      <w:rPr>
        <w:rFonts w:hint="default" w:cs="Times New Roman"/>
      </w:rPr>
    </w:lvl>
  </w:abstractNum>
  <w:abstractNum w:abstractNumId="3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8" w:hanging="360"/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088" w:hanging="720"/>
      </w:pPr>
      <w:rPr>
        <w:rFonts w:hint="default" w:eastAsia="Times New Roman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088" w:hanging="720"/>
      </w:pPr>
      <w:rPr>
        <w:rFonts w:hint="default" w:eastAsia="Times New Roman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448" w:hanging="1080"/>
      </w:pPr>
      <w:rPr>
        <w:rFonts w:hint="default" w:eastAsia="Times New Roman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448" w:hanging="1080"/>
      </w:pPr>
      <w:rPr>
        <w:rFonts w:hint="default" w:eastAsia="Times New Roman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808" w:hanging="1440"/>
      </w:pPr>
      <w:rPr>
        <w:rFonts w:hint="default" w:eastAsia="Times New Roman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8" w:hanging="1800"/>
      </w:pPr>
      <w:rPr>
        <w:rFonts w:hint="default" w:eastAsia="Times New Roman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8" w:hanging="1800"/>
      </w:pPr>
      <w:rPr>
        <w:rFonts w:hint="default" w:eastAsia="Times New Roman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8" w:hanging="2160"/>
      </w:pPr>
      <w:rPr>
        <w:rFonts w:hint="default" w:eastAsia="Times New Roman" w:cs="Times New Roman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 w:cs="Times New Roman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49" w:hanging="607"/>
        <w:tabs>
          <w:tab w:val="num" w:pos="749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7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555" w:hanging="555"/>
        <w:tabs>
          <w:tab w:val="num" w:pos="555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406" w:hanging="555"/>
        <w:tabs>
          <w:tab w:val="num" w:pos="1406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2422" w:hanging="720"/>
        <w:tabs>
          <w:tab w:val="num" w:pos="2422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73" w:hanging="720"/>
        <w:tabs>
          <w:tab w:val="num" w:pos="3273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484" w:hanging="1080"/>
        <w:tabs>
          <w:tab w:val="num" w:pos="4484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335" w:hanging="1080"/>
        <w:tabs>
          <w:tab w:val="num" w:pos="5335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546" w:hanging="1440"/>
        <w:tabs>
          <w:tab w:val="num" w:pos="6546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397" w:hanging="1440"/>
        <w:tabs>
          <w:tab w:val="num" w:pos="7397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608" w:hanging="1800"/>
        <w:tabs>
          <w:tab w:val="num" w:pos="8608" w:leader="none"/>
        </w:tabs>
      </w:pPr>
      <w:rPr>
        <w:rFonts w:hint="default" w:cs="Times New Roman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585" w:hanging="585"/>
        <w:tabs>
          <w:tab w:val="num" w:pos="585" w:leader="none"/>
        </w:tabs>
      </w:pPr>
      <w:rPr>
        <w:rFonts w:hint="default" w:cs="Times New Roman"/>
      </w:rPr>
    </w:lvl>
    <w:lvl w:ilvl="1">
      <w:start w:val="5"/>
      <w:numFmt w:val="decimal"/>
      <w:isLgl w:val="false"/>
      <w:suff w:val="tab"/>
      <w:lvlText w:val="%1.%2"/>
      <w:lvlJc w:val="left"/>
      <w:pPr>
        <w:ind w:left="1425" w:hanging="585"/>
        <w:tabs>
          <w:tab w:val="num" w:pos="1425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2400" w:hanging="720"/>
        <w:tabs>
          <w:tab w:val="num" w:pos="240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720"/>
        <w:tabs>
          <w:tab w:val="num" w:pos="324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440" w:hanging="1080"/>
        <w:tabs>
          <w:tab w:val="num" w:pos="444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280" w:hanging="1080"/>
        <w:tabs>
          <w:tab w:val="num" w:pos="52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480" w:hanging="1440"/>
        <w:tabs>
          <w:tab w:val="num" w:pos="648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320" w:hanging="1440"/>
        <w:tabs>
          <w:tab w:val="num" w:pos="732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520" w:hanging="1800"/>
        <w:tabs>
          <w:tab w:val="num" w:pos="8520" w:leader="none"/>
        </w:tabs>
      </w:pPr>
      <w:rPr>
        <w:rFonts w:hint="default" w:cs="Times New Roman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41" w:hanging="360"/>
      </w:pPr>
      <w:rPr>
        <w:rFonts w:cs="Times New Roman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5180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7382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1800"/>
      </w:pPr>
      <w:rPr>
        <w:rFonts w:hint="default" w:cs="Times New Roman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b/>
        <w:sz w:val="24"/>
        <w:szCs w:val="24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5747" w:hanging="360"/>
      </w:pPr>
      <w:rPr>
        <w:b w:val="0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1800"/>
      </w:pPr>
      <w:rPr>
        <w:vertAlign w:val="baseline"/>
      </w:rPr>
    </w:lvl>
  </w:abstractNum>
  <w:abstractNum w:abstractNumId="42">
    <w:multiLevelType w:val="hybridMultilevel"/>
    <w:lvl w:ilvl="0">
      <w:start w:val="1"/>
      <w:numFmt w:val="none"/>
      <w:pStyle w:val="1097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Symbol" w:hAnsi="Symbol" w:eastAsia="Times New Roman" w:cs="Symbol"/>
        <w:b/>
        <w:bCs/>
        <w:szCs w:val="24"/>
      </w:r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OpenSymbol" w:hAnsi="OpenSymbol" w:cs="OpenSymbol"/>
        <w:b/>
      </w:r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OpenSymbol" w:hAnsi="OpenSymbol" w:cs="Wingdings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  <w:rPr>
        <w:rFonts w:ascii="Symbol" w:hAnsi="Symbol" w:cs="Calibri"/>
        <w:sz w:val="20"/>
        <w:szCs w:val="20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  <w:rPr>
        <w:rFonts w:ascii="OpenSymbol" w:hAnsi="OpenSymbol" w:cs="Calibri"/>
        <w:sz w:val="20"/>
        <w:szCs w:val="20"/>
      </w:r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  <w:rPr>
        <w:rFonts w:ascii="OpenSymbol" w:hAnsi="OpenSymbol" w:cs="OpenSymbol"/>
        <w:b/>
      </w:r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  <w:rPr>
        <w:rFonts w:ascii="Symbol" w:hAnsi="Symbol" w:eastAsia="Times New Roman" w:cs="Symbol"/>
        <w:b/>
        <w:bCs/>
        <w:szCs w:val="24"/>
      </w:r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  <w:rPr>
        <w:rFonts w:ascii="OpenSymbol" w:hAnsi="OpenSymbol" w:cs="OpenSymbol"/>
      </w:r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Courier New" w:hAnsi="Courier New" w:cs="Courier New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  <w:b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  <w:b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  <w:b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4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144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0" w:leader="none"/>
        </w:tabs>
      </w:p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ascii="Symbol" w:hAnsi="Symbol" w:cs="Symbol"/>
        <w:color w:val="000000"/>
        <w:szCs w:val="24"/>
        <w:lang w:eastAsia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/>
        <w:color w:val="000000"/>
        <w:szCs w:val="24"/>
        <w:lang w:eastAsia="ru-RU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/>
        <w:color w:val="000000"/>
        <w:szCs w:val="24"/>
        <w:lang w:eastAsia="ru-RU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ascii="Symbol" w:hAnsi="Symbol" w:cs="Symbol"/>
        <w:spacing w:val="-1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/>
        <w:spacing w:val="-1"/>
        <w:sz w:val="24"/>
        <w:szCs w:val="24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 w:cs="Symbol"/>
        <w:spacing w:val="-1"/>
        <w:sz w:val="24"/>
        <w:szCs w:val="24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Zero"/>
      <w:isLgl/>
      <w:suff w:val="tab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41" w:hanging="360"/>
      </w:pPr>
      <w:rPr>
        <w:rFonts w:cs="Times New Roman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5180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7382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1800"/>
      </w:pPr>
      <w:rPr>
        <w:rFonts w:hint="default" w:cs="Times New Roman"/>
      </w:rPr>
    </w:lvl>
  </w:abstractNum>
  <w:num w:numId="1">
    <w:abstractNumId w:val="38"/>
  </w:num>
  <w:num w:numId="2">
    <w:abstractNumId w:val="32"/>
  </w:num>
  <w:num w:numId="3">
    <w:abstractNumId w:val="24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8"/>
  </w:num>
  <w:num w:numId="9">
    <w:abstractNumId w:val="14"/>
  </w:num>
  <w:num w:numId="10">
    <w:abstractNumId w:val="1"/>
  </w:num>
  <w:num w:numId="11">
    <w:abstractNumId w:val="17"/>
  </w:num>
  <w:num w:numId="12">
    <w:abstractNumId w:val="26"/>
  </w:num>
  <w:num w:numId="13">
    <w:abstractNumId w:val="19"/>
  </w:num>
  <w:num w:numId="14">
    <w:abstractNumId w:val="21"/>
  </w:num>
  <w:num w:numId="15">
    <w:abstractNumId w:val="35"/>
  </w:num>
  <w:num w:numId="16">
    <w:abstractNumId w:val="18"/>
  </w:num>
  <w:num w:numId="17">
    <w:abstractNumId w:val="20"/>
  </w:num>
  <w:num w:numId="18">
    <w:abstractNumId w:val="11"/>
  </w:num>
  <w:num w:numId="19">
    <w:abstractNumId w:val="31"/>
  </w:num>
  <w:num w:numId="20">
    <w:abstractNumId w:val="36"/>
  </w:num>
  <w:num w:numId="21">
    <w:abstractNumId w:val="13"/>
  </w:num>
  <w:num w:numId="22">
    <w:abstractNumId w:val="33"/>
  </w:num>
  <w:num w:numId="23">
    <w:abstractNumId w:val="0"/>
  </w:num>
  <w:num w:numId="24">
    <w:abstractNumId w:val="15"/>
  </w:num>
  <w:num w:numId="25">
    <w:abstractNumId w:val="5"/>
  </w:num>
  <w:num w:numId="26">
    <w:abstractNumId w:val="27"/>
  </w:num>
  <w:num w:numId="27">
    <w:abstractNumId w:val="25"/>
  </w:num>
  <w:num w:numId="28">
    <w:abstractNumId w:val="28"/>
  </w:num>
  <w:num w:numId="29">
    <w:abstractNumId w:val="22"/>
  </w:num>
  <w:num w:numId="30">
    <w:abstractNumId w:val="9"/>
  </w:num>
  <w:num w:numId="31">
    <w:abstractNumId w:val="7"/>
  </w:num>
  <w:num w:numId="32">
    <w:abstractNumId w:val="37"/>
  </w:num>
  <w:num w:numId="33">
    <w:abstractNumId w:val="39"/>
  </w:num>
  <w:num w:numId="34">
    <w:abstractNumId w:val="30"/>
  </w:num>
  <w:num w:numId="35">
    <w:abstractNumId w:val="4"/>
  </w:num>
  <w:num w:numId="36">
    <w:abstractNumId w:val="34"/>
  </w:num>
  <w:num w:numId="37">
    <w:abstractNumId w:val="16"/>
  </w:num>
  <w:num w:numId="38">
    <w:abstractNumId w:val="29"/>
  </w:num>
  <w:num w:numId="39">
    <w:abstractNumId w:val="23"/>
  </w:num>
  <w:num w:numId="40">
    <w:abstractNumId w:val="6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1">
    <w:name w:val="Heading 1 Char"/>
    <w:basedOn w:val="972"/>
    <w:link w:val="969"/>
    <w:uiPriority w:val="9"/>
    <w:rPr>
      <w:rFonts w:ascii="Arial" w:hAnsi="Arial" w:eastAsia="Arial" w:cs="Arial"/>
      <w:sz w:val="40"/>
      <w:szCs w:val="40"/>
    </w:rPr>
  </w:style>
  <w:style w:type="paragraph" w:styleId="802">
    <w:name w:val="Heading 2"/>
    <w:basedOn w:val="968"/>
    <w:next w:val="968"/>
    <w:link w:val="8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03">
    <w:name w:val="Heading 2 Char"/>
    <w:basedOn w:val="972"/>
    <w:link w:val="802"/>
    <w:uiPriority w:val="9"/>
    <w:rPr>
      <w:rFonts w:ascii="Arial" w:hAnsi="Arial" w:eastAsia="Arial" w:cs="Arial"/>
      <w:sz w:val="34"/>
    </w:rPr>
  </w:style>
  <w:style w:type="character" w:styleId="804">
    <w:name w:val="Heading 3 Char"/>
    <w:basedOn w:val="972"/>
    <w:link w:val="970"/>
    <w:uiPriority w:val="9"/>
    <w:rPr>
      <w:rFonts w:ascii="Arial" w:hAnsi="Arial" w:eastAsia="Arial" w:cs="Arial"/>
      <w:sz w:val="30"/>
      <w:szCs w:val="30"/>
    </w:rPr>
  </w:style>
  <w:style w:type="paragraph" w:styleId="805">
    <w:name w:val="Heading 4"/>
    <w:basedOn w:val="968"/>
    <w:next w:val="968"/>
    <w:link w:val="8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6">
    <w:name w:val="Heading 4 Char"/>
    <w:basedOn w:val="972"/>
    <w:link w:val="805"/>
    <w:uiPriority w:val="9"/>
    <w:rPr>
      <w:rFonts w:ascii="Arial" w:hAnsi="Arial" w:eastAsia="Arial" w:cs="Arial"/>
      <w:b/>
      <w:bCs/>
      <w:sz w:val="26"/>
      <w:szCs w:val="26"/>
    </w:rPr>
  </w:style>
  <w:style w:type="paragraph" w:styleId="807">
    <w:name w:val="Heading 5"/>
    <w:basedOn w:val="968"/>
    <w:next w:val="968"/>
    <w:link w:val="8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8">
    <w:name w:val="Heading 5 Char"/>
    <w:basedOn w:val="972"/>
    <w:link w:val="807"/>
    <w:uiPriority w:val="9"/>
    <w:rPr>
      <w:rFonts w:ascii="Arial" w:hAnsi="Arial" w:eastAsia="Arial" w:cs="Arial"/>
      <w:b/>
      <w:bCs/>
      <w:sz w:val="24"/>
      <w:szCs w:val="24"/>
    </w:rPr>
  </w:style>
  <w:style w:type="paragraph" w:styleId="809">
    <w:name w:val="Heading 6"/>
    <w:basedOn w:val="968"/>
    <w:next w:val="968"/>
    <w:link w:val="8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0">
    <w:name w:val="Heading 6 Char"/>
    <w:basedOn w:val="972"/>
    <w:link w:val="809"/>
    <w:uiPriority w:val="9"/>
    <w:rPr>
      <w:rFonts w:ascii="Arial" w:hAnsi="Arial" w:eastAsia="Arial" w:cs="Arial"/>
      <w:b/>
      <w:bCs/>
      <w:sz w:val="22"/>
      <w:szCs w:val="22"/>
    </w:rPr>
  </w:style>
  <w:style w:type="character" w:styleId="811">
    <w:name w:val="Heading 7 Char"/>
    <w:basedOn w:val="972"/>
    <w:link w:val="9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2">
    <w:name w:val="Heading 8"/>
    <w:basedOn w:val="968"/>
    <w:next w:val="968"/>
    <w:link w:val="8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3">
    <w:name w:val="Heading 8 Char"/>
    <w:basedOn w:val="972"/>
    <w:link w:val="812"/>
    <w:uiPriority w:val="9"/>
    <w:rPr>
      <w:rFonts w:ascii="Arial" w:hAnsi="Arial" w:eastAsia="Arial" w:cs="Arial"/>
      <w:i/>
      <w:iCs/>
      <w:sz w:val="22"/>
      <w:szCs w:val="22"/>
    </w:rPr>
  </w:style>
  <w:style w:type="paragraph" w:styleId="814">
    <w:name w:val="Heading 9"/>
    <w:basedOn w:val="968"/>
    <w:next w:val="968"/>
    <w:link w:val="8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5">
    <w:name w:val="Heading 9 Char"/>
    <w:basedOn w:val="972"/>
    <w:link w:val="814"/>
    <w:uiPriority w:val="9"/>
    <w:rPr>
      <w:rFonts w:ascii="Arial" w:hAnsi="Arial" w:eastAsia="Arial" w:cs="Arial"/>
      <w:i/>
      <w:iCs/>
      <w:sz w:val="21"/>
      <w:szCs w:val="21"/>
    </w:rPr>
  </w:style>
  <w:style w:type="paragraph" w:styleId="816">
    <w:name w:val="Title"/>
    <w:basedOn w:val="968"/>
    <w:next w:val="968"/>
    <w:link w:val="8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7">
    <w:name w:val="Title Char"/>
    <w:basedOn w:val="972"/>
    <w:link w:val="816"/>
    <w:uiPriority w:val="10"/>
    <w:rPr>
      <w:sz w:val="48"/>
      <w:szCs w:val="48"/>
    </w:rPr>
  </w:style>
  <w:style w:type="paragraph" w:styleId="818">
    <w:name w:val="Subtitle"/>
    <w:basedOn w:val="968"/>
    <w:next w:val="968"/>
    <w:link w:val="819"/>
    <w:uiPriority w:val="11"/>
    <w:qFormat/>
    <w:pPr>
      <w:spacing w:before="200" w:after="200"/>
    </w:pPr>
    <w:rPr>
      <w:sz w:val="24"/>
      <w:szCs w:val="24"/>
    </w:rPr>
  </w:style>
  <w:style w:type="character" w:styleId="819">
    <w:name w:val="Subtitle Char"/>
    <w:basedOn w:val="972"/>
    <w:link w:val="818"/>
    <w:uiPriority w:val="11"/>
    <w:rPr>
      <w:sz w:val="24"/>
      <w:szCs w:val="24"/>
    </w:rPr>
  </w:style>
  <w:style w:type="paragraph" w:styleId="820">
    <w:name w:val="Quote"/>
    <w:basedOn w:val="968"/>
    <w:next w:val="968"/>
    <w:link w:val="821"/>
    <w:uiPriority w:val="29"/>
    <w:qFormat/>
    <w:pPr>
      <w:ind w:left="720" w:right="720"/>
    </w:pPr>
    <w:rPr>
      <w:i/>
    </w:rPr>
  </w:style>
  <w:style w:type="character" w:styleId="821">
    <w:name w:val="Quote Char"/>
    <w:link w:val="820"/>
    <w:uiPriority w:val="29"/>
    <w:rPr>
      <w:i/>
    </w:rPr>
  </w:style>
  <w:style w:type="paragraph" w:styleId="822">
    <w:name w:val="Intense Quote"/>
    <w:basedOn w:val="968"/>
    <w:next w:val="968"/>
    <w:link w:val="8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3">
    <w:name w:val="Intense Quote Char"/>
    <w:link w:val="822"/>
    <w:uiPriority w:val="30"/>
    <w:rPr>
      <w:i/>
    </w:rPr>
  </w:style>
  <w:style w:type="character" w:styleId="824">
    <w:name w:val="Header Char"/>
    <w:basedOn w:val="972"/>
    <w:link w:val="991"/>
    <w:uiPriority w:val="99"/>
  </w:style>
  <w:style w:type="character" w:styleId="825">
    <w:name w:val="Footer Char"/>
    <w:basedOn w:val="972"/>
    <w:link w:val="1073"/>
    <w:uiPriority w:val="99"/>
  </w:style>
  <w:style w:type="paragraph" w:styleId="826">
    <w:name w:val="Caption"/>
    <w:basedOn w:val="968"/>
    <w:next w:val="9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7">
    <w:name w:val="Caption Char"/>
    <w:basedOn w:val="826"/>
    <w:link w:val="1073"/>
    <w:uiPriority w:val="99"/>
  </w:style>
  <w:style w:type="table" w:styleId="828">
    <w:name w:val="Table Grid Light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9">
    <w:name w:val="Plain Table 1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0">
    <w:name w:val="Plain Table 2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1">
    <w:name w:val="Plain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2">
    <w:name w:val="Plain Table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Plain Table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4">
    <w:name w:val="Grid Table 1 Light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1 Light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Grid Table 1 Light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1 Light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2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4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6">
    <w:name w:val="Grid Table 4 - Accent 1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7">
    <w:name w:val="Grid Table 4 - Accent 2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8">
    <w:name w:val="Grid Table 4 - Accent 3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9">
    <w:name w:val="Grid Table 4 - Accent 4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0">
    <w:name w:val="Grid Table 4 - Accent 5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1">
    <w:name w:val="Grid Table 4 - Accent 6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2">
    <w:name w:val="Grid Table 5 Dark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3">
    <w:name w:val="Grid Table 5 Dark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5">
    <w:name w:val="Grid Table 5 Dark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6">
    <w:name w:val="Grid Table 5 Dark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7">
    <w:name w:val="Grid Table 5 Dark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8">
    <w:name w:val="Grid Table 5 Dark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9">
    <w:name w:val="Grid Table 6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0">
    <w:name w:val="Grid Table 6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1">
    <w:name w:val="Grid Table 6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2">
    <w:name w:val="Grid Table 6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3">
    <w:name w:val="Grid Table 6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4">
    <w:name w:val="Grid Table 6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5">
    <w:name w:val="Grid Table 6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6">
    <w:name w:val="Grid Table 7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7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1">
    <w:name w:val="List Table 2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2">
    <w:name w:val="List Table 2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3">
    <w:name w:val="List Table 2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4">
    <w:name w:val="List Table 2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5">
    <w:name w:val="List Table 2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6">
    <w:name w:val="List Table 2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7">
    <w:name w:val="List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3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3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3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4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4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4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5 Dark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5 Dark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6">
    <w:name w:val="List Table 5 Dark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7">
    <w:name w:val="List Table 5 Dark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8">
    <w:name w:val="List Table 6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9">
    <w:name w:val="List Table 6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0">
    <w:name w:val="List Table 6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1">
    <w:name w:val="List Table 6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2">
    <w:name w:val="List Table 6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3">
    <w:name w:val="List Table 6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4">
    <w:name w:val="List Table 6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5">
    <w:name w:val="List Table 7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6">
    <w:name w:val="List Table 7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7">
    <w:name w:val="List Table 7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8">
    <w:name w:val="List Table 7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9">
    <w:name w:val="List Table 7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0">
    <w:name w:val="List Table 7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1">
    <w:name w:val="List Table 7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2">
    <w:name w:val="Lined - Accent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3">
    <w:name w:val="Lined - Accent 1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4">
    <w:name w:val="Lined - Accent 2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5">
    <w:name w:val="Lined - Accent 3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6">
    <w:name w:val="Lined - Accent 4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7">
    <w:name w:val="Lined - Accent 5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8">
    <w:name w:val="Lined - Accent 6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9">
    <w:name w:val="Bordered &amp; Lined - Accent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0">
    <w:name w:val="Bordered &amp; Lined - Accent 1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1">
    <w:name w:val="Bordered &amp; Lined - Accent 2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2">
    <w:name w:val="Bordered &amp; Lined - Accent 3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3">
    <w:name w:val="Bordered &amp; Lined - Accent 4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4">
    <w:name w:val="Bordered &amp; Lined - Accent 5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5">
    <w:name w:val="Bordered &amp; Lined - Accent 6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6">
    <w:name w:val="Bordered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7">
    <w:name w:val="Bordered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8">
    <w:name w:val="Bordered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9">
    <w:name w:val="Bordered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0">
    <w:name w:val="Bordered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1">
    <w:name w:val="Bordered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2">
    <w:name w:val="Bordered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3">
    <w:name w:val="Footnote Text Char"/>
    <w:link w:val="1092"/>
    <w:uiPriority w:val="99"/>
    <w:rPr>
      <w:sz w:val="18"/>
    </w:rPr>
  </w:style>
  <w:style w:type="paragraph" w:styleId="954">
    <w:name w:val="endnote text"/>
    <w:basedOn w:val="968"/>
    <w:link w:val="955"/>
    <w:uiPriority w:val="99"/>
    <w:semiHidden/>
    <w:unhideWhenUsed/>
    <w:pPr>
      <w:spacing w:after="0" w:line="240" w:lineRule="auto"/>
    </w:pPr>
    <w:rPr>
      <w:sz w:val="20"/>
    </w:rPr>
  </w:style>
  <w:style w:type="character" w:styleId="955">
    <w:name w:val="Endnote Text Char"/>
    <w:link w:val="954"/>
    <w:uiPriority w:val="99"/>
    <w:rPr>
      <w:sz w:val="20"/>
    </w:rPr>
  </w:style>
  <w:style w:type="character" w:styleId="956">
    <w:name w:val="endnote reference"/>
    <w:basedOn w:val="972"/>
    <w:uiPriority w:val="99"/>
    <w:semiHidden/>
    <w:unhideWhenUsed/>
    <w:rPr>
      <w:vertAlign w:val="superscript"/>
    </w:rPr>
  </w:style>
  <w:style w:type="paragraph" w:styleId="957">
    <w:name w:val="toc 1"/>
    <w:basedOn w:val="968"/>
    <w:next w:val="968"/>
    <w:uiPriority w:val="39"/>
    <w:unhideWhenUsed/>
    <w:pPr>
      <w:ind w:left="0" w:right="0" w:firstLine="0"/>
      <w:spacing w:after="57"/>
    </w:pPr>
  </w:style>
  <w:style w:type="paragraph" w:styleId="958">
    <w:name w:val="toc 2"/>
    <w:basedOn w:val="968"/>
    <w:next w:val="968"/>
    <w:uiPriority w:val="39"/>
    <w:unhideWhenUsed/>
    <w:pPr>
      <w:ind w:left="283" w:right="0" w:firstLine="0"/>
      <w:spacing w:after="57"/>
    </w:pPr>
  </w:style>
  <w:style w:type="paragraph" w:styleId="959">
    <w:name w:val="toc 3"/>
    <w:basedOn w:val="968"/>
    <w:next w:val="968"/>
    <w:uiPriority w:val="39"/>
    <w:unhideWhenUsed/>
    <w:pPr>
      <w:ind w:left="567" w:right="0" w:firstLine="0"/>
      <w:spacing w:after="57"/>
    </w:pPr>
  </w:style>
  <w:style w:type="paragraph" w:styleId="960">
    <w:name w:val="toc 4"/>
    <w:basedOn w:val="968"/>
    <w:next w:val="968"/>
    <w:uiPriority w:val="39"/>
    <w:unhideWhenUsed/>
    <w:pPr>
      <w:ind w:left="850" w:right="0" w:firstLine="0"/>
      <w:spacing w:after="57"/>
    </w:pPr>
  </w:style>
  <w:style w:type="paragraph" w:styleId="961">
    <w:name w:val="toc 5"/>
    <w:basedOn w:val="968"/>
    <w:next w:val="968"/>
    <w:uiPriority w:val="39"/>
    <w:unhideWhenUsed/>
    <w:pPr>
      <w:ind w:left="1134" w:right="0" w:firstLine="0"/>
      <w:spacing w:after="57"/>
    </w:pPr>
  </w:style>
  <w:style w:type="paragraph" w:styleId="962">
    <w:name w:val="toc 6"/>
    <w:basedOn w:val="968"/>
    <w:next w:val="968"/>
    <w:uiPriority w:val="39"/>
    <w:unhideWhenUsed/>
    <w:pPr>
      <w:ind w:left="1417" w:right="0" w:firstLine="0"/>
      <w:spacing w:after="57"/>
    </w:pPr>
  </w:style>
  <w:style w:type="paragraph" w:styleId="963">
    <w:name w:val="toc 7"/>
    <w:basedOn w:val="968"/>
    <w:next w:val="968"/>
    <w:uiPriority w:val="39"/>
    <w:unhideWhenUsed/>
    <w:pPr>
      <w:ind w:left="1701" w:right="0" w:firstLine="0"/>
      <w:spacing w:after="57"/>
    </w:pPr>
  </w:style>
  <w:style w:type="paragraph" w:styleId="964">
    <w:name w:val="toc 8"/>
    <w:basedOn w:val="968"/>
    <w:next w:val="968"/>
    <w:uiPriority w:val="39"/>
    <w:unhideWhenUsed/>
    <w:pPr>
      <w:ind w:left="1984" w:right="0" w:firstLine="0"/>
      <w:spacing w:after="57"/>
    </w:pPr>
  </w:style>
  <w:style w:type="paragraph" w:styleId="965">
    <w:name w:val="toc 9"/>
    <w:basedOn w:val="968"/>
    <w:next w:val="968"/>
    <w:uiPriority w:val="39"/>
    <w:unhideWhenUsed/>
    <w:pPr>
      <w:ind w:left="2268" w:right="0" w:firstLine="0"/>
      <w:spacing w:after="57"/>
    </w:pPr>
  </w:style>
  <w:style w:type="paragraph" w:styleId="966">
    <w:name w:val="TOC Heading"/>
    <w:uiPriority w:val="39"/>
    <w:unhideWhenUsed/>
  </w:style>
  <w:style w:type="paragraph" w:styleId="967">
    <w:name w:val="table of figures"/>
    <w:basedOn w:val="968"/>
    <w:next w:val="968"/>
    <w:uiPriority w:val="99"/>
    <w:unhideWhenUsed/>
    <w:pPr>
      <w:spacing w:after="0" w:afterAutospacing="0"/>
    </w:pPr>
  </w:style>
  <w:style w:type="paragraph" w:styleId="968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69">
    <w:name w:val="Heading 1"/>
    <w:basedOn w:val="968"/>
    <w:next w:val="968"/>
    <w:link w:val="975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70">
    <w:name w:val="Heading 3"/>
    <w:basedOn w:val="968"/>
    <w:next w:val="968"/>
    <w:link w:val="976"/>
    <w:uiPriority w:val="9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71">
    <w:name w:val="Heading 7"/>
    <w:basedOn w:val="968"/>
    <w:next w:val="968"/>
    <w:link w:val="977"/>
    <w:uiPriority w:val="99"/>
    <w:qFormat/>
    <w:pPr>
      <w:spacing w:before="240" w:after="60"/>
      <w:outlineLvl w:val="6"/>
    </w:pPr>
    <w:rPr>
      <w:rFonts w:ascii="Calibri" w:hAnsi="Calibri"/>
    </w:rPr>
  </w:style>
  <w:style w:type="character" w:styleId="972" w:default="1">
    <w:name w:val="Default Paragraph Font"/>
    <w:uiPriority w:val="1"/>
    <w:semiHidden/>
    <w:unhideWhenUsed/>
  </w:style>
  <w:style w:type="table" w:styleId="9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74" w:default="1">
    <w:name w:val="No List"/>
    <w:uiPriority w:val="99"/>
    <w:semiHidden/>
    <w:unhideWhenUsed/>
  </w:style>
  <w:style w:type="character" w:styleId="975" w:customStyle="1">
    <w:name w:val="Заголовок 1 Знак"/>
    <w:basedOn w:val="972"/>
    <w:link w:val="969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76" w:customStyle="1">
    <w:name w:val="Заголовок 3 Знак"/>
    <w:basedOn w:val="972"/>
    <w:link w:val="970"/>
    <w:uiPriority w:val="99"/>
    <w:rPr>
      <w:rFonts w:ascii="Cambria" w:hAnsi="Cambria" w:cs="Times New Roman"/>
      <w:b/>
      <w:bCs/>
      <w:sz w:val="26"/>
      <w:szCs w:val="26"/>
      <w:lang w:eastAsia="ru-RU"/>
    </w:rPr>
  </w:style>
  <w:style w:type="character" w:styleId="977" w:customStyle="1">
    <w:name w:val="Заголовок 7 Знак"/>
    <w:basedOn w:val="972"/>
    <w:link w:val="971"/>
    <w:uiPriority w:val="99"/>
    <w:rPr>
      <w:rFonts w:ascii="Calibri" w:hAnsi="Calibri" w:cs="Times New Roman"/>
      <w:sz w:val="24"/>
      <w:szCs w:val="24"/>
      <w:lang w:eastAsia="ru-RU"/>
    </w:rPr>
  </w:style>
  <w:style w:type="paragraph" w:styleId="978">
    <w:name w:val="Body Text Indent"/>
    <w:basedOn w:val="968"/>
    <w:link w:val="979"/>
    <w:uiPriority w:val="99"/>
    <w:pPr>
      <w:ind w:left="283"/>
      <w:spacing w:after="120"/>
    </w:pPr>
  </w:style>
  <w:style w:type="character" w:styleId="979" w:customStyle="1">
    <w:name w:val="Основной текст с отступом Знак"/>
    <w:basedOn w:val="972"/>
    <w:link w:val="978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80">
    <w:name w:val="Body Text Indent 2"/>
    <w:basedOn w:val="968"/>
    <w:link w:val="981"/>
    <w:uiPriority w:val="99"/>
    <w:pPr>
      <w:ind w:left="283"/>
      <w:spacing w:after="120" w:line="480" w:lineRule="auto"/>
    </w:pPr>
  </w:style>
  <w:style w:type="character" w:styleId="981" w:customStyle="1">
    <w:name w:val="Основной текст с отступом 2 Знак"/>
    <w:basedOn w:val="972"/>
    <w:link w:val="980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82">
    <w:name w:val="Body Text Indent 3"/>
    <w:basedOn w:val="968"/>
    <w:link w:val="983"/>
    <w:uiPriority w:val="99"/>
    <w:pPr>
      <w:ind w:left="283"/>
      <w:spacing w:after="120"/>
    </w:pPr>
    <w:rPr>
      <w:sz w:val="16"/>
      <w:szCs w:val="16"/>
    </w:rPr>
  </w:style>
  <w:style w:type="character" w:styleId="983" w:customStyle="1">
    <w:name w:val="Основной текст с отступом 3 Знак"/>
    <w:basedOn w:val="972"/>
    <w:link w:val="982"/>
    <w:uiPriority w:val="99"/>
    <w:rPr>
      <w:rFonts w:ascii="Times New Roman" w:hAnsi="Times New Roman" w:cs="Times New Roman"/>
      <w:sz w:val="16"/>
      <w:szCs w:val="16"/>
      <w:lang w:eastAsia="ru-RU"/>
    </w:rPr>
  </w:style>
  <w:style w:type="paragraph" w:styleId="984">
    <w:name w:val="Body Text 2"/>
    <w:basedOn w:val="968"/>
    <w:link w:val="985"/>
    <w:uiPriority w:val="99"/>
    <w:pPr>
      <w:spacing w:after="120" w:line="480" w:lineRule="auto"/>
    </w:pPr>
  </w:style>
  <w:style w:type="character" w:styleId="985" w:customStyle="1">
    <w:name w:val="Основной текст 2 Знак"/>
    <w:basedOn w:val="972"/>
    <w:link w:val="984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86">
    <w:name w:val="Body Text"/>
    <w:basedOn w:val="968"/>
    <w:link w:val="987"/>
    <w:uiPriority w:val="99"/>
    <w:pPr>
      <w:spacing w:after="120"/>
    </w:pPr>
  </w:style>
  <w:style w:type="character" w:styleId="987" w:customStyle="1">
    <w:name w:val="Основной текст Знак"/>
    <w:basedOn w:val="972"/>
    <w:link w:val="986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88" w:customStyle="1">
    <w:name w:val="Обычный/eF"/>
    <w:uiPriority w:val="99"/>
    <w:qFormat/>
    <w:rPr>
      <w:rFonts w:ascii="Arial" w:hAnsi="Arial" w:eastAsia="Times New Roman"/>
      <w:i/>
      <w:sz w:val="20"/>
      <w:szCs w:val="20"/>
    </w:rPr>
  </w:style>
  <w:style w:type="paragraph" w:styleId="989" w:customStyle="1">
    <w:name w:val="xl32"/>
    <w:basedOn w:val="968"/>
    <w:uiPriority w:val="99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Unicode MS" w:hAnsi="Arial Unicode MS" w:eastAsia="Arial Unicode MS" w:cs="Arial Unicode MS"/>
    </w:rPr>
  </w:style>
  <w:style w:type="paragraph" w:styleId="990" w:customStyle="1">
    <w:name w:val="ConsNormal"/>
    <w:uiPriority w:val="99"/>
    <w:pPr>
      <w:ind w:right="19772" w:firstLine="720"/>
      <w:widowControl w:val="off"/>
    </w:pPr>
    <w:rPr>
      <w:rFonts w:ascii="Arial" w:hAnsi="Arial" w:eastAsia="Times New Roman" w:cs="Arial"/>
      <w:sz w:val="20"/>
      <w:szCs w:val="20"/>
    </w:rPr>
  </w:style>
  <w:style w:type="paragraph" w:styleId="991">
    <w:name w:val="Header"/>
    <w:basedOn w:val="968"/>
    <w:link w:val="992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992" w:customStyle="1">
    <w:name w:val="Верхний колонтитул Знак"/>
    <w:basedOn w:val="972"/>
    <w:link w:val="991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993">
    <w:name w:val="List Paragraph"/>
    <w:basedOn w:val="968"/>
    <w:link w:val="1091"/>
    <w:uiPriority w:val="34"/>
    <w:qFormat/>
    <w:pPr>
      <w:ind w:left="708"/>
    </w:pPr>
  </w:style>
  <w:style w:type="character" w:styleId="994">
    <w:name w:val="Hyperlink"/>
    <w:basedOn w:val="972"/>
    <w:uiPriority w:val="99"/>
    <w:semiHidden/>
    <w:rPr>
      <w:rFonts w:cs="Times New Roman"/>
      <w:color w:val="0000ff"/>
      <w:u w:val="single"/>
    </w:rPr>
  </w:style>
  <w:style w:type="character" w:styleId="995">
    <w:name w:val="FollowedHyperlink"/>
    <w:basedOn w:val="972"/>
    <w:uiPriority w:val="99"/>
    <w:semiHidden/>
    <w:rPr>
      <w:rFonts w:cs="Times New Roman"/>
      <w:color w:val="800080"/>
      <w:u w:val="single"/>
    </w:rPr>
  </w:style>
  <w:style w:type="paragraph" w:styleId="996" w:customStyle="1">
    <w:name w:val="font5"/>
    <w:basedOn w:val="968"/>
    <w:uiPriority w:val="99"/>
    <w:pPr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</w:rPr>
  </w:style>
  <w:style w:type="paragraph" w:styleId="997" w:customStyle="1">
    <w:name w:val="font6"/>
    <w:basedOn w:val="968"/>
    <w:uiPriority w:val="99"/>
    <w:pPr>
      <w:spacing w:before="100" w:beforeAutospacing="1" w:after="100" w:afterAutospacing="1"/>
    </w:pPr>
    <w:rPr>
      <w:rFonts w:ascii="Arial CYR" w:hAnsi="Arial CYR" w:cs="Arial CYR"/>
      <w:b/>
      <w:bCs/>
      <w:color w:val="000000"/>
      <w:sz w:val="18"/>
      <w:szCs w:val="18"/>
    </w:rPr>
  </w:style>
  <w:style w:type="paragraph" w:styleId="998" w:customStyle="1">
    <w:name w:val="font7"/>
    <w:basedOn w:val="968"/>
    <w:uiPriority w:val="99"/>
    <w:pPr>
      <w:spacing w:before="100" w:beforeAutospacing="1" w:after="100" w:afterAutospacing="1"/>
    </w:pPr>
    <w:rPr>
      <w:rFonts w:ascii="Arial CYR" w:hAnsi="Arial CYR" w:cs="Arial CYR"/>
      <w:b/>
      <w:bCs/>
      <w:color w:val="ff0000"/>
      <w:sz w:val="18"/>
      <w:szCs w:val="18"/>
    </w:rPr>
  </w:style>
  <w:style w:type="paragraph" w:styleId="999" w:customStyle="1">
    <w:name w:val="xl64"/>
    <w:basedOn w:val="968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1000" w:customStyle="1">
    <w:name w:val="xl65"/>
    <w:basedOn w:val="96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01" w:customStyle="1">
    <w:name w:val="xl66"/>
    <w:basedOn w:val="968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02" w:customStyle="1">
    <w:name w:val="xl67"/>
    <w:basedOn w:val="96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20"/>
      <w:szCs w:val="20"/>
    </w:rPr>
  </w:style>
  <w:style w:type="paragraph" w:styleId="1003" w:customStyle="1">
    <w:name w:val="xl68"/>
    <w:basedOn w:val="96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20"/>
      <w:szCs w:val="20"/>
    </w:rPr>
  </w:style>
  <w:style w:type="paragraph" w:styleId="1004" w:customStyle="1">
    <w:name w:val="xl69"/>
    <w:basedOn w:val="96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  <w:color w:val="000000"/>
      <w:sz w:val="28"/>
      <w:szCs w:val="28"/>
    </w:rPr>
  </w:style>
  <w:style w:type="paragraph" w:styleId="1005" w:customStyle="1">
    <w:name w:val="xl70"/>
    <w:basedOn w:val="96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</w:rPr>
  </w:style>
  <w:style w:type="paragraph" w:styleId="1006" w:customStyle="1">
    <w:name w:val="xl71"/>
    <w:basedOn w:val="96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07" w:customStyle="1">
    <w:name w:val="xl72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08" w:customStyle="1">
    <w:name w:val="xl73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09" w:customStyle="1">
    <w:name w:val="xl74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10" w:customStyle="1">
    <w:name w:val="xl75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11" w:customStyle="1">
    <w:name w:val="xl76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12" w:customStyle="1">
    <w:name w:val="xl77"/>
    <w:basedOn w:val="96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13" w:customStyle="1">
    <w:name w:val="xl78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14" w:customStyle="1">
    <w:name w:val="xl79"/>
    <w:basedOn w:val="96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15" w:customStyle="1">
    <w:name w:val="xl80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16" w:customStyle="1">
    <w:name w:val="xl81"/>
    <w:basedOn w:val="96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17" w:customStyle="1">
    <w:name w:val="xl82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18" w:customStyle="1">
    <w:name w:val="xl83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Arial CYR" w:hAnsi="Arial CYR" w:cs="Arial CYR"/>
      <w:b/>
      <w:bCs/>
      <w:color w:val="000000"/>
      <w:sz w:val="18"/>
      <w:szCs w:val="18"/>
    </w:rPr>
  </w:style>
  <w:style w:type="paragraph" w:styleId="1019" w:customStyle="1">
    <w:name w:val="xl84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20" w:customStyle="1">
    <w:name w:val="xl85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21" w:customStyle="1">
    <w:name w:val="xl86"/>
    <w:basedOn w:val="96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Arial CYR" w:hAnsi="Arial CYR" w:cs="Arial CYR"/>
      <w:b/>
      <w:bCs/>
      <w:color w:val="000000"/>
      <w:sz w:val="28"/>
      <w:szCs w:val="28"/>
    </w:rPr>
  </w:style>
  <w:style w:type="paragraph" w:styleId="1022" w:customStyle="1">
    <w:name w:val="xl87"/>
    <w:basedOn w:val="968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</w:pBdr>
    </w:pPr>
    <w:rPr>
      <w:rFonts w:ascii="Arial CYR" w:hAnsi="Arial CYR" w:cs="Arial CYR"/>
      <w:b/>
      <w:bCs/>
    </w:rPr>
  </w:style>
  <w:style w:type="paragraph" w:styleId="1023" w:customStyle="1">
    <w:name w:val="xl88"/>
    <w:basedOn w:val="968"/>
    <w:pPr>
      <w:spacing w:before="100" w:beforeAutospacing="1" w:after="100" w:afterAutospacing="1"/>
      <w:pBdr>
        <w:top w:val="single" w:color="000000" w:sz="8" w:space="0"/>
        <w:bottom w:val="single" w:color="000000" w:sz="8" w:space="0"/>
      </w:pBdr>
    </w:pPr>
    <w:rPr>
      <w:rFonts w:ascii="Arial CYR" w:hAnsi="Arial CYR" w:cs="Arial CYR"/>
      <w:sz w:val="20"/>
      <w:szCs w:val="20"/>
    </w:rPr>
  </w:style>
  <w:style w:type="paragraph" w:styleId="1024" w:customStyle="1">
    <w:name w:val="xl89"/>
    <w:basedOn w:val="968"/>
    <w:pPr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Arial CYR" w:hAnsi="Arial CYR" w:cs="Arial CYR"/>
      <w:sz w:val="20"/>
      <w:szCs w:val="20"/>
    </w:rPr>
  </w:style>
  <w:style w:type="paragraph" w:styleId="1025" w:customStyle="1">
    <w:name w:val="xl90"/>
    <w:basedOn w:val="96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26" w:customStyle="1">
    <w:name w:val="xl91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27" w:customStyle="1">
    <w:name w:val="xl92"/>
    <w:basedOn w:val="96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28" w:customStyle="1">
    <w:name w:val="xl93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29" w:customStyle="1">
    <w:name w:val="xl94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30" w:customStyle="1">
    <w:name w:val="xl95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31" w:customStyle="1">
    <w:name w:val="xl96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32" w:customStyle="1">
    <w:name w:val="xl97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33" w:customStyle="1">
    <w:name w:val="xl98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b/>
      <w:bCs/>
      <w:color w:val="000000"/>
      <w:sz w:val="18"/>
      <w:szCs w:val="18"/>
    </w:rPr>
  </w:style>
  <w:style w:type="paragraph" w:styleId="1034" w:customStyle="1">
    <w:name w:val="xl99"/>
    <w:basedOn w:val="96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  <w:color w:val="000000"/>
    </w:rPr>
  </w:style>
  <w:style w:type="paragraph" w:styleId="1035" w:customStyle="1">
    <w:name w:val="xl100"/>
    <w:basedOn w:val="968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</w:rPr>
  </w:style>
  <w:style w:type="paragraph" w:styleId="1036" w:customStyle="1">
    <w:name w:val="xl101"/>
    <w:basedOn w:val="968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</w:rPr>
  </w:style>
  <w:style w:type="paragraph" w:styleId="1037" w:customStyle="1">
    <w:name w:val="xl102"/>
    <w:basedOn w:val="968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38" w:customStyle="1">
    <w:name w:val="xl103"/>
    <w:basedOn w:val="968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Arial CYR" w:hAnsi="Arial CYR" w:cs="Arial CYR"/>
      <w:sz w:val="18"/>
      <w:szCs w:val="18"/>
    </w:rPr>
  </w:style>
  <w:style w:type="paragraph" w:styleId="1039" w:customStyle="1">
    <w:name w:val="xl104"/>
    <w:basedOn w:val="96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  <w:sz w:val="28"/>
      <w:szCs w:val="28"/>
    </w:rPr>
  </w:style>
  <w:style w:type="paragraph" w:styleId="1040" w:customStyle="1">
    <w:name w:val="xl105"/>
    <w:basedOn w:val="96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1041" w:customStyle="1">
    <w:name w:val="xl106"/>
    <w:basedOn w:val="968"/>
    <w:pPr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42" w:customStyle="1">
    <w:name w:val="xl107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43" w:customStyle="1">
    <w:name w:val="xl108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  <w:color w:val="000000"/>
      <w:sz w:val="18"/>
      <w:szCs w:val="18"/>
    </w:rPr>
  </w:style>
  <w:style w:type="paragraph" w:styleId="1044" w:customStyle="1">
    <w:name w:val="xl109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45" w:customStyle="1">
    <w:name w:val="xl110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46" w:customStyle="1">
    <w:name w:val="xl111"/>
    <w:basedOn w:val="968"/>
    <w:pPr>
      <w:spacing w:before="100" w:beforeAutospacing="1" w:after="100" w:afterAutospacing="1"/>
      <w:pBdr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Arial CYR" w:hAnsi="Arial CYR" w:cs="Arial CYR"/>
      <w:sz w:val="18"/>
      <w:szCs w:val="18"/>
    </w:rPr>
  </w:style>
  <w:style w:type="paragraph" w:styleId="1047" w:customStyle="1">
    <w:name w:val="xl112"/>
    <w:basedOn w:val="96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48" w:customStyle="1">
    <w:name w:val="xl113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49" w:customStyle="1">
    <w:name w:val="xl114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50" w:customStyle="1">
    <w:name w:val="xl115"/>
    <w:basedOn w:val="968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</w:rPr>
  </w:style>
  <w:style w:type="paragraph" w:styleId="1051" w:customStyle="1">
    <w:name w:val="xl116"/>
    <w:basedOn w:val="968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 CYR" w:hAnsi="Arial CYR" w:cs="Arial CYR"/>
      <w:b/>
      <w:bCs/>
      <w:sz w:val="20"/>
      <w:szCs w:val="20"/>
    </w:rPr>
  </w:style>
  <w:style w:type="paragraph" w:styleId="1052" w:customStyle="1">
    <w:name w:val="xl117"/>
    <w:basedOn w:val="968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Arial CYR" w:hAnsi="Arial CYR" w:cs="Arial CYR"/>
      <w:b/>
      <w:bCs/>
      <w:sz w:val="18"/>
      <w:szCs w:val="18"/>
    </w:rPr>
  </w:style>
  <w:style w:type="paragraph" w:styleId="1053" w:customStyle="1">
    <w:name w:val="xl118"/>
    <w:basedOn w:val="96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54" w:customStyle="1">
    <w:name w:val="xl119"/>
    <w:basedOn w:val="968"/>
    <w:pPr>
      <w:spacing w:before="100" w:beforeAutospacing="1" w:after="100" w:afterAutospacing="1"/>
      <w:pBdr>
        <w:top w:val="single" w:color="000000" w:sz="8" w:space="0"/>
        <w:bottom w:val="single" w:color="000000" w:sz="8" w:space="0"/>
      </w:pBdr>
    </w:pPr>
    <w:rPr>
      <w:rFonts w:ascii="Arial CYR" w:hAnsi="Arial CYR" w:cs="Arial CYR"/>
      <w:b/>
      <w:bCs/>
    </w:rPr>
  </w:style>
  <w:style w:type="paragraph" w:styleId="1055" w:customStyle="1">
    <w:name w:val="xl120"/>
    <w:basedOn w:val="968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</w:pBdr>
    </w:pPr>
    <w:rPr>
      <w:rFonts w:ascii="Arial CYR" w:hAnsi="Arial CYR" w:cs="Arial CYR"/>
      <w:b/>
      <w:bCs/>
    </w:rPr>
  </w:style>
  <w:style w:type="paragraph" w:styleId="1056" w:customStyle="1">
    <w:name w:val="xl121"/>
    <w:basedOn w:val="968"/>
    <w:uiPriority w:val="99"/>
    <w:pPr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Arial CYR" w:hAnsi="Arial CYR" w:cs="Arial CYR"/>
      <w:b/>
      <w:bCs/>
    </w:rPr>
  </w:style>
  <w:style w:type="paragraph" w:styleId="1057" w:customStyle="1">
    <w:name w:val="xl122"/>
    <w:basedOn w:val="968"/>
    <w:uiPriority w:val="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58" w:customStyle="1">
    <w:name w:val="xl123"/>
    <w:basedOn w:val="968"/>
    <w:uiPriority w:val="9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59" w:customStyle="1">
    <w:name w:val="xl124"/>
    <w:basedOn w:val="968"/>
    <w:uiPriority w:val="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60" w:customStyle="1">
    <w:name w:val="xl125"/>
    <w:basedOn w:val="968"/>
    <w:uiPriority w:val="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61" w:customStyle="1">
    <w:name w:val="xl126"/>
    <w:basedOn w:val="968"/>
    <w:uiPriority w:val="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62" w:customStyle="1">
    <w:name w:val="xl127"/>
    <w:basedOn w:val="968"/>
    <w:uiPriority w:val="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63" w:customStyle="1">
    <w:name w:val="xl128"/>
    <w:basedOn w:val="968"/>
    <w:uiPriority w:val="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cs="Arial CYR"/>
      <w:sz w:val="18"/>
      <w:szCs w:val="18"/>
    </w:rPr>
  </w:style>
  <w:style w:type="paragraph" w:styleId="1064" w:customStyle="1">
    <w:name w:val="xl129"/>
    <w:basedOn w:val="968"/>
    <w:uiPriority w:val="99"/>
    <w:pPr>
      <w:spacing w:before="100" w:beforeAutospacing="1" w:after="100" w:afterAutospacing="1"/>
      <w:pBdr>
        <w:top w:val="single" w:color="000000" w:sz="8" w:space="0"/>
        <w:bottom w:val="single" w:color="000000" w:sz="8" w:space="0"/>
      </w:pBdr>
    </w:pPr>
    <w:rPr>
      <w:rFonts w:ascii="Arial CYR" w:hAnsi="Arial CYR" w:cs="Arial CYR"/>
      <w:b/>
      <w:bCs/>
    </w:rPr>
  </w:style>
  <w:style w:type="paragraph" w:styleId="1065" w:customStyle="1">
    <w:name w:val="xl130"/>
    <w:basedOn w:val="968"/>
    <w:uiPriority w:val="99"/>
    <w:pPr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Arial CYR" w:hAnsi="Arial CYR" w:cs="Arial CYR"/>
      <w:b/>
      <w:bCs/>
    </w:rPr>
  </w:style>
  <w:style w:type="paragraph" w:styleId="1066" w:customStyle="1">
    <w:name w:val="xl131"/>
    <w:basedOn w:val="968"/>
    <w:uiPriority w:val="99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rFonts w:ascii="Arial CYR" w:hAnsi="Arial CYR" w:cs="Arial CYR"/>
      <w:b/>
      <w:bCs/>
    </w:rPr>
  </w:style>
  <w:style w:type="paragraph" w:styleId="1067" w:customStyle="1">
    <w:name w:val="xl132"/>
    <w:basedOn w:val="968"/>
    <w:uiPriority w:val="99"/>
    <w:pPr>
      <w:spacing w:before="100" w:beforeAutospacing="1" w:after="100" w:afterAutospacing="1"/>
      <w:pBdr>
        <w:bottom w:val="single" w:color="000000" w:sz="4" w:space="0"/>
      </w:pBdr>
    </w:pPr>
    <w:rPr>
      <w:rFonts w:ascii="Arial CYR" w:hAnsi="Arial CYR" w:cs="Arial CYR"/>
      <w:b/>
      <w:bCs/>
    </w:rPr>
  </w:style>
  <w:style w:type="paragraph" w:styleId="1068" w:customStyle="1">
    <w:name w:val="xl133"/>
    <w:basedOn w:val="968"/>
    <w:uiPriority w:val="99"/>
    <w:pPr>
      <w:spacing w:before="100" w:beforeAutospacing="1" w:after="100" w:afterAutospacing="1"/>
      <w:pBdr>
        <w:bottom w:val="single" w:color="000000" w:sz="4" w:space="0"/>
      </w:pBdr>
    </w:pPr>
    <w:rPr>
      <w:rFonts w:ascii="Arial CYR" w:hAnsi="Arial CYR" w:cs="Arial CYR"/>
      <w:b/>
      <w:bCs/>
    </w:rPr>
  </w:style>
  <w:style w:type="paragraph" w:styleId="1069" w:customStyle="1">
    <w:name w:val="xl134"/>
    <w:basedOn w:val="968"/>
    <w:uiPriority w:val="99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  <w:rPr>
      <w:rFonts w:ascii="Arial CYR" w:hAnsi="Arial CYR" w:cs="Arial CYR"/>
      <w:b/>
      <w:bCs/>
    </w:rPr>
  </w:style>
  <w:style w:type="paragraph" w:styleId="1070">
    <w:name w:val="No Spacing"/>
    <w:uiPriority w:val="1"/>
    <w:qFormat/>
    <w:pPr>
      <w:widowControl w:val="off"/>
    </w:pPr>
    <w:rPr>
      <w:rFonts w:ascii="Times New Roman" w:hAnsi="Times New Roman" w:eastAsia="Times New Roman"/>
      <w:sz w:val="20"/>
      <w:szCs w:val="20"/>
    </w:rPr>
  </w:style>
  <w:style w:type="table" w:styleId="1071">
    <w:name w:val="Table Grid"/>
    <w:basedOn w:val="973"/>
    <w:uiPriority w:val="59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72" w:customStyle="1">
    <w:name w:val="Main text"/>
    <w:uiPriority w:val="99"/>
    <w:pPr>
      <w:jc w:val="both"/>
      <w:spacing w:before="120"/>
    </w:pPr>
    <w:rPr>
      <w:rFonts w:ascii="Verdana" w:hAnsi="Verdana" w:eastAsia="Times New Roman" w:cs="Verdana"/>
      <w:sz w:val="18"/>
      <w:szCs w:val="18"/>
    </w:rPr>
  </w:style>
  <w:style w:type="paragraph" w:styleId="1073">
    <w:name w:val="Footer"/>
    <w:basedOn w:val="968"/>
    <w:link w:val="1074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1074" w:customStyle="1">
    <w:name w:val="Нижний колонтитул Знак"/>
    <w:basedOn w:val="972"/>
    <w:link w:val="1073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paragraph" w:styleId="1075">
    <w:name w:val="Balloon Text"/>
    <w:basedOn w:val="968"/>
    <w:link w:val="1076"/>
    <w:uiPriority w:val="99"/>
    <w:semiHidden/>
    <w:rPr>
      <w:rFonts w:ascii="Segoe UI" w:hAnsi="Segoe UI" w:cs="Segoe UI"/>
      <w:sz w:val="18"/>
      <w:szCs w:val="18"/>
    </w:rPr>
  </w:style>
  <w:style w:type="character" w:styleId="1076" w:customStyle="1">
    <w:name w:val="Текст выноски Знак"/>
    <w:basedOn w:val="972"/>
    <w:link w:val="1075"/>
    <w:uiPriority w:val="99"/>
    <w:semiHidden/>
    <w:rPr>
      <w:rFonts w:ascii="Segoe UI" w:hAnsi="Segoe UI" w:cs="Segoe UI"/>
      <w:sz w:val="18"/>
      <w:szCs w:val="18"/>
      <w:lang w:eastAsia="ru-RU"/>
    </w:rPr>
  </w:style>
  <w:style w:type="paragraph" w:styleId="1077" w:customStyle="1">
    <w:name w:val="Arial"/>
    <w:basedOn w:val="986"/>
    <w:semiHidden/>
    <w:pPr>
      <w:jc w:val="both"/>
      <w:spacing w:after="0"/>
    </w:pPr>
    <w:rPr>
      <w:rFonts w:cs="Arial"/>
      <w:sz w:val="20"/>
      <w:szCs w:val="20"/>
      <w:lang w:val="en-US"/>
    </w:rPr>
  </w:style>
  <w:style w:type="character" w:styleId="1078" w:customStyle="1">
    <w:name w:val="Другое_"/>
    <w:basedOn w:val="972"/>
    <w:link w:val="1079"/>
    <w:rPr>
      <w:rFonts w:ascii="Times New Roman" w:hAnsi="Times New Roman" w:eastAsia="Times New Roman"/>
      <w:color w:val="1c1721"/>
      <w:shd w:val="clear" w:color="auto" w:fill="ffffff"/>
    </w:rPr>
  </w:style>
  <w:style w:type="paragraph" w:styleId="1079" w:customStyle="1">
    <w:name w:val="Другое"/>
    <w:basedOn w:val="968"/>
    <w:link w:val="1078"/>
    <w:pPr>
      <w:shd w:val="clear" w:color="auto" w:fill="ffffff"/>
      <w:widowControl w:val="off"/>
    </w:pPr>
    <w:rPr>
      <w:color w:val="1c1721"/>
      <w:sz w:val="22"/>
      <w:szCs w:val="22"/>
    </w:rPr>
  </w:style>
  <w:style w:type="paragraph" w:styleId="1080" w:customStyle="1">
    <w:name w:val="Preformatted Text"/>
    <w:basedOn w:val="968"/>
    <w:qFormat/>
    <w:pPr>
      <w:widowControl w:val="off"/>
    </w:pPr>
    <w:rPr>
      <w:rFonts w:ascii="Liberation Mono" w:hAnsi="Liberation Mono" w:eastAsia="Liberation Mono" w:cs="Liberation Mono"/>
      <w:sz w:val="20"/>
      <w:szCs w:val="20"/>
      <w:lang w:val="en-US" w:eastAsia="zh-CN" w:bidi="hi-IN"/>
    </w:rPr>
  </w:style>
  <w:style w:type="paragraph" w:styleId="1081" w:customStyle="1">
    <w:name w:val="Основной текст с отступом 21"/>
    <w:basedOn w:val="968"/>
    <w:pPr>
      <w:ind w:firstLine="360"/>
      <w:jc w:val="both"/>
    </w:pPr>
    <w:rPr>
      <w:sz w:val="22"/>
      <w:szCs w:val="22"/>
      <w:lang w:eastAsia="ar-SA"/>
    </w:rPr>
  </w:style>
  <w:style w:type="paragraph" w:styleId="1082" w:customStyle="1">
    <w:name w:val="Подпись к таблице"/>
    <w:basedOn w:val="968"/>
    <w:link w:val="1083"/>
    <w:pPr>
      <w:shd w:val="clear" w:color="auto" w:fill="ffffff"/>
      <w:widowControl w:val="off"/>
    </w:pPr>
    <w:rPr>
      <w:b/>
      <w:bCs/>
      <w:color w:val="000000"/>
      <w:lang w:bidi="ru-RU"/>
    </w:rPr>
  </w:style>
  <w:style w:type="character" w:styleId="1083" w:customStyle="1">
    <w:name w:val="Подпись к таблице_"/>
    <w:basedOn w:val="972"/>
    <w:link w:val="1082"/>
    <w:rPr>
      <w:rFonts w:ascii="Times New Roman" w:hAnsi="Times New Roman" w:eastAsia="Times New Roman"/>
      <w:b/>
      <w:bCs/>
      <w:color w:val="000000"/>
      <w:sz w:val="24"/>
      <w:szCs w:val="24"/>
      <w:shd w:val="clear" w:color="auto" w:fill="ffffff"/>
      <w:lang w:bidi="ru-RU"/>
    </w:rPr>
  </w:style>
  <w:style w:type="character" w:styleId="1084">
    <w:name w:val="annotation reference"/>
    <w:basedOn w:val="972"/>
    <w:uiPriority w:val="99"/>
    <w:semiHidden/>
    <w:unhideWhenUsed/>
    <w:rPr>
      <w:sz w:val="16"/>
      <w:szCs w:val="16"/>
    </w:rPr>
  </w:style>
  <w:style w:type="paragraph" w:styleId="1085">
    <w:name w:val="annotation text"/>
    <w:basedOn w:val="968"/>
    <w:link w:val="1086"/>
    <w:uiPriority w:val="99"/>
    <w:semiHidden/>
    <w:unhideWhenUsed/>
    <w:rPr>
      <w:sz w:val="20"/>
      <w:szCs w:val="20"/>
    </w:rPr>
  </w:style>
  <w:style w:type="character" w:styleId="1086" w:customStyle="1">
    <w:name w:val="Текст примечания Знак"/>
    <w:basedOn w:val="972"/>
    <w:link w:val="1085"/>
    <w:uiPriority w:val="99"/>
    <w:semiHidden/>
    <w:rPr>
      <w:rFonts w:ascii="Times New Roman" w:hAnsi="Times New Roman" w:eastAsia="Times New Roman"/>
      <w:sz w:val="20"/>
      <w:szCs w:val="20"/>
    </w:rPr>
  </w:style>
  <w:style w:type="paragraph" w:styleId="1087">
    <w:name w:val="annotation subject"/>
    <w:basedOn w:val="1085"/>
    <w:next w:val="1085"/>
    <w:link w:val="1088"/>
    <w:uiPriority w:val="99"/>
    <w:semiHidden/>
    <w:unhideWhenUsed/>
    <w:rPr>
      <w:b/>
      <w:bCs/>
    </w:rPr>
  </w:style>
  <w:style w:type="character" w:styleId="1088" w:customStyle="1">
    <w:name w:val="Тема примечания Знак"/>
    <w:basedOn w:val="1086"/>
    <w:link w:val="1087"/>
    <w:uiPriority w:val="99"/>
    <w:semiHidden/>
    <w:rPr>
      <w:rFonts w:ascii="Times New Roman" w:hAnsi="Times New Roman" w:eastAsia="Times New Roman"/>
      <w:b/>
      <w:bCs/>
      <w:sz w:val="20"/>
      <w:szCs w:val="20"/>
    </w:rPr>
  </w:style>
  <w:style w:type="paragraph" w:styleId="1089" w:customStyle="1">
    <w:name w:val="ConsPlusCell"/>
    <w:pPr>
      <w:widowControl w:val="off"/>
    </w:pPr>
    <w:rPr>
      <w:rFonts w:ascii="Arial" w:hAnsi="Arial" w:eastAsia="Times New Roman" w:cs="Arial"/>
      <w:sz w:val="20"/>
      <w:szCs w:val="20"/>
    </w:rPr>
  </w:style>
  <w:style w:type="paragraph" w:styleId="1090" w:customStyle="1">
    <w:name w:val="Default"/>
    <w:rPr>
      <w:rFonts w:ascii="Arial" w:hAnsi="Arial" w:cs="Arial"/>
      <w:color w:val="000000"/>
      <w:sz w:val="24"/>
      <w:szCs w:val="24"/>
    </w:rPr>
  </w:style>
  <w:style w:type="character" w:styleId="1091" w:customStyle="1">
    <w:name w:val="Абзац списка Знак"/>
    <w:link w:val="993"/>
    <w:uiPriority w:val="34"/>
    <w:qFormat/>
    <w:rPr>
      <w:rFonts w:ascii="Times New Roman" w:hAnsi="Times New Roman" w:eastAsia="Times New Roman"/>
      <w:sz w:val="24"/>
      <w:szCs w:val="24"/>
    </w:rPr>
  </w:style>
  <w:style w:type="paragraph" w:styleId="1092">
    <w:name w:val="footnote text"/>
    <w:basedOn w:val="968"/>
    <w:link w:val="1093"/>
    <w:uiPriority w:val="99"/>
    <w:semiHidden/>
    <w:unhideWhenUsed/>
    <w:rPr>
      <w:rFonts w:ascii="Calibri" w:hAnsi="Calibri" w:eastAsia="Calibri"/>
      <w:sz w:val="20"/>
      <w:szCs w:val="20"/>
      <w:lang w:eastAsia="en-US"/>
    </w:rPr>
  </w:style>
  <w:style w:type="character" w:styleId="1093" w:customStyle="1">
    <w:name w:val="Текст сноски Знак"/>
    <w:basedOn w:val="972"/>
    <w:link w:val="1092"/>
    <w:uiPriority w:val="99"/>
    <w:semiHidden/>
    <w:rPr>
      <w:sz w:val="20"/>
      <w:szCs w:val="20"/>
      <w:lang w:eastAsia="en-US"/>
    </w:rPr>
  </w:style>
  <w:style w:type="character" w:styleId="1094">
    <w:name w:val="footnote reference"/>
    <w:basedOn w:val="972"/>
    <w:uiPriority w:val="99"/>
    <w:semiHidden/>
    <w:unhideWhenUsed/>
    <w:rPr>
      <w:vertAlign w:val="superscript"/>
    </w:rPr>
  </w:style>
  <w:style w:type="paragraph" w:styleId="1095" w:customStyle="1">
    <w:name w:val="Текст сноски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SimSun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character" w:styleId="1096" w:customStyle="1">
    <w:name w:val="Символ сноски"/>
    <w:rPr>
      <w:vertAlign w:val="superscript"/>
    </w:rPr>
  </w:style>
  <w:style w:type="paragraph" w:styleId="1097" w:customStyle="1">
    <w:name w:val="Оглавление 61"/>
    <w:pPr>
      <w:numPr>
        <w:ilvl w:val="0"/>
        <w:numId w:val="43"/>
      </w:numPr>
      <w:contextualSpacing w:val="0"/>
      <w:ind w:left="0" w:right="0" w:firstLine="709"/>
      <w:jc w:val="both"/>
      <w:keepLines w:val="0"/>
      <w:keepNext w:val="0"/>
      <w:pageBreakBefore w:val="0"/>
      <w:spacing w:before="60" w:beforeAutospacing="0" w:after="60" w:afterAutospacing="0" w:line="288" w:lineRule="auto"/>
      <w:shd w:val="nil"/>
      <w:widowControl w:val="off"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98" w:customStyle="1">
    <w:name w:val="Абзац списка1"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99" w:customStyle="1">
    <w:name w:val="Отступ ТЗ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Mangal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42413CE1F5982A93907E6E08FD4E4A03260423D6357107C503513E3625E8l5J" TargetMode="External"/><Relationship Id="rId12" Type="http://schemas.openxmlformats.org/officeDocument/2006/relationships/hyperlink" Target="consultantplus://offline/ref=42413CE1F5982A93907E6404E34E4A03240C2AD73E2E50C7520430E3l3J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C0AEC-383B-4698-84B2-57EE69AA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revision>8</cp:revision>
  <dcterms:created xsi:type="dcterms:W3CDTF">2026-08-31T15:07:00Z</dcterms:created>
  <dcterms:modified xsi:type="dcterms:W3CDTF">2026-09-02T08:55:11Z</dcterms:modified>
</cp:coreProperties>
</file>