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10</w:t>
      </w:r>
      <w:r>
        <w:rPr>
          <w:b/>
          <w:bCs/>
        </w:rPr>
        <w:t>5</w:t>
      </w:r>
      <w:r>
        <w:rPr>
          <w:b/>
          <w:bCs/>
        </w:rPr>
        <w:t>/26</w:t>
      </w:r>
    </w:p>
    <w:p>
      <w:pPr>
        <w:pStyle w:val="Normal"/>
        <w:jc w:val="center"/>
        <w:rPr>
          <w:b/>
        </w:rPr>
      </w:pPr>
      <w:r>
        <w:rPr>
          <w:b/>
        </w:rPr>
        <w:t>на поставку товаров для государственных нужд</w:t>
      </w:r>
    </w:p>
    <w:p>
      <w:pPr>
        <w:pStyle w:val="Normal"/>
        <w:jc w:val="center"/>
        <w:rPr>
          <w:b/>
          <w:shd w:fill="FFFF00" w:val="clear"/>
        </w:rPr>
      </w:pPr>
      <w:r>
        <w:rPr>
          <w:b/>
          <w:shd w:fill="FFFF00" w:val="clear"/>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июля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rFonts w:eastAsia="Times New Roman" w:cs="Times New Roman"/>
          <w:color w:val="auto"/>
          <w:kern w:val="0"/>
          <w:sz w:val="20"/>
          <w:szCs w:val="20"/>
          <w:lang w:val="ru-RU" w:eastAsia="ru-RU" w:bidi="ar-SA"/>
        </w:rPr>
        <w:t xml:space="preserve"> </w:t>
      </w:r>
      <w:bookmarkEnd w:id="3"/>
      <w:r>
        <w:rPr>
          <w:rFonts w:eastAsia="Times New Roman" w:cs="Times New Roman"/>
          <w:b/>
          <w:bCs/>
          <w:color w:val="auto"/>
          <w:kern w:val="0"/>
          <w:sz w:val="20"/>
          <w:szCs w:val="20"/>
          <w:lang w:val="ru-RU" w:eastAsia="ru-RU" w:bidi="ar-SA"/>
        </w:rPr>
        <w:t>Кардиоваскулярная пластина GoreTex</w:t>
      </w:r>
      <w:r>
        <w:rPr>
          <w:rFonts w:eastAsia="Times New Roman" w:cs="Times New Roman"/>
          <w:color w:val="auto"/>
          <w:kern w:val="0"/>
          <w:sz w:val="20"/>
          <w:szCs w:val="20"/>
          <w:lang w:val="ru-RU" w:eastAsia="ru-RU" w:bidi="ar-SA"/>
        </w:rPr>
        <w:t xml:space="preserve"> </w:t>
      </w:r>
      <w:r>
        <w:rPr>
          <w:rFonts w:eastAsia="Times New Roman" w:cs="Times New Roman"/>
          <w:b/>
          <w:bCs/>
          <w:color w:val="auto"/>
          <w:kern w:val="0"/>
          <w:sz w:val="20"/>
          <w:szCs w:val="20"/>
          <w:lang w:val="ru-RU" w:eastAsia="ru-RU" w:bidi="ar-SA"/>
        </w:rPr>
        <w:t xml:space="preserve"> </w:t>
      </w:r>
      <w:r>
        <w:rPr/>
        <w:t xml:space="preserve">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dark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dark1" w:val="000000"/>
          <w:sz w:val="24"/>
          <w:lang w:val="ru-RU"/>
        </w:rPr>
        <w:t xml:space="preserve">. </w:t>
      </w:r>
      <w:r>
        <w:rPr>
          <w:rFonts w:eastAsia="Times New Roman"/>
          <w:color w:themeColor="dark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fill="FFFFFF"/>
        <w:tabs>
          <w:tab w:val="clear" w:pos="708"/>
          <w:tab w:val="left" w:pos="0" w:leader="none"/>
          <w:tab w:val="left" w:pos="900" w:leader="none"/>
        </w:tabs>
        <w:jc w:val="center"/>
        <w:rPr>
          <w:b/>
        </w:rPr>
      </w:pPr>
      <w:r>
        <w:rPr>
          <w:b/>
        </w:rPr>
        <w:t>4. Сроки и условия поставки Товара</w:t>
      </w:r>
    </w:p>
    <w:p>
      <w:pPr>
        <w:pStyle w:val="Normal"/>
        <w:shd w:val="clear" w:fill="FFFFFF"/>
        <w:tabs>
          <w:tab w:val="clear" w:pos="708"/>
          <w:tab w:val="left" w:pos="0" w:leader="none"/>
          <w:tab w:val="left" w:pos="900" w:leader="none"/>
        </w:tabs>
        <w:jc w:val="both"/>
        <w:rPr/>
      </w:pPr>
      <w:r>
        <w:rPr/>
        <w:t xml:space="preserve">4.1. Поставка товара  </w:t>
      </w:r>
      <w:r>
        <w:rPr/>
        <w:t xml:space="preserve">до 30.10.2026 года единовременно. </w:t>
      </w:r>
    </w:p>
    <w:p>
      <w:pPr>
        <w:pStyle w:val="Normal"/>
        <w:shd w:val="clear"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fill="FFFFFF"/>
        <w:tabs>
          <w:tab w:val="clear" w:pos="708"/>
          <w:tab w:val="left" w:pos="0" w:leader="none"/>
          <w:tab w:val="left" w:pos="900" w:leader="none"/>
        </w:tabs>
        <w:jc w:val="both"/>
        <w:rPr>
          <w:color w:themeColor="dark1" w:val="000000"/>
        </w:rPr>
      </w:pPr>
      <w:r>
        <w:rPr/>
        <w:t xml:space="preserve">4.3. </w:t>
      </w:r>
      <w:r>
        <w:rPr>
          <w:color w:themeColor="dark1" w:val="000000"/>
        </w:rPr>
        <w:t>Датой поставки Товара считается дата подписания Заказчиком счет-фактуры (УПД) или товарной накладной.</w:t>
      </w:r>
    </w:p>
    <w:p>
      <w:pPr>
        <w:pStyle w:val="Normal"/>
        <w:jc w:val="both"/>
        <w:rPr>
          <w:color w:themeColor="dark1" w:val="000000"/>
        </w:rPr>
      </w:pPr>
      <w:r>
        <w:rPr>
          <w:color w:themeColor="dark1" w:val="000000"/>
        </w:rPr>
        <w:t>4.4. Вместе с Товаром Поставщик передает Заказчику оригиналы следующих документов:</w:t>
      </w:r>
    </w:p>
    <w:p>
      <w:pPr>
        <w:pStyle w:val="Normal"/>
        <w:shd w:val="clear" w:fill="FFFFFF"/>
        <w:tabs>
          <w:tab w:val="clear" w:pos="708"/>
          <w:tab w:val="left" w:pos="0" w:leader="none"/>
          <w:tab w:val="left" w:pos="900" w:leader="none"/>
        </w:tabs>
        <w:jc w:val="both"/>
        <w:rPr>
          <w:color w:themeColor="dark1" w:val="000000"/>
        </w:rPr>
      </w:pPr>
      <w:r>
        <w:rPr>
          <w:color w:themeColor="dark1" w:val="000000"/>
        </w:rPr>
        <w:t> </w:t>
      </w:r>
      <w:r>
        <w:rPr>
          <w:color w:themeColor="dark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27.11</w:t>
      </w:r>
      <w:r>
        <w:rPr>
          <w:rFonts w:ascii="Times New Roman" w:hAnsi="Times New Roman"/>
          <w:sz w:val="20"/>
          <w:szCs w:val="20"/>
        </w:rPr>
        <w:t>.2026 г., а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fill="FFFFFF"/>
        <w:tabs>
          <w:tab w:val="clear" w:pos="708"/>
          <w:tab w:val="left" w:pos="540" w:leader="none"/>
          <w:tab w:val="left" w:pos="1248" w:leader="none"/>
        </w:tabs>
        <w:jc w:val="both"/>
        <w:rPr/>
      </w:pPr>
      <w:r>
        <w:rPr/>
      </w:r>
    </w:p>
    <w:p>
      <w:pPr>
        <w:pStyle w:val="Normal"/>
        <w:shd w:val="clear" w:fill="FFFFFF"/>
        <w:tabs>
          <w:tab w:val="clear" w:pos="708"/>
          <w:tab w:val="left" w:pos="540" w:leader="none"/>
          <w:tab w:val="left" w:pos="1248" w:leader="none"/>
        </w:tabs>
        <w:jc w:val="center"/>
        <w:rPr>
          <w:b/>
        </w:rPr>
      </w:pPr>
      <w:r>
        <w:rPr>
          <w:b/>
        </w:rPr>
        <w:t>11. Противодействие коррупции</w:t>
      </w:r>
    </w:p>
    <w:p>
      <w:pPr>
        <w:pStyle w:val="Normal"/>
        <w:shd w:val="clear"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708"/>
          <w:tab w:val="left" w:pos="540" w:leader="none"/>
          <w:tab w:val="left" w:pos="1248" w:leader="none"/>
        </w:tabs>
        <w:jc w:val="center"/>
        <w:rPr/>
      </w:pPr>
      <w:r>
        <w:rPr/>
      </w:r>
    </w:p>
    <w:p>
      <w:pPr>
        <w:pStyle w:val="Normal"/>
        <w:shd w:val="clear"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Pr>
      <w:tblGrid>
        <w:gridCol w:w="5635"/>
        <w:gridCol w:w="4820"/>
      </w:tblGrid>
      <w:tr>
        <w:trPr>
          <w:trHeight w:val="7632" w:hRule="atLeast"/>
        </w:trPr>
        <w:tc>
          <w:tcPr>
            <w:tcW w:w="5635"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rPr/>
            </w:pPr>
            <w:r>
              <w:rPr/>
              <w:t>Банковские реквизиты:</w:t>
            </w:r>
          </w:p>
          <w:p>
            <w:pPr>
              <w:pStyle w:val="Normal"/>
              <w:rPr/>
            </w:pPr>
            <w:r>
              <w:rPr/>
              <w:t>ИНН 4205012290  КПП 420501001</w:t>
            </w:r>
          </w:p>
          <w:p>
            <w:pPr>
              <w:pStyle w:val="Normal"/>
              <w:widowControl/>
              <w:overflowPunct w:val="tru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tru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true"/>
              <w:spacing w:before="0" w:after="0"/>
              <w:jc w:val="left"/>
              <w:textAlignment w:val="auto"/>
              <w:rPr>
                <w:szCs w:val="24"/>
              </w:rPr>
            </w:pPr>
            <w:r>
              <w:rPr>
                <w:szCs w:val="24"/>
              </w:rPr>
              <w:t>ИНН 4205012290  КПП 420501001</w:t>
            </w:r>
          </w:p>
          <w:p>
            <w:pPr>
              <w:pStyle w:val="Normal"/>
              <w:widowControl/>
              <w:overflowPunct w:val="true"/>
              <w:spacing w:before="0" w:after="0"/>
              <w:jc w:val="left"/>
              <w:textAlignment w:val="auto"/>
              <w:rPr>
                <w:szCs w:val="24"/>
              </w:rPr>
            </w:pPr>
            <w:r>
              <w:rPr>
                <w:szCs w:val="24"/>
              </w:rPr>
              <w:t>р/с 03214643000000015106</w:t>
            </w:r>
          </w:p>
          <w:p>
            <w:pPr>
              <w:pStyle w:val="Normal"/>
              <w:widowControl/>
              <w:overflowPunct w:val="tru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true"/>
              <w:spacing w:before="0" w:after="0"/>
              <w:jc w:val="left"/>
              <w:textAlignment w:val="auto"/>
              <w:rPr>
                <w:szCs w:val="24"/>
              </w:rPr>
            </w:pPr>
            <w:r>
              <w:rPr>
                <w:szCs w:val="24"/>
              </w:rPr>
              <w:t>БИК 015004950</w:t>
            </w:r>
          </w:p>
          <w:p>
            <w:pPr>
              <w:pStyle w:val="Normal"/>
              <w:widowControl/>
              <w:overflowPunct w:val="true"/>
              <w:spacing w:before="0" w:after="0"/>
              <w:jc w:val="left"/>
              <w:textAlignment w:val="auto"/>
              <w:rPr>
                <w:szCs w:val="24"/>
              </w:rPr>
            </w:pPr>
            <w:r>
              <w:rPr>
                <w:szCs w:val="24"/>
              </w:rPr>
              <w:t>к/с 40102810445370000043</w:t>
            </w:r>
          </w:p>
          <w:p>
            <w:pPr>
              <w:pStyle w:val="Normal"/>
              <w:widowControl/>
              <w:overflowPunct w:val="tru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true"/>
              <w:spacing w:before="0" w:after="0"/>
              <w:jc w:val="left"/>
              <w:textAlignment w:val="auto"/>
              <w:rPr>
                <w:szCs w:val="24"/>
              </w:rPr>
            </w:pPr>
            <w:r>
              <w:rPr>
                <w:szCs w:val="24"/>
              </w:rPr>
              <w:t>ОГРН 1034205024479</w:t>
            </w:r>
          </w:p>
          <w:p>
            <w:pPr>
              <w:pStyle w:val="Normal"/>
              <w:widowControl/>
              <w:overflowPunct w:val="true"/>
              <w:spacing w:before="0" w:after="0"/>
              <w:jc w:val="left"/>
              <w:textAlignment w:val="auto"/>
              <w:rPr>
                <w:szCs w:val="24"/>
              </w:rPr>
            </w:pPr>
            <w:r>
              <w:rPr>
                <w:szCs w:val="24"/>
              </w:rPr>
              <w:t>ОКПО 55608705</w:t>
            </w:r>
          </w:p>
          <w:p>
            <w:pPr>
              <w:pStyle w:val="Normal"/>
              <w:widowControl/>
              <w:overflowPunct w:val="true"/>
              <w:spacing w:before="0" w:after="0"/>
              <w:jc w:val="left"/>
              <w:textAlignment w:val="auto"/>
              <w:rPr>
                <w:szCs w:val="24"/>
              </w:rPr>
            </w:pPr>
            <w:r>
              <w:rPr>
                <w:szCs w:val="24"/>
              </w:rPr>
              <w:t>ОКАТО 32401000000</w:t>
            </w:r>
          </w:p>
          <w:p>
            <w:pPr>
              <w:pStyle w:val="Normal"/>
              <w:widowControl/>
              <w:overflowPunct w:val="true"/>
              <w:spacing w:before="0" w:after="0"/>
              <w:jc w:val="left"/>
              <w:textAlignment w:val="auto"/>
              <w:rPr>
                <w:szCs w:val="24"/>
              </w:rPr>
            </w:pPr>
            <w:r>
              <w:rPr>
                <w:szCs w:val="24"/>
              </w:rPr>
              <w:t>ОКТМО 32701000</w:t>
            </w:r>
          </w:p>
          <w:p>
            <w:pPr>
              <w:pStyle w:val="Normal"/>
              <w:widowControl/>
              <w:overflowPunct w:val="true"/>
              <w:spacing w:before="0" w:after="0"/>
              <w:jc w:val="left"/>
              <w:textAlignment w:val="auto"/>
              <w:rPr>
                <w:szCs w:val="24"/>
              </w:rPr>
            </w:pPr>
            <w:r>
              <w:rPr>
                <w:szCs w:val="24"/>
              </w:rPr>
              <w:t>ОКОГУ 1330612</w:t>
            </w:r>
          </w:p>
          <w:p>
            <w:pPr>
              <w:pStyle w:val="Normal"/>
              <w:widowControl/>
              <w:overflowPunct w:val="true"/>
              <w:spacing w:before="0" w:after="0"/>
              <w:jc w:val="left"/>
              <w:textAlignment w:val="auto"/>
              <w:rPr>
                <w:szCs w:val="24"/>
              </w:rPr>
            </w:pPr>
            <w:r>
              <w:rPr>
                <w:szCs w:val="24"/>
              </w:rPr>
              <w:t>ОКФС 12</w:t>
            </w:r>
          </w:p>
          <w:p>
            <w:pPr>
              <w:pStyle w:val="Normal"/>
              <w:widowControl/>
              <w:overflowPunct w:val="true"/>
              <w:spacing w:before="0" w:after="0"/>
              <w:jc w:val="left"/>
              <w:textAlignment w:val="auto"/>
              <w:rPr>
                <w:szCs w:val="24"/>
              </w:rPr>
            </w:pPr>
            <w:r>
              <w:rPr>
                <w:szCs w:val="24"/>
              </w:rPr>
              <w:t>ОКОПФ 75103</w:t>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 Ковжун</w:t>
            </w:r>
          </w:p>
          <w:p>
            <w:pPr>
              <w:pStyle w:val="Normal"/>
              <w:rPr/>
            </w:pPr>
            <w:r>
              <w:rPr/>
            </w:r>
          </w:p>
        </w:tc>
        <w:tc>
          <w:tcPr>
            <w:tcW w:w="4820" w:type="dxa"/>
            <w:tcBorders/>
          </w:tcPr>
          <w:p>
            <w:pPr>
              <w:pStyle w:val="Normal"/>
              <w:jc w:val="both"/>
              <w:rPr/>
            </w:pPr>
            <w:r>
              <w:rPr/>
            </w:r>
          </w:p>
          <w:p>
            <w:pPr>
              <w:pStyle w:val="Normal"/>
              <w:jc w:val="both"/>
              <w:rPr>
                <w:b/>
                <w:bCs/>
                <w:shd w:fill="FFFF00" w:val="clear"/>
              </w:rPr>
            </w:pPr>
            <w:r>
              <w:rPr>
                <w:b/>
                <w:bCs/>
                <w:shd w:fill="FFFF00" w:val="clear"/>
              </w:rPr>
              <w:t>Поставщик:</w:t>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shd w:fill="FFFF00" w:val="clear"/>
              </w:rPr>
            </w:pPr>
            <w:r>
              <w:rPr>
                <w:shd w:fill="FFFF00" w:val="clea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10</w:t>
      </w:r>
      <w:r>
        <w:rPr>
          <w:b/>
          <w:bCs/>
        </w:rPr>
        <w:t>5</w:t>
      </w:r>
      <w:r>
        <w:rPr>
          <w:b/>
          <w:bCs/>
        </w:rPr>
        <w:t>/26</w:t>
      </w:r>
    </w:p>
    <w:p>
      <w:pPr>
        <w:pStyle w:val="Normal"/>
        <w:spacing w:before="0" w:after="60"/>
        <w:jc w:val="right"/>
        <w:rPr>
          <w:b/>
          <w:bCs/>
        </w:rPr>
      </w:pPr>
      <w:r>
        <w:rPr/>
        <w:t xml:space="preserve">                                                                                                                                </w:t>
      </w:r>
      <w:r>
        <w:rPr>
          <w:rFonts w:eastAsia="Calibri"/>
          <w:lang w:eastAsia="en-US"/>
        </w:rPr>
        <w:t>«      »июля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0" w:type="dxa"/>
        <w:tblLayout w:type="fixed"/>
        <w:tblCellMar>
          <w:top w:w="0" w:type="dxa"/>
          <w:left w:w="108" w:type="dxa"/>
          <w:bottom w:w="0" w:type="dxa"/>
          <w:right w:w="108" w:type="dxa"/>
        </w:tblCellMar>
      </w:tblPr>
      <w:tblGrid>
        <w:gridCol w:w="562"/>
        <w:gridCol w:w="38"/>
        <w:gridCol w:w="8066"/>
        <w:gridCol w:w="97"/>
        <w:gridCol w:w="1155"/>
        <w:gridCol w:w="1256"/>
        <w:gridCol w:w="2412"/>
        <w:gridCol w:w="2127"/>
      </w:tblGrid>
      <w:tr>
        <w:trPr>
          <w:trHeight w:val="574" w:hRule="atLeast"/>
        </w:trPr>
        <w:tc>
          <w:tcPr>
            <w:tcW w:w="60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w:t>
            </w:r>
          </w:p>
          <w:p>
            <w:pPr>
              <w:pStyle w:val="Normal"/>
              <w:widowControl w:val="false"/>
              <w:jc w:val="center"/>
              <w:rPr>
                <w:shd w:fill="auto" w:val="clear"/>
              </w:rPr>
            </w:pPr>
            <w:r>
              <w:rPr>
                <w:shd w:fill="auto" w:val="clear"/>
              </w:rPr>
              <w:t>п/п</w:t>
            </w:r>
          </w:p>
        </w:tc>
        <w:tc>
          <w:tcPr>
            <w:tcW w:w="8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Наименование, минимальные технические (качественные) характеристики  товара</w:t>
            </w:r>
          </w:p>
        </w:tc>
        <w:tc>
          <w:tcPr>
            <w:tcW w:w="12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shd w:fill="auto" w:val="clear"/>
              </w:rPr>
            </w:pPr>
            <w:r>
              <w:rPr>
                <w:shd w:fill="auto" w:val="clear"/>
              </w:rPr>
              <w:t>Кол-во</w:t>
            </w:r>
          </w:p>
        </w:tc>
        <w:tc>
          <w:tcPr>
            <w:tcW w:w="12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hd w:fill="auto" w:val="clear"/>
              </w:rPr>
            </w:pPr>
            <w:r>
              <w:rPr>
                <w:shd w:fill="auto" w:val="clear"/>
              </w:rPr>
              <w:t>Ед. изм.</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shd w:fill="auto" w:val="clear"/>
              </w:rPr>
            </w:pPr>
            <w:r>
              <w:rPr>
                <w:color w:val="000000"/>
                <w:spacing w:val="-11"/>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shd w:fill="auto" w:val="clear"/>
              </w:rPr>
            </w:pPr>
            <w:r>
              <w:rPr>
                <w:color w:val="000000"/>
                <w:spacing w:val="-11"/>
                <w:shd w:fill="auto" w:val="clear"/>
              </w:rPr>
              <w:t>Общая стоимость с НДС, рублей</w:t>
            </w:r>
          </w:p>
        </w:tc>
      </w:tr>
      <w:tr>
        <w:trPr>
          <w:trHeight w:val="406" w:hRule="atLeast"/>
        </w:trPr>
        <w:tc>
          <w:tcPr>
            <w:tcW w:w="600" w:type="dxa"/>
            <w:gridSpan w:val="2"/>
            <w:tcBorders>
              <w:top w:val="single" w:sz="4" w:space="0" w:color="000000"/>
              <w:left w:val="single" w:sz="10" w:space="0" w:color="000000"/>
              <w:bottom w:val="single" w:sz="4" w:space="0" w:color="000000"/>
              <w:right w:val="single" w:sz="4" w:space="0" w:color="000000"/>
            </w:tcBorders>
            <w:vAlign w:val="center"/>
          </w:tcPr>
          <w:p>
            <w:pPr>
              <w:pStyle w:val="Normal"/>
              <w:jc w:val="center"/>
              <w:rPr>
                <w:shd w:fill="auto" w:val="clear"/>
              </w:rPr>
            </w:pPr>
            <w:r>
              <w:rPr>
                <w:shd w:fill="auto" w:val="clear"/>
              </w:rPr>
              <w:t>1</w:t>
            </w:r>
          </w:p>
        </w:tc>
        <w:tc>
          <w:tcPr>
            <w:tcW w:w="8066" w:type="dxa"/>
            <w:tcBorders>
              <w:top w:val="single" w:sz="4" w:space="0" w:color="000001"/>
              <w:left w:val="single" w:sz="4" w:space="0" w:color="000001"/>
              <w:bottom w:val="single" w:sz="4" w:space="0" w:color="000000"/>
              <w:right w:val="single" w:sz="4" w:space="0" w:color="000000"/>
            </w:tcBorders>
          </w:tcPr>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t xml:space="preserve">Наименование товара, работы, услуги: Продукты человеческого или животного происхождения для терапевтического или профилактического использования прочие </w:t>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t xml:space="preserve">Наименование: Кардиоваскулярная пластина GoreTex (№ 1710015006E) </w:t>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r>
          </w:p>
          <w:tbl>
            <w:tblPr>
              <w:tblW w:w="7766" w:type="dxa"/>
              <w:jc w:val="left"/>
              <w:tblInd w:w="0" w:type="dxa"/>
              <w:tblLayout w:type="fixed"/>
              <w:tblCellMar>
                <w:top w:w="0" w:type="dxa"/>
                <w:left w:w="108" w:type="dxa"/>
                <w:bottom w:w="0" w:type="dxa"/>
                <w:right w:w="108" w:type="dxa"/>
              </w:tblCellMar>
            </w:tblPr>
            <w:tblGrid>
              <w:gridCol w:w="3068"/>
              <w:gridCol w:w="2546"/>
              <w:gridCol w:w="2152"/>
            </w:tblGrid>
            <w:tr>
              <w:trPr/>
              <w:tc>
                <w:tcPr>
                  <w:tcW w:w="3068"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bCs/>
                      <w:caps/>
                      <w:color w:val="000000"/>
                      <w:sz w:val="16"/>
                      <w:szCs w:val="16"/>
                      <w:shd w:fill="auto" w:val="clear"/>
                    </w:rPr>
                  </w:pPr>
                  <w:r>
                    <w:rPr>
                      <w:rFonts w:eastAsia="Times New Roman" w:cs="Times New Roman" w:ascii="Times New Roman" w:hAnsi="Times New Roman"/>
                      <w:b/>
                      <w:bCs/>
                      <w:caps/>
                      <w:color w:val="000000"/>
                      <w:sz w:val="16"/>
                      <w:szCs w:val="16"/>
                      <w:shd w:fill="auto" w:val="clear"/>
                    </w:rPr>
                    <w:t>НАИМЕНОВАНИЕ ХАРАКТЕРИСТИКИ</w:t>
                  </w:r>
                </w:p>
              </w:tc>
              <w:tc>
                <w:tcPr>
                  <w:tcW w:w="2546"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ЗНАЧЕНИЕ ХАРАКТЕРИСТИКИ</w:t>
                  </w:r>
                </w:p>
              </w:tc>
              <w:tc>
                <w:tcPr>
                  <w:tcW w:w="2152"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ЕДИНИЦА ИЗМЕРЕНИЯ ХАРАКТЕРИСТИКИ</w:t>
                  </w:r>
                </w:p>
              </w:tc>
            </w:tr>
            <w:tr>
              <w:trPr>
                <w:trHeight w:val="243" w:hRule="atLeast"/>
              </w:trPr>
              <w:tc>
                <w:tcPr>
                  <w:tcW w:w="3068"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16"/>
                      <w:szCs w:val="16"/>
                    </w:rPr>
                  </w:pPr>
                  <w:r>
                    <w:rPr>
                      <w:rFonts w:cs="Times New Roman" w:ascii="Times New Roman" w:hAnsi="Times New Roman"/>
                      <w:sz w:val="16"/>
                      <w:szCs w:val="16"/>
                    </w:rPr>
                    <w:t>Толщина пластины</w:t>
                  </w:r>
                </w:p>
              </w:tc>
              <w:tc>
                <w:tcPr>
                  <w:tcW w:w="2546" w:type="dxa"/>
                  <w:tcBorders>
                    <w:top w:val="single" w:sz="4" w:space="0" w:color="000000"/>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0,6</w:t>
                  </w:r>
                </w:p>
              </w:tc>
              <w:tc>
                <w:tcPr>
                  <w:tcW w:w="2152"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мм</w:t>
                  </w:r>
                </w:p>
              </w:tc>
            </w:tr>
            <w:tr>
              <w:trPr/>
              <w:tc>
                <w:tcPr>
                  <w:tcW w:w="3068" w:type="dxa"/>
                  <w:tcBorders>
                    <w:left w:val="single" w:sz="4" w:space="0" w:color="000000"/>
                    <w:bottom w:val="single" w:sz="4" w:space="0" w:color="000000"/>
                    <w:right w:val="single" w:sz="4" w:space="0" w:color="000000"/>
                  </w:tcBorders>
                </w:tcPr>
                <w:p>
                  <w:pPr>
                    <w:pStyle w:val="Normal"/>
                    <w:widowControl w:val="false"/>
                    <w:overflowPunct w:val="true"/>
                    <w:spacing w:before="0" w:after="0"/>
                    <w:rPr>
                      <w:rFonts w:ascii="Times New Roman" w:hAnsi="Times New Roman" w:cs="Times New Roman"/>
                      <w:bCs/>
                      <w:sz w:val="16"/>
                      <w:szCs w:val="16"/>
                    </w:rPr>
                  </w:pPr>
                  <w:r>
                    <w:rPr>
                      <w:rFonts w:cs="Times New Roman" w:ascii="Times New Roman" w:hAnsi="Times New Roman"/>
                      <w:bCs/>
                      <w:sz w:val="16"/>
                      <w:szCs w:val="16"/>
                    </w:rPr>
                    <w:t>Ширина пластины</w:t>
                  </w:r>
                </w:p>
              </w:tc>
              <w:tc>
                <w:tcPr>
                  <w:tcW w:w="2546" w:type="dxa"/>
                  <w:tcBorders>
                    <w:left w:val="single" w:sz="4" w:space="0" w:color="000000"/>
                    <w:bottom w:val="single" w:sz="4" w:space="0" w:color="000000"/>
                    <w:right w:val="single" w:sz="4" w:space="0" w:color="000000"/>
                  </w:tcBorders>
                </w:tcPr>
                <w:p>
                  <w:pPr>
                    <w:pStyle w:val="Normal"/>
                    <w:widowControl w:val="false"/>
                    <w:overflowPunct w:val="true"/>
                    <w:spacing w:before="0" w:after="0"/>
                    <w:rPr>
                      <w:rFonts w:ascii="Times New Roman" w:hAnsi="Times New Roman" w:cs="Times New Roman"/>
                      <w:sz w:val="16"/>
                      <w:szCs w:val="16"/>
                      <w:shd w:fill="FFFFFF" w:val="clear"/>
                    </w:rPr>
                  </w:pPr>
                  <w:r>
                    <w:rPr>
                      <w:rFonts w:cs="Times New Roman" w:ascii="Times New Roman" w:hAnsi="Times New Roman"/>
                      <w:sz w:val="16"/>
                      <w:szCs w:val="16"/>
                      <w:shd w:fill="FFFFFF" w:val="clear"/>
                    </w:rPr>
                    <w:t>10</w:t>
                  </w:r>
                </w:p>
              </w:tc>
              <w:tc>
                <w:tcPr>
                  <w:tcW w:w="2152"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см</w:t>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16"/>
                      <w:szCs w:val="16"/>
                    </w:rPr>
                  </w:pPr>
                  <w:r>
                    <w:rPr>
                      <w:rFonts w:cs="Times New Roman" w:ascii="Times New Roman" w:hAnsi="Times New Roman"/>
                      <w:sz w:val="16"/>
                      <w:szCs w:val="16"/>
                    </w:rPr>
                    <w:t>Длина пластины</w:t>
                  </w:r>
                </w:p>
              </w:tc>
              <w:tc>
                <w:tcPr>
                  <w:tcW w:w="2546"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ascii="Times New Roman" w:hAnsi="Times New Roman"/>
                      <w:bCs/>
                      <w:sz w:val="16"/>
                      <w:szCs w:val="16"/>
                    </w:rPr>
                    <w:t>15</w:t>
                  </w:r>
                </w:p>
              </w:tc>
              <w:tc>
                <w:tcPr>
                  <w:tcW w:w="2152"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см</w:t>
                  </w:r>
                </w:p>
              </w:tc>
            </w:tr>
          </w:tbl>
          <w:p>
            <w:pPr>
              <w:pStyle w:val="Normal"/>
              <w:spacing w:before="0" w:after="200"/>
              <w:rPr>
                <w:rFonts w:ascii="Times New Roman" w:hAnsi="Times New Roman" w:cs="Times New Roman"/>
                <w:b w:val="false"/>
                <w:bCs w:val="false"/>
                <w:sz w:val="16"/>
                <w:szCs w:val="16"/>
              </w:rPr>
            </w:pPr>
            <w:r>
              <w:rPr>
                <w:rFonts w:cs="Times New Roman"/>
                <w:b w:val="false"/>
                <w:bCs w:val="false"/>
                <w:sz w:val="16"/>
                <w:szCs w:val="16"/>
              </w:rPr>
              <w:t>Страна происхождения товара:</w:t>
            </w:r>
          </w:p>
          <w:p>
            <w:pPr>
              <w:pStyle w:val="Normal"/>
              <w:spacing w:before="0" w:after="200"/>
              <w:rPr>
                <w:rFonts w:ascii="Times New Roman" w:hAnsi="Times New Roman" w:cs="Times New Roman"/>
                <w:b w:val="false"/>
                <w:bCs w:val="false"/>
                <w:sz w:val="16"/>
                <w:szCs w:val="16"/>
              </w:rPr>
            </w:pPr>
            <w:r>
              <w:rPr>
                <w:rFonts w:cs="Times New Roman"/>
                <w:b w:val="false"/>
                <w:bCs w:val="false"/>
                <w:sz w:val="16"/>
                <w:szCs w:val="16"/>
              </w:rPr>
              <w:t xml:space="preserve">ОКПД 2: </w:t>
            </w:r>
            <w:r>
              <w:rPr>
                <w:rFonts w:cs="Times New Roman" w:ascii="Times New Roman" w:hAnsi="Times New Roman"/>
                <w:b w:val="false"/>
                <w:bCs w:val="false"/>
                <w:sz w:val="16"/>
                <w:szCs w:val="16"/>
              </w:rPr>
              <w:t xml:space="preserve">21.10.60.191 </w:t>
            </w:r>
          </w:p>
        </w:tc>
        <w:tc>
          <w:tcPr>
            <w:tcW w:w="1252"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t>1</w:t>
            </w:r>
          </w:p>
        </w:tc>
        <w:tc>
          <w:tcPr>
            <w:tcW w:w="1256" w:type="dxa"/>
            <w:tcBorders>
              <w:top w:val="single" w:sz="4" w:space="0" w:color="000001"/>
              <w:left w:val="single" w:sz="4" w:space="0" w:color="000001"/>
              <w:bottom w:val="single" w:sz="4" w:space="0" w:color="000000"/>
            </w:tcBorders>
            <w:vAlign w:val="center"/>
          </w:tcPr>
          <w:p>
            <w:pPr>
              <w:pStyle w:val="Normal"/>
              <w:jc w:val="center"/>
              <w:rPr>
                <w:shd w:fill="auto" w:val="clear"/>
              </w:rPr>
            </w:pPr>
            <w:r>
              <w:rPr>
                <w:shd w:fill="auto" w:val="clear"/>
              </w:rPr>
              <w:t>шт</w:t>
            </w:r>
          </w:p>
        </w:tc>
        <w:tc>
          <w:tcPr>
            <w:tcW w:w="241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r>
          </w:p>
        </w:tc>
        <w:tc>
          <w:tcPr>
            <w:tcW w:w="2127" w:type="dxa"/>
            <w:tcBorders>
              <w:top w:val="single" w:sz="4" w:space="0" w:color="000000"/>
              <w:left w:val="single" w:sz="4" w:space="0" w:color="000000"/>
              <w:bottom w:val="single" w:sz="4" w:space="0" w:color="000000"/>
              <w:right w:val="single" w:sz="10" w:space="0" w:color="000000"/>
            </w:tcBorders>
            <w:vAlign w:val="center"/>
          </w:tcPr>
          <w:p>
            <w:pPr>
              <w:pStyle w:val="Normal"/>
              <w:jc w:val="center"/>
              <w:rPr>
                <w:b/>
                <w:bCs/>
                <w:shd w:fill="auto" w:val="clear"/>
              </w:rPr>
            </w:pPr>
            <w:r>
              <w:rPr>
                <w:b/>
                <w:bCs/>
                <w:shd w:fill="auto" w:val="clear"/>
              </w:rPr>
            </w:r>
          </w:p>
        </w:tc>
      </w:tr>
      <w:tr>
        <w:trPr>
          <w:trHeight w:val="406" w:hRule="atLeast"/>
        </w:trPr>
        <w:tc>
          <w:tcPr>
            <w:tcW w:w="600" w:type="dxa"/>
            <w:gridSpan w:val="2"/>
            <w:tcBorders>
              <w:left w:val="single" w:sz="10" w:space="0" w:color="000000"/>
              <w:bottom w:val="single" w:sz="4" w:space="0" w:color="000000"/>
              <w:right w:val="single" w:sz="4" w:space="0" w:color="000000"/>
            </w:tcBorders>
            <w:vAlign w:val="center"/>
          </w:tcPr>
          <w:p>
            <w:pPr>
              <w:pStyle w:val="Normal"/>
              <w:jc w:val="center"/>
              <w:rPr>
                <w:shd w:fill="auto" w:val="clear"/>
              </w:rPr>
            </w:pPr>
            <w:r>
              <w:rPr>
                <w:shd w:fill="auto" w:val="clear"/>
              </w:rPr>
              <w:t>2</w:t>
            </w:r>
          </w:p>
        </w:tc>
        <w:tc>
          <w:tcPr>
            <w:tcW w:w="8066" w:type="dxa"/>
            <w:tcBorders>
              <w:left w:val="single" w:sz="4" w:space="0" w:color="000001"/>
              <w:bottom w:val="single" w:sz="4" w:space="0" w:color="000000"/>
              <w:right w:val="single" w:sz="4" w:space="0" w:color="000000"/>
            </w:tcBorders>
          </w:tcPr>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t xml:space="preserve">Наименование товара, работы, услуги: Продукты человеческого или животного происхождения для терапевтического или профилактического использования прочие </w:t>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t xml:space="preserve">Наименование: Кардиоваскулярная пластина GoreTex (№ 1803006004E) </w:t>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r>
          </w:p>
          <w:tbl>
            <w:tblPr>
              <w:tblW w:w="7766" w:type="dxa"/>
              <w:jc w:val="left"/>
              <w:tblInd w:w="0" w:type="dxa"/>
              <w:tblLayout w:type="fixed"/>
              <w:tblCellMar>
                <w:top w:w="0" w:type="dxa"/>
                <w:left w:w="108" w:type="dxa"/>
                <w:bottom w:w="0" w:type="dxa"/>
                <w:right w:w="108" w:type="dxa"/>
              </w:tblCellMar>
            </w:tblPr>
            <w:tblGrid>
              <w:gridCol w:w="3068"/>
              <w:gridCol w:w="2546"/>
              <w:gridCol w:w="2152"/>
            </w:tblGrid>
            <w:tr>
              <w:trPr/>
              <w:tc>
                <w:tcPr>
                  <w:tcW w:w="3068"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bCs/>
                      <w:caps/>
                      <w:color w:val="000000"/>
                      <w:sz w:val="16"/>
                      <w:szCs w:val="16"/>
                      <w:shd w:fill="auto" w:val="clear"/>
                    </w:rPr>
                  </w:pPr>
                  <w:r>
                    <w:rPr>
                      <w:rFonts w:eastAsia="Times New Roman" w:cs="Times New Roman" w:ascii="Times New Roman" w:hAnsi="Times New Roman"/>
                      <w:b/>
                      <w:bCs/>
                      <w:caps/>
                      <w:color w:val="000000"/>
                      <w:sz w:val="16"/>
                      <w:szCs w:val="16"/>
                      <w:shd w:fill="auto" w:val="clear"/>
                    </w:rPr>
                    <w:t>НАИМЕНОВАНИЕ ХАРАКТЕРИСТИКИ</w:t>
                  </w:r>
                </w:p>
              </w:tc>
              <w:tc>
                <w:tcPr>
                  <w:tcW w:w="2546"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ЗНАЧЕНИЕ ХАРАКТЕРИСТИКИ</w:t>
                  </w:r>
                </w:p>
              </w:tc>
              <w:tc>
                <w:tcPr>
                  <w:tcW w:w="2152" w:type="dxa"/>
                  <w:tcBorders>
                    <w:top w:val="single" w:sz="4" w:space="0" w:color="000000"/>
                    <w:left w:val="single" w:sz="4" w:space="0" w:color="000000"/>
                    <w:bottom w:val="single" w:sz="4" w:space="0" w:color="000000"/>
                    <w:right w:val="single" w:sz="4" w:space="0" w:color="000000"/>
                  </w:tcBorders>
                </w:tcPr>
                <w:p>
                  <w:pPr>
                    <w:pStyle w:val="Style22"/>
                    <w:rPr>
                      <w:rFonts w:ascii="Times New Roman" w:hAnsi="Times New Roman" w:eastAsia="Times New Roman" w:cs="Times New Roman"/>
                      <w:b/>
                      <w:sz w:val="16"/>
                      <w:szCs w:val="16"/>
                      <w:lang w:eastAsia="ru-RU"/>
                    </w:rPr>
                  </w:pPr>
                  <w:r>
                    <w:rPr>
                      <w:rFonts w:eastAsia="Times New Roman" w:cs="Times New Roman" w:ascii="Times New Roman" w:hAnsi="Times New Roman"/>
                      <w:b/>
                      <w:sz w:val="16"/>
                      <w:szCs w:val="16"/>
                      <w:lang w:eastAsia="ru-RU"/>
                    </w:rPr>
                    <w:t>ЕДИНИЦА ИЗМЕРЕНИЯ ХАРАКТЕРИСТИКИ</w:t>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16"/>
                      <w:szCs w:val="16"/>
                    </w:rPr>
                  </w:pPr>
                  <w:r>
                    <w:rPr>
                      <w:rFonts w:cs="Times New Roman" w:ascii="Times New Roman" w:hAnsi="Times New Roman"/>
                      <w:sz w:val="16"/>
                      <w:szCs w:val="16"/>
                    </w:rPr>
                    <w:t>Толщина пластины</w:t>
                  </w:r>
                </w:p>
              </w:tc>
              <w:tc>
                <w:tcPr>
                  <w:tcW w:w="2546"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0,4</w:t>
                  </w:r>
                </w:p>
              </w:tc>
              <w:tc>
                <w:tcPr>
                  <w:tcW w:w="2152"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мм</w:t>
                  </w:r>
                </w:p>
              </w:tc>
            </w:tr>
            <w:tr>
              <w:trPr/>
              <w:tc>
                <w:tcPr>
                  <w:tcW w:w="3068" w:type="dxa"/>
                  <w:tcBorders>
                    <w:left w:val="single" w:sz="4" w:space="0" w:color="000000"/>
                    <w:bottom w:val="single" w:sz="4" w:space="0" w:color="000000"/>
                    <w:right w:val="single" w:sz="4" w:space="0" w:color="000000"/>
                  </w:tcBorders>
                </w:tcPr>
                <w:p>
                  <w:pPr>
                    <w:pStyle w:val="Normal"/>
                    <w:widowControl w:val="false"/>
                    <w:overflowPunct w:val="true"/>
                    <w:spacing w:before="0" w:after="0"/>
                    <w:rPr>
                      <w:rFonts w:ascii="Times New Roman" w:hAnsi="Times New Roman" w:cs="Times New Roman"/>
                      <w:bCs/>
                      <w:sz w:val="16"/>
                      <w:szCs w:val="16"/>
                    </w:rPr>
                  </w:pPr>
                  <w:r>
                    <w:rPr>
                      <w:rFonts w:cs="Times New Roman" w:ascii="Times New Roman" w:hAnsi="Times New Roman"/>
                      <w:bCs/>
                      <w:sz w:val="16"/>
                      <w:szCs w:val="16"/>
                    </w:rPr>
                    <w:t>Ширина пластины</w:t>
                  </w:r>
                </w:p>
              </w:tc>
              <w:tc>
                <w:tcPr>
                  <w:tcW w:w="2546" w:type="dxa"/>
                  <w:tcBorders>
                    <w:left w:val="single" w:sz="4" w:space="0" w:color="000000"/>
                    <w:bottom w:val="single" w:sz="4" w:space="0" w:color="000000"/>
                    <w:right w:val="single" w:sz="4" w:space="0" w:color="000000"/>
                  </w:tcBorders>
                </w:tcPr>
                <w:p>
                  <w:pPr>
                    <w:pStyle w:val="Normal"/>
                    <w:widowControl w:val="false"/>
                    <w:overflowPunct w:val="true"/>
                    <w:spacing w:before="0" w:after="0"/>
                    <w:rPr>
                      <w:rFonts w:ascii="Times New Roman" w:hAnsi="Times New Roman" w:cs="Times New Roman"/>
                      <w:sz w:val="16"/>
                      <w:szCs w:val="16"/>
                      <w:shd w:fill="FFFFFF" w:val="clear"/>
                    </w:rPr>
                  </w:pPr>
                  <w:r>
                    <w:rPr>
                      <w:rFonts w:cs="Times New Roman" w:ascii="Times New Roman" w:hAnsi="Times New Roman"/>
                      <w:sz w:val="16"/>
                      <w:szCs w:val="16"/>
                      <w:shd w:fill="FFFFFF" w:val="clear"/>
                    </w:rPr>
                    <w:t>3</w:t>
                  </w:r>
                </w:p>
              </w:tc>
              <w:tc>
                <w:tcPr>
                  <w:tcW w:w="2152"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см</w:t>
                  </w:r>
                </w:p>
              </w:tc>
            </w:tr>
            <w:tr>
              <w:trPr/>
              <w:tc>
                <w:tcPr>
                  <w:tcW w:w="3068"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sz w:val="16"/>
                      <w:szCs w:val="16"/>
                    </w:rPr>
                  </w:pPr>
                  <w:r>
                    <w:rPr>
                      <w:rFonts w:cs="Times New Roman" w:ascii="Times New Roman" w:hAnsi="Times New Roman"/>
                      <w:sz w:val="16"/>
                      <w:szCs w:val="16"/>
                    </w:rPr>
                    <w:t>Длина пластины</w:t>
                  </w:r>
                </w:p>
              </w:tc>
              <w:tc>
                <w:tcPr>
                  <w:tcW w:w="2546" w:type="dxa"/>
                  <w:tcBorders>
                    <w:left w:val="single" w:sz="4" w:space="0" w:color="000000"/>
                    <w:bottom w:val="single" w:sz="4" w:space="0" w:color="000000"/>
                    <w:right w:val="single" w:sz="4" w:space="0" w:color="000000"/>
                  </w:tcBorders>
                </w:tcPr>
                <w:p>
                  <w:pPr>
                    <w:pStyle w:val="Normal"/>
                    <w:spacing w:before="0" w:after="0"/>
                    <w:rPr>
                      <w:rFonts w:ascii="Times New Roman" w:hAnsi="Times New Roman" w:cs="Times New Roman"/>
                      <w:bCs/>
                      <w:sz w:val="16"/>
                      <w:szCs w:val="16"/>
                    </w:rPr>
                  </w:pPr>
                  <w:r>
                    <w:rPr>
                      <w:rFonts w:cs="Times New Roman" w:ascii="Times New Roman" w:hAnsi="Times New Roman"/>
                      <w:bCs/>
                      <w:sz w:val="16"/>
                      <w:szCs w:val="16"/>
                    </w:rPr>
                    <w:t>6</w:t>
                  </w:r>
                </w:p>
              </w:tc>
              <w:tc>
                <w:tcPr>
                  <w:tcW w:w="2152" w:type="dxa"/>
                  <w:tcBorders>
                    <w:left w:val="single" w:sz="4" w:space="0" w:color="000000"/>
                    <w:bottom w:val="single" w:sz="4" w:space="0" w:color="000000"/>
                    <w:right w:val="single" w:sz="4" w:space="0" w:color="000000"/>
                  </w:tcBorders>
                </w:tcPr>
                <w:p>
                  <w:pPr>
                    <w:pStyle w:val="Normal"/>
                    <w:snapToGrid w:val="false"/>
                    <w:spacing w:before="0" w:after="0"/>
                    <w:rPr>
                      <w:rFonts w:ascii="Times New Roman" w:hAnsi="Times New Roman" w:cs="Times New Roman"/>
                      <w:bCs/>
                      <w:sz w:val="16"/>
                      <w:szCs w:val="16"/>
                      <w:lang w:val="en-US"/>
                    </w:rPr>
                  </w:pPr>
                  <w:r>
                    <w:rPr>
                      <w:rFonts w:cs="Times New Roman" w:ascii="Times New Roman" w:hAnsi="Times New Roman"/>
                      <w:bCs/>
                      <w:sz w:val="16"/>
                      <w:szCs w:val="16"/>
                      <w:lang w:val="en-US"/>
                    </w:rPr>
                    <w:t>см</w:t>
                  </w:r>
                </w:p>
              </w:tc>
            </w:tr>
          </w:tbl>
          <w:p>
            <w:pPr>
              <w:pStyle w:val="Normal"/>
              <w:spacing w:before="0" w:after="200"/>
              <w:rPr>
                <w:rFonts w:ascii="Times New Roman" w:hAnsi="Times New Roman" w:cs="Times New Roman"/>
                <w:b w:val="false"/>
                <w:bCs w:val="false"/>
                <w:sz w:val="16"/>
                <w:szCs w:val="16"/>
              </w:rPr>
            </w:pPr>
            <w:r>
              <w:rPr>
                <w:rFonts w:cs="Times New Roman"/>
                <w:b w:val="false"/>
                <w:bCs w:val="false"/>
                <w:sz w:val="16"/>
                <w:szCs w:val="16"/>
              </w:rPr>
              <w:t>Страна происхождения товара:</w:t>
            </w:r>
          </w:p>
          <w:p>
            <w:pPr>
              <w:pStyle w:val="Normal"/>
              <w:spacing w:before="0" w:after="200"/>
              <w:rPr>
                <w:rFonts w:ascii="Times New Roman" w:hAnsi="Times New Roman" w:cs="Times New Roman"/>
                <w:b w:val="false"/>
                <w:bCs w:val="false"/>
                <w:sz w:val="16"/>
                <w:szCs w:val="16"/>
              </w:rPr>
            </w:pPr>
            <w:r>
              <w:rPr>
                <w:rFonts w:cs="Times New Roman"/>
                <w:b w:val="false"/>
                <w:bCs w:val="false"/>
              </w:rPr>
              <w:t xml:space="preserve">ОКПД 2: </w:t>
            </w:r>
            <w:r>
              <w:rPr>
                <w:b w:val="false"/>
                <w:bCs w:val="false"/>
              </w:rPr>
              <w:t xml:space="preserve">21.10.60.191 </w:t>
            </w:r>
          </w:p>
          <w:p>
            <w:pPr>
              <w:pStyle w:val="Style22"/>
              <w:rPr>
                <w:rFonts w:ascii="Times New Roman" w:hAnsi="Times New Roman" w:cs="Times New Roman"/>
                <w:b/>
                <w:bCs/>
                <w:sz w:val="16"/>
                <w:szCs w:val="16"/>
                <w:shd w:fill="FFFFFF" w:val="clear"/>
              </w:rPr>
            </w:pPr>
            <w:r>
              <w:rPr>
                <w:rFonts w:cs="Times New Roman" w:ascii="Times New Roman" w:hAnsi="Times New Roman"/>
                <w:b/>
                <w:bCs/>
                <w:sz w:val="16"/>
                <w:szCs w:val="16"/>
                <w:shd w:fill="FFFFFF" w:val="clear"/>
              </w:rPr>
            </w:r>
          </w:p>
        </w:tc>
        <w:tc>
          <w:tcPr>
            <w:tcW w:w="1252" w:type="dxa"/>
            <w:gridSpan w:val="2"/>
            <w:tcBorders>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t>2</w:t>
            </w:r>
          </w:p>
        </w:tc>
        <w:tc>
          <w:tcPr>
            <w:tcW w:w="1256" w:type="dxa"/>
            <w:tcBorders>
              <w:left w:val="single" w:sz="4" w:space="0" w:color="000001"/>
              <w:bottom w:val="single" w:sz="4" w:space="0" w:color="000000"/>
            </w:tcBorders>
            <w:vAlign w:val="center"/>
          </w:tcPr>
          <w:p>
            <w:pPr>
              <w:pStyle w:val="Normal"/>
              <w:jc w:val="center"/>
              <w:rPr>
                <w:shd w:fill="auto" w:val="clear"/>
              </w:rPr>
            </w:pPr>
            <w:r>
              <w:rPr>
                <w:shd w:fill="auto" w:val="clear"/>
              </w:rPr>
            </w:r>
          </w:p>
        </w:tc>
        <w:tc>
          <w:tcPr>
            <w:tcW w:w="2412" w:type="dxa"/>
            <w:tcBorders>
              <w:left w:val="single" w:sz="4" w:space="0" w:color="000000"/>
              <w:bottom w:val="single" w:sz="4" w:space="0" w:color="000000"/>
              <w:right w:val="single" w:sz="4" w:space="0" w:color="000000"/>
            </w:tcBorders>
            <w:vAlign w:val="center"/>
          </w:tcPr>
          <w:p>
            <w:pPr>
              <w:pStyle w:val="Normal"/>
              <w:jc w:val="center"/>
              <w:rPr>
                <w:shd w:fill="auto" w:val="clear"/>
              </w:rPr>
            </w:pPr>
            <w:r>
              <w:rPr>
                <w:shd w:fill="auto" w:val="clear"/>
              </w:rPr>
            </w:r>
          </w:p>
        </w:tc>
        <w:tc>
          <w:tcPr>
            <w:tcW w:w="2127" w:type="dxa"/>
            <w:tcBorders>
              <w:left w:val="single" w:sz="4" w:space="0" w:color="000000"/>
              <w:bottom w:val="single" w:sz="4" w:space="0" w:color="000000"/>
              <w:right w:val="single" w:sz="10" w:space="0" w:color="000000"/>
            </w:tcBorders>
            <w:vAlign w:val="center"/>
          </w:tcPr>
          <w:p>
            <w:pPr>
              <w:pStyle w:val="Normal"/>
              <w:jc w:val="center"/>
              <w:rPr>
                <w:b/>
                <w:bCs/>
                <w:shd w:fill="auto" w:val="clear"/>
              </w:rPr>
            </w:pPr>
            <w:r>
              <w:rPr>
                <w:b/>
                <w:bCs/>
                <w:shd w:fill="auto" w:val="clear"/>
              </w:rPr>
            </w:r>
          </w:p>
        </w:tc>
      </w:tr>
      <w:tr>
        <w:trPr>
          <w:trHeight w:val="574" w:hRule="atLeast"/>
        </w:trPr>
        <w:tc>
          <w:tcPr>
            <w:tcW w:w="562" w:type="dxa"/>
            <w:tcBorders>
              <w:top w:val="single" w:sz="4" w:space="0" w:color="000000"/>
              <w:left w:val="single" w:sz="4" w:space="0" w:color="000000"/>
              <w:bottom w:val="single" w:sz="4" w:space="0" w:color="000000"/>
              <w:right w:val="single" w:sz="4" w:space="0" w:color="000000"/>
            </w:tcBorders>
          </w:tcPr>
          <w:p>
            <w:pPr>
              <w:pStyle w:val="Normal"/>
              <w:jc w:val="center"/>
              <w:rPr>
                <w:b/>
                <w:bCs/>
                <w:shd w:fill="auto" w:val="clear"/>
              </w:rPr>
            </w:pPr>
            <w:r>
              <w:rPr>
                <w:b/>
                <w:bCs/>
                <w:shd w:fill="auto" w:val="clear"/>
              </w:rPr>
            </w:r>
          </w:p>
        </w:tc>
        <w:tc>
          <w:tcPr>
            <w:tcW w:w="13024" w:type="dxa"/>
            <w:gridSpan w:val="6"/>
            <w:tcBorders>
              <w:top w:val="single" w:sz="4" w:space="0" w:color="000000"/>
              <w:left w:val="single" w:sz="4" w:space="0" w:color="000000"/>
              <w:bottom w:val="single" w:sz="4" w:space="0" w:color="000000"/>
              <w:right w:val="single" w:sz="4" w:space="0" w:color="000000"/>
            </w:tcBorders>
          </w:tcPr>
          <w:p>
            <w:pPr>
              <w:pStyle w:val="Normal"/>
              <w:jc w:val="center"/>
              <w:rPr>
                <w:shd w:fill="auto" w:val="clear"/>
              </w:rPr>
            </w:pPr>
            <w:r>
              <w:rPr>
                <w:b/>
                <w:bCs/>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b/>
                <w:bCs/>
                <w:shd w:fill="auto" w:val="clear"/>
              </w:rPr>
            </w:pPr>
            <w:r>
              <w:rPr>
                <w:b/>
                <w:bCs/>
                <w:shd w:fill="auto" w:val="clear"/>
              </w:rPr>
            </w:r>
          </w:p>
        </w:tc>
      </w:tr>
      <w:tr>
        <w:trPr>
          <w:trHeight w:val="1831" w:hRule="atLeast"/>
        </w:trPr>
        <w:tc>
          <w:tcPr>
            <w:tcW w:w="8763" w:type="dxa"/>
            <w:gridSpan w:val="4"/>
            <w:tcBorders/>
          </w:tcPr>
          <w:p>
            <w:pPr>
              <w:pStyle w:val="11"/>
              <w:rPr>
                <w:shd w:fill="auto" w:val="clear"/>
              </w:rPr>
            </w:pPr>
            <w:r>
              <w:rPr>
                <w:rFonts w:cs="Times New Roman" w:ascii="Times New Roman" w:hAnsi="Times New Roman"/>
                <w:b/>
                <w:bCs/>
                <w:sz w:val="20"/>
                <w:szCs w:val="20"/>
                <w:shd w:fill="auto" w:val="clear"/>
              </w:rPr>
              <w:t>Заказчик</w:t>
            </w:r>
          </w:p>
          <w:p>
            <w:pPr>
              <w:pStyle w:val="Normal"/>
              <w:rPr>
                <w:shd w:fill="auto" w:val="clear"/>
              </w:rPr>
            </w:pPr>
            <w:r>
              <w:rPr>
                <w:shd w:fill="auto" w:val="clear"/>
              </w:rPr>
              <w:t>____________</w:t>
            </w:r>
          </w:p>
          <w:p>
            <w:pPr>
              <w:pStyle w:val="Normal"/>
              <w:tabs>
                <w:tab w:val="clear" w:pos="708"/>
                <w:tab w:val="left" w:pos="7680" w:leader="none"/>
              </w:tabs>
              <w:rPr>
                <w:shd w:fill="auto" w:val="clear"/>
              </w:rPr>
            </w:pPr>
            <w:r>
              <w:rPr>
                <w:shd w:fill="auto" w:val="clear"/>
              </w:rPr>
              <w:t>м.п.</w:t>
            </w:r>
          </w:p>
        </w:tc>
        <w:tc>
          <w:tcPr>
            <w:tcW w:w="6950" w:type="dxa"/>
            <w:gridSpan w:val="4"/>
            <w:tcBorders/>
          </w:tcPr>
          <w:p>
            <w:pPr>
              <w:pStyle w:val="Normal"/>
              <w:tabs>
                <w:tab w:val="clear" w:pos="708"/>
                <w:tab w:val="left" w:pos="7680" w:leader="none"/>
              </w:tabs>
              <w:rPr>
                <w:shd w:fill="auto" w:val="clear"/>
              </w:rPr>
            </w:pPr>
            <w:r>
              <w:rPr>
                <w:b/>
                <w:color w:val="000000"/>
                <w:shd w:fill="auto" w:val="clear"/>
              </w:rPr>
              <w:t>Поставщик</w:t>
            </w:r>
          </w:p>
          <w:p>
            <w:pPr>
              <w:pStyle w:val="Normal"/>
              <w:tabs>
                <w:tab w:val="clear" w:pos="708"/>
                <w:tab w:val="left" w:pos="7680" w:leader="none"/>
              </w:tabs>
              <w:rPr>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8</w:t>
    </w:r>
    <w:r>
      <w:rPr>
        <w:sz w:val="24"/>
        <w:szCs w:val="24"/>
      </w:rPr>
      <w:fldChar w:fldCharType="end"/>
    </w:r>
  </w:p>
  <w:p>
    <w:pPr>
      <w:pStyle w:val="Footer"/>
      <w:rPr/>
    </w:pPr>
    <w:r>
      <w:rPr/>
    </w:r>
  </w:p>
</w:ftr>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qFormat/>
    <w:pPr>
      <w:keepNext w:val="true"/>
      <w:keepLines/>
      <w:spacing w:before="320" w:after="200"/>
      <w:outlineLvl w:val="8"/>
    </w:pPr>
    <w:rPr>
      <w:rFonts w:ascii="Arial" w:hAnsi="Arial" w:eastAsia="Arial" w:cs="Arial"/>
      <w:i/>
      <w:iCs/>
      <w:sz w:val="21"/>
      <w:szCs w:val="21"/>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link w:val="Quote"/>
    <w:qFormat/>
    <w:rPr>
      <w:i/>
    </w:rPr>
  </w:style>
  <w:style w:type="character" w:styleId="Style7">
    <w:name w:val="Выделенная цитата Знак"/>
    <w:link w:val="IntenseQuote"/>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name w:val="Текст концевой сноски Знак"/>
    <w:qFormat/>
    <w:rPr>
      <w:sz w:val="20"/>
    </w:rPr>
  </w:style>
  <w:style w:type="character" w:styleId="user1">
    <w:name w:val="Символ концевой сноски (user)"/>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link w:val="ConsPlusNormal1"/>
    <w:qFormat/>
    <w:rPr>
      <w:rFonts w:ascii="Arial" w:hAnsi="Arial"/>
      <w:sz w:val="22"/>
      <w:lang w:eastAsia="ru-RU"/>
    </w:rPr>
  </w:style>
  <w:style w:type="character" w:styleId="Emphasis">
    <w:name w:val="Emphasis"/>
    <w:qFormat/>
    <w:rPr>
      <w:rFonts w:cs="Times New Roman"/>
      <w:i/>
    </w:rPr>
  </w:style>
  <w:style w:type="character" w:styleId="Style13">
    <w:name w:val="Верхний колонтитул Знак"/>
    <w:qFormat/>
    <w:rPr>
      <w:rFonts w:ascii="Times New Roman" w:hAnsi="Times New Roman" w:eastAsia="Times New Roman"/>
      <w:sz w:val="20"/>
      <w:szCs w:val="20"/>
    </w:rPr>
  </w:style>
  <w:style w:type="character" w:styleId="Style14">
    <w:name w:val="Нижний колонтитул Знак"/>
    <w:qFormat/>
    <w:rPr>
      <w:rFonts w:ascii="Times New Roman" w:hAnsi="Times New Roman" w:eastAsia="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5">
    <w:name w:val="Текст примечания Знак"/>
    <w:basedOn w:val="DefaultParagraphFont"/>
    <w:qFormat/>
    <w:rPr>
      <w:rFonts w:ascii="Times New Roman" w:hAnsi="Times New Roman" w:eastAsia="Times New Roman"/>
    </w:rPr>
  </w:style>
  <w:style w:type="character" w:styleId="Style16">
    <w:name w:val="Тема примечания Знак"/>
    <w:basedOn w:val="Style15"/>
    <w:link w:val="annotationsubject"/>
    <w:qFormat/>
    <w:rPr>
      <w:rFonts w:ascii="Times New Roman" w:hAnsi="Times New Roman" w:eastAsia="Times New Roman"/>
      <w:b/>
      <w:bCs/>
    </w:rPr>
  </w:style>
  <w:style w:type="character" w:styleId="Style17">
    <w:name w:val="Текст выноски Знак"/>
    <w:basedOn w:val="DefaultParagraphFont"/>
    <w:link w:val="BalloonText"/>
    <w:qFormat/>
    <w:rPr>
      <w:rFonts w:ascii="Tahoma" w:hAnsi="Tahoma" w:eastAsia="Times New Roman" w:cs="Tahoma"/>
      <w:sz w:val="16"/>
      <w:szCs w:val="16"/>
    </w:rPr>
  </w:style>
  <w:style w:type="character" w:styleId="Style18">
    <w:name w:val="Без интервала Знак"/>
    <w:link w:val="NoSpacing"/>
    <w:qFormat/>
    <w:rPr>
      <w:sz w:val="24"/>
      <w:szCs w:val="24"/>
    </w:rPr>
  </w:style>
  <w:style w:type="character" w:styleId="Hyperlink">
    <w:name w:val="Hyperlink"/>
    <w:basedOn w:val="DefaultParagraphFont"/>
    <w:rPr>
      <w:color w:themeColor="hyperlink"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qFormat/>
    <w:pPr>
      <w:spacing w:before="0" w:after="0"/>
      <w:ind w:left="720"/>
      <w:contextualSpacing/>
    </w:pPr>
    <w:rPr/>
  </w:style>
  <w:style w:type="paragraph" w:styleId="Title">
    <w:name w:val="Title"/>
    <w:basedOn w:val="Normal"/>
    <w:next w:val="Normal"/>
    <w:link w:val="Style5"/>
    <w:qFormat/>
    <w:pPr>
      <w:spacing w:before="300" w:after="200"/>
      <w:contextualSpacing/>
    </w:pPr>
    <w:rPr>
      <w:sz w:val="48"/>
      <w:szCs w:val="48"/>
    </w:rPr>
  </w:style>
  <w:style w:type="paragraph" w:styleId="Subtitle">
    <w:name w:val="Subtitle"/>
    <w:basedOn w:val="Normal"/>
    <w:next w:val="Normal"/>
    <w:link w:val="Style6"/>
    <w:qFormat/>
    <w:pPr>
      <w:spacing w:before="200" w:after="200"/>
    </w:pPr>
    <w:rPr>
      <w:sz w:val="24"/>
      <w:szCs w:val="24"/>
    </w:rPr>
  </w:style>
  <w:style w:type="paragraph" w:styleId="Quote">
    <w:name w:val="Quote"/>
    <w:basedOn w:val="Normal"/>
    <w:next w:val="Normal"/>
    <w:link w:val="21"/>
    <w:qFormat/>
    <w:pPr>
      <w:ind w:left="720" w:right="720"/>
    </w:pPr>
    <w:rPr>
      <w:i/>
    </w:rPr>
  </w:style>
  <w:style w:type="paragraph" w:styleId="IntenseQuote">
    <w:name w:val="Intense Quote"/>
    <w:basedOn w:val="Normal"/>
    <w:next w:val="Normal"/>
    <w:link w:val="Style7"/>
    <w:qFormat/>
    <w:pPr>
      <w:pBdr>
        <w:top w:val="single" w:sz="4" w:space="5" w:color="FFFFFF"/>
        <w:left w:val="single" w:sz="4" w:space="10" w:color="FFFFFF"/>
        <w:bottom w:val="single" w:sz="4" w:space="5" w:color="FFFFFF"/>
        <w:right w:val="single" w:sz="4" w:space="10" w:color="FFFFFF"/>
      </w:pBdr>
      <w:shd w:val="clear" w:fill="F2F2F2"/>
      <w:ind w:left="720" w:right="720"/>
    </w:pPr>
    <w:rPr>
      <w:i/>
    </w:rPr>
  </w:style>
  <w:style w:type="paragraph" w:styleId="FootnoteText">
    <w:name w:val="footnote text"/>
    <w:basedOn w:val="Normal"/>
    <w:link w:val="Style8"/>
    <w:pPr>
      <w:spacing w:before="0" w:after="40"/>
    </w:pPr>
    <w:rPr>
      <w:sz w:val="18"/>
    </w:rPr>
  </w:style>
  <w:style w:type="paragraph" w:styleId="EndnoteText">
    <w:name w:val="endnote text"/>
    <w:basedOn w:val="Normal"/>
    <w:link w:val="Style10"/>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left="283"/>
    </w:pPr>
    <w:rPr/>
  </w:style>
  <w:style w:type="paragraph" w:styleId="TOC3">
    <w:name w:val="toc 3"/>
    <w:basedOn w:val="Normal"/>
    <w:next w:val="Normal"/>
    <w:pPr>
      <w:spacing w:before="0" w:after="57"/>
      <w:ind w:left="567"/>
    </w:pPr>
    <w:rPr/>
  </w:style>
  <w:style w:type="paragraph" w:styleId="TOC4">
    <w:name w:val="toc 4"/>
    <w:basedOn w:val="Normal"/>
    <w:next w:val="Normal"/>
    <w:pPr>
      <w:spacing w:before="0" w:after="57"/>
      <w:ind w:left="850"/>
    </w:pPr>
    <w:rPr/>
  </w:style>
  <w:style w:type="paragraph" w:styleId="TOC5">
    <w:name w:val="toc 5"/>
    <w:basedOn w:val="Normal"/>
    <w:next w:val="Normal"/>
    <w:pPr>
      <w:spacing w:before="0" w:after="57"/>
      <w:ind w:left="1134"/>
    </w:pPr>
    <w:rPr/>
  </w:style>
  <w:style w:type="paragraph" w:styleId="TOC6">
    <w:name w:val="toc 6"/>
    <w:basedOn w:val="Normal"/>
    <w:next w:val="Normal"/>
    <w:pPr>
      <w:spacing w:before="0" w:after="57"/>
      <w:ind w:left="1417"/>
    </w:pPr>
    <w:rPr/>
  </w:style>
  <w:style w:type="paragraph" w:styleId="TOC7">
    <w:name w:val="toc 7"/>
    <w:basedOn w:val="Normal"/>
    <w:next w:val="Normal"/>
    <w:pPr>
      <w:spacing w:before="0" w:after="57"/>
      <w:ind w:left="1701"/>
    </w:pPr>
    <w:rPr/>
  </w:style>
  <w:style w:type="paragraph" w:styleId="TOC8">
    <w:name w:val="toc 8"/>
    <w:basedOn w:val="Normal"/>
    <w:next w:val="Normal"/>
    <w:pPr>
      <w:spacing w:before="0" w:after="57"/>
      <w:ind w:left="1984"/>
    </w:pPr>
    <w:rPr/>
  </w:style>
  <w:style w:type="paragraph" w:styleId="TOC9">
    <w:name w:val="toc 9"/>
    <w:basedOn w:val="Normal"/>
    <w:next w:val="Normal"/>
    <w:pPr>
      <w:spacing w:before="0" w:after="57"/>
      <w:ind w:left="2268"/>
    </w:pPr>
    <w:rPr/>
  </w:style>
  <w:style w:type="paragraph" w:styleId="IndexHeading">
    <w:name w:val="index heading"/>
    <w:basedOn w:val="user2"/>
    <w:pPr/>
    <w:rPr/>
  </w:style>
  <w:style w:type="paragraph" w:styleId="TOCHeading">
    <w:name w:val="TOC Heading"/>
    <w:qFormat/>
    <w:pPr>
      <w:widowControl/>
      <w:suppressAutoHyphens w:val="true"/>
      <w:overflowPunct w:val="fals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pPr/>
    <w:rPr/>
  </w:style>
  <w:style w:type="paragraph" w:styleId="BodyTextIndent">
    <w:name w:val="Body Text Indent"/>
    <w:basedOn w:val="Normal"/>
    <w:link w:val="Style12"/>
    <w:pPr>
      <w:ind w:firstLine="709"/>
      <w:jc w:val="both"/>
    </w:pPr>
    <w:rPr>
      <w:rFonts w:eastAsia="Calibri"/>
      <w:lang w:val="en-US"/>
    </w:rPr>
  </w:style>
  <w:style w:type="paragraph" w:styleId="ConsPlusNormal1">
    <w:name w:val="ConsPlusNormal"/>
    <w:link w:val="ConsPlusNormal"/>
    <w:qFormat/>
    <w:pPr>
      <w:widowControl w:val="false"/>
      <w:suppressAutoHyphens w:val="true"/>
      <w:overflowPunct w:val="fals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overflowPunct w:val="fals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1">
    <w:name w:val="Колонтитулы"/>
    <w:basedOn w:val="Normal"/>
    <w:qFormat/>
    <w:pPr/>
    <w:rPr/>
  </w:style>
  <w:style w:type="paragraph" w:styleId="Header">
    <w:name w:val="header"/>
    <w:basedOn w:val="Normal"/>
    <w:link w:val="Style13"/>
    <w:pPr>
      <w:tabs>
        <w:tab w:val="clear" w:pos="708"/>
        <w:tab w:val="center" w:pos="4677" w:leader="none"/>
        <w:tab w:val="right" w:pos="9355" w:leader="none"/>
      </w:tabs>
    </w:pPr>
    <w:rPr/>
  </w:style>
  <w:style w:type="paragraph" w:styleId="Footer">
    <w:name w:val="footer"/>
    <w:basedOn w:val="Normal"/>
    <w:link w:val="Style14"/>
    <w:pPr>
      <w:tabs>
        <w:tab w:val="clear" w:pos="708"/>
        <w:tab w:val="center" w:pos="4677" w:leader="none"/>
        <w:tab w:val="right" w:pos="9355" w:leader="none"/>
      </w:tabs>
    </w:pPr>
    <w:rPr/>
  </w:style>
  <w:style w:type="paragraph" w:styleId="CommentText">
    <w:name w:val="annotation text"/>
    <w:basedOn w:val="Normal"/>
    <w:link w:val="Style15"/>
    <w:pPr/>
    <w:rPr/>
  </w:style>
  <w:style w:type="paragraph" w:styleId="annotationsubject">
    <w:name w:val="annotation subject"/>
    <w:basedOn w:val="CommentText"/>
    <w:next w:val="CommentText"/>
    <w:link w:val="Style16"/>
    <w:qFormat/>
    <w:pPr/>
    <w:rPr>
      <w:b/>
      <w:bCs/>
    </w:rPr>
  </w:style>
  <w:style w:type="paragraph" w:styleId="BalloonText">
    <w:name w:val="Balloon Text"/>
    <w:basedOn w:val="Normal"/>
    <w:link w:val="Style17"/>
    <w:qFormat/>
    <w:pPr/>
    <w:rPr>
      <w:rFonts w:ascii="Tahoma" w:hAnsi="Tahoma" w:cs="Tahoma"/>
      <w:sz w:val="16"/>
      <w:szCs w:val="16"/>
    </w:rPr>
  </w:style>
  <w:style w:type="paragraph" w:styleId="NoSpacing">
    <w:name w:val="No Spacing"/>
    <w:link w:val="Style18"/>
    <w:qFormat/>
    <w:pPr>
      <w:widowControl/>
      <w:suppressAutoHyphens w:val="true"/>
      <w:overflowPunct w:val="fals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overflowPunct w:val="fals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overflowPunct w:val="false"/>
      <w:bidi w:val="0"/>
      <w:spacing w:before="0" w:after="0"/>
      <w:jc w:val="left"/>
    </w:pPr>
    <w:rPr>
      <w:rFonts w:ascii="Calibri" w:hAnsi="Calibri" w:eastAsia="Times New Roman" w:cs="Calibri"/>
      <w:color w:val="auto"/>
      <w:kern w:val="0"/>
      <w:sz w:val="22"/>
      <w:szCs w:val="22"/>
      <w:lang w:val="ru-RU" w:eastAsia="en-US" w:bidi="ar-SA"/>
    </w:rPr>
  </w:style>
  <w:style w:type="paragraph" w:styleId="Style22">
    <w:name w:val="Без интервала"/>
    <w:qFormat/>
    <w:pPr>
      <w:widowControl/>
      <w:suppressAutoHyphens w:val="true"/>
      <w:overflowPunct w:val="false"/>
      <w:bidi w:val="0"/>
      <w:spacing w:before="0" w:after="0"/>
      <w:jc w:val="left"/>
    </w:pPr>
    <w:rPr>
      <w:rFonts w:ascii="Calibri" w:hAnsi="Calibri" w:eastAsia="Calibri" w:cs="Times New Roman"/>
      <w:color w:val="auto"/>
      <w:kern w:val="0"/>
      <w:sz w:val="22"/>
      <w:szCs w:val="22"/>
      <w:lang w:val="ru-RU" w:eastAsia="zh-CN"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user5">
    <w:name w:val="Содержимое таблицы (user)"/>
    <w:basedOn w:val="Normal"/>
    <w:qFormat/>
    <w:pPr>
      <w:widowControl w:val="false"/>
      <w:suppressLineNumbers/>
    </w:pPr>
    <w:rPr/>
  </w:style>
  <w:style w:type="numbering" w:styleId="user6">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92</TotalTime>
  <Application>LibreOffice/25.2.6.2$Linux_X86_64 LibreOffice_project/520$Build-2</Application>
  <AppVersion>15.0000</AppVersion>
  <Pages>8</Pages>
  <Words>3273</Words>
  <Characters>23642</Characters>
  <CharactersWithSpaces>27437</CharactersWithSpaces>
  <Paragraphs>202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2026-07-22T16:33:33Z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