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D6CFBC" w14:textId="77777777" w:rsidR="0063300E" w:rsidRPr="005C4165" w:rsidRDefault="00D71524" w:rsidP="005C4165">
      <w:pPr>
        <w:tabs>
          <w:tab w:val="left" w:pos="5850"/>
        </w:tabs>
        <w:spacing w:line="276" w:lineRule="auto"/>
        <w:contextualSpacing/>
        <w:jc w:val="center"/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aps/>
          <w:color w:val="auto"/>
          <w:sz w:val="28"/>
          <w:szCs w:val="28"/>
        </w:rPr>
        <w:t>описание объекта закупки</w:t>
      </w:r>
    </w:p>
    <w:p w14:paraId="64C79C1E" w14:textId="77777777" w:rsidR="00E720B2" w:rsidRPr="005C4165" w:rsidRDefault="00D71524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на </w:t>
      </w:r>
      <w:r w:rsidR="00B20357"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оказание услуг по предоставлению лицензий на право использования </w:t>
      </w:r>
    </w:p>
    <w:p w14:paraId="4EE080D4" w14:textId="49B2A097" w:rsidR="00E720B2" w:rsidRPr="005C4165" w:rsidRDefault="00B20357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компьютерного программного обеспечения</w:t>
      </w:r>
    </w:p>
    <w:p w14:paraId="6BCB2A35" w14:textId="77777777" w:rsidR="00E720B2" w:rsidRPr="005C4165" w:rsidRDefault="00D71524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ОКПД2 -</w:t>
      </w: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58.29.50.000</w:t>
      </w:r>
    </w:p>
    <w:p w14:paraId="1D6FE368" w14:textId="458A7584" w:rsidR="00E720B2" w:rsidRPr="005C4165" w:rsidRDefault="00E720B2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КТРУ - 58.29.11.000-00000003</w:t>
      </w:r>
    </w:p>
    <w:p w14:paraId="3845871C" w14:textId="77777777" w:rsidR="0063300E" w:rsidRPr="005C4165" w:rsidRDefault="0063300E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5E5D0C85" w14:textId="77777777" w:rsidR="0063300E" w:rsidRPr="005C4165" w:rsidRDefault="0063300E" w:rsidP="005C4165">
      <w:pPr>
        <w:spacing w:after="60" w:line="276" w:lineRule="auto"/>
        <w:jc w:val="center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</w:p>
    <w:p w14:paraId="32B631DE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0" w:name="_Toc429152040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Общая информация</w:t>
      </w:r>
      <w:bookmarkEnd w:id="0"/>
    </w:p>
    <w:p w14:paraId="12A3EC8A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Цель закупки</w:t>
      </w: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: комплексное обеспечение информационной безопасности рабочих станций, серверов Федерального государственного казенного учреждения «Служба технического заказчика» Федерального медико-биологического агентства (далее – ФГКУ «СТЗ» ФМБА России).</w:t>
      </w:r>
      <w:bookmarkStart w:id="1" w:name="_Toc428957301"/>
    </w:p>
    <w:p w14:paraId="35B62A46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Заказчик (Сублицензиат): ФГКУ «СТЗ» ФМБА России.</w:t>
      </w:r>
      <w:bookmarkEnd w:id="1"/>
    </w:p>
    <w:p w14:paraId="2880857D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(Лицензиат): Участник закупки, определяемый по результатам проведения процедуры закупки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14:paraId="658DDFE1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Объектом закупки является приобретение лицензии на продление права использования программного обеспечения Сканер-ВС Инспектор на 8 активов на 1 (один) год (далее – программное обеспечение (ПО), Продукт).</w:t>
      </w:r>
    </w:p>
    <w:p w14:paraId="0ED2A1EB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Место поставки:</w:t>
      </w:r>
      <w:r w:rsidRPr="005C4165">
        <w:rPr>
          <w:rFonts w:ascii="Times New Roman" w:hAnsi="Times New Roman" w:cs="Times New Roman"/>
          <w:sz w:val="28"/>
          <w:szCs w:val="28"/>
        </w:rPr>
        <w:t xml:space="preserve"> </w:t>
      </w: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101000, г. Москва, ул. Мясницкая, д. 47.</w:t>
      </w:r>
    </w:p>
    <w:p w14:paraId="419A6C6B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Срок поставки: в течение 30 (тридцати) рабочих дней с даты заключения Государственного контракта (далее – контракт).</w:t>
      </w:r>
    </w:p>
    <w:p w14:paraId="5C3E199D" w14:textId="77777777" w:rsidR="0063300E" w:rsidRPr="005C4165" w:rsidRDefault="0063300E" w:rsidP="005C4165">
      <w:pPr>
        <w:widowControl w:val="0"/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55698695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Нормативно-правовая база проведения закупки</w:t>
      </w:r>
    </w:p>
    <w:p w14:paraId="4C5CE735" w14:textId="77777777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Федеральный закон от 05.04.2013 № 44 - ФЗ «О контрактной системе в сфере закупок товаров, работ, услуг для обеспечения государственных и муниципальных нужд».</w:t>
      </w:r>
    </w:p>
    <w:p w14:paraId="231EB75E" w14:textId="7CC7CDC4" w:rsidR="0063300E" w:rsidRPr="005C4165" w:rsidRDefault="00D71524" w:rsidP="005C4165">
      <w:pPr>
        <w:pStyle w:val="afc"/>
        <w:widowControl w:val="0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Постановление Правительства РФ от 23.12.2024 N 1875 «О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</w:t>
      </w:r>
      <w:r w:rsidR="00B20357"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.</w:t>
      </w:r>
    </w:p>
    <w:p w14:paraId="275EAD4F" w14:textId="77777777" w:rsidR="0063300E" w:rsidRPr="005C4165" w:rsidRDefault="00D71524" w:rsidP="005C4165">
      <w:pPr>
        <w:widowControl w:val="0"/>
        <w:spacing w:line="276" w:lineRule="auto"/>
        <w:ind w:firstLine="708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2.3. Постановление Правительства Российской Федерации от 16.11.2015 № 1236 «Об утверждении Правил формирования и ведения единого реестра российских программ для электронных вычислительных машин и баз данных и единого реестра программ для электронных вычислительных машин и баз данных из государств - членов Евразийского экономического союза, за исключением Российской Федерации».</w:t>
      </w:r>
    </w:p>
    <w:p w14:paraId="7B3D735C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2" w:name="_Toc429152041"/>
      <w:bookmarkStart w:id="3" w:name="_Toc348448695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Гарантия качества</w:t>
      </w:r>
    </w:p>
    <w:p w14:paraId="7F7F83BC" w14:textId="77777777" w:rsidR="0063300E" w:rsidRPr="005C4165" w:rsidRDefault="00D71524" w:rsidP="005C4165">
      <w:pPr>
        <w:pStyle w:val="afc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(Лицензиат) несет ответственность за соответствие Продукта описанию объекта закупки и гарантирует надлежащую работу ПО в течение всего срока действия лицензии.</w:t>
      </w:r>
    </w:p>
    <w:p w14:paraId="59EDB21D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ED6F541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качеству Продукта</w:t>
      </w:r>
    </w:p>
    <w:p w14:paraId="678B759C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гарантирует, что передаваемый Продукт свободен от прав третьих лиц, не является предметом спора, не находится в залоге, под арестом, или иным обременением.</w:t>
      </w:r>
    </w:p>
    <w:p w14:paraId="6C2BC7F2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гарантирует, что к Заказчику не будут применены меры материальной ответственности по искам третьих лиц в части нарушения патентных прав, а также прав на использование торговой марки или промышленных образцов, связанных с использованием Продукта или любой его части в Российской Федерации.</w:t>
      </w:r>
    </w:p>
    <w:p w14:paraId="66A28CCB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Поставщик гарантирует Заказчику освобождение от всех претензий и судебных исков, в случае нарушения Поставщиком патентных и/или лицензионных прав, товарных знаков, также торговых марок, названий.</w:t>
      </w:r>
    </w:p>
    <w:p w14:paraId="05002795" w14:textId="77777777" w:rsidR="0063300E" w:rsidRPr="005C4165" w:rsidRDefault="00D71524" w:rsidP="005C4165">
      <w:pPr>
        <w:pStyle w:val="afc"/>
        <w:numPr>
          <w:ilvl w:val="1"/>
          <w:numId w:val="1"/>
        </w:numPr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lastRenderedPageBreak/>
        <w:t>Объем прав, предоставляемых Продуктами: право на установку, воспроизведение, право на использование для производственных нужд Заказчика, совершение любых действий, связанных с функционированием Продукта в соответствии с его назначением и документацией.</w:t>
      </w:r>
    </w:p>
    <w:p w14:paraId="71FB3ED1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4EA5C0E6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4" w:name="_Toc429152042"/>
      <w:bookmarkStart w:id="5" w:name="_Toc348448696"/>
      <w:bookmarkEnd w:id="2"/>
      <w:bookmarkEnd w:id="3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эксплуатационной документации</w:t>
      </w:r>
      <w:bookmarkEnd w:id="4"/>
      <w:bookmarkEnd w:id="5"/>
    </w:p>
    <w:p w14:paraId="47E623D3" w14:textId="77777777" w:rsidR="0063300E" w:rsidRPr="005C4165" w:rsidRDefault="00D71524" w:rsidP="005C4165">
      <w:pPr>
        <w:pStyle w:val="afc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Документация, поставляемая с Продуктом, должна детально описывать процесс установки, настройки и эксплуатации. </w:t>
      </w:r>
    </w:p>
    <w:p w14:paraId="62F9418C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0F548748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bookmarkStart w:id="6" w:name="_Toc429152043"/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технической поддержке</w:t>
      </w:r>
      <w:bookmarkEnd w:id="6"/>
    </w:p>
    <w:p w14:paraId="38D68C74" w14:textId="77777777" w:rsidR="0063300E" w:rsidRPr="005C4165" w:rsidRDefault="00D71524" w:rsidP="005C4165">
      <w:pPr>
        <w:pStyle w:val="afc"/>
        <w:spacing w:line="276" w:lineRule="auto"/>
        <w:ind w:left="0"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>Техническая поддержка ПО должна:</w:t>
      </w:r>
    </w:p>
    <w:p w14:paraId="19D719EE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предоставляться на русском языке сертифицированными специалистами </w:t>
      </w: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компании-разработчика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ПО и его партнеров на всей территории Российской Федерации круглосуточно без праздников и выходных по телефону, электронной почте и через Интернет;</w:t>
      </w:r>
    </w:p>
    <w:p w14:paraId="6C0A867E" w14:textId="362713EA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val="en-US" w:eastAsia="en-US"/>
        </w:rPr>
        <w:t>web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-сайт </w:t>
      </w: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компании-разработчика</w:t>
      </w:r>
      <w:r w:rsidR="00B20357"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программного обеспечения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</w:t>
      </w:r>
      <w:r w:rsidR="00B20357"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(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</w:rPr>
        <w:t>ПО</w:t>
      </w:r>
      <w:r w:rsidR="00B20357" w:rsidRPr="005C4165">
        <w:rPr>
          <w:rFonts w:ascii="Times New Roman" w:eastAsia="Calibri" w:hAnsi="Times New Roman" w:cs="Times New Roman"/>
          <w:color w:val="auto"/>
          <w:sz w:val="28"/>
          <w:szCs w:val="28"/>
        </w:rPr>
        <w:t>)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 должен быть на русском языке, иметь специальный раздел, посвящённый технической поддержке 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</w:rPr>
        <w:t>ПО</w:t>
      </w: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>, пополняемую базу знаний, а также форум пользователей программных продуктов;</w:t>
      </w:r>
    </w:p>
    <w:p w14:paraId="6AD6711A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</w:pPr>
      <w:r w:rsidRPr="005C4165">
        <w:rPr>
          <w:rFonts w:ascii="Times New Roman" w:eastAsia="Calibri" w:hAnsi="Times New Roman" w:cs="Times New Roman"/>
          <w:color w:val="auto"/>
          <w:sz w:val="28"/>
          <w:szCs w:val="28"/>
          <w:lang w:eastAsia="en-US"/>
        </w:rPr>
        <w:t xml:space="preserve">предоставление новых релизов, обновлений Продукта в соответствии с их лицензионными соглашениями; </w:t>
      </w:r>
    </w:p>
    <w:p w14:paraId="3FBDF0DA" w14:textId="77777777" w:rsidR="0063300E" w:rsidRPr="005C4165" w:rsidRDefault="0063300E" w:rsidP="005C4165">
      <w:pPr>
        <w:pStyle w:val="Style9"/>
        <w:widowControl/>
        <w:tabs>
          <w:tab w:val="left" w:pos="1490"/>
        </w:tabs>
        <w:spacing w:line="276" w:lineRule="auto"/>
        <w:ind w:firstLine="0"/>
        <w:rPr>
          <w:sz w:val="28"/>
          <w:szCs w:val="28"/>
        </w:rPr>
      </w:pPr>
      <w:bookmarkStart w:id="7" w:name="_Toc429152044"/>
    </w:p>
    <w:p w14:paraId="74CD9F27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Требования к поставке</w:t>
      </w:r>
    </w:p>
    <w:p w14:paraId="0F5F91B5" w14:textId="77777777" w:rsidR="0063300E" w:rsidRPr="005C4165" w:rsidRDefault="00D71524" w:rsidP="005C4165">
      <w:pPr>
        <w:pStyle w:val="afc"/>
        <w:keepNext/>
        <w:spacing w:line="276" w:lineRule="auto"/>
        <w:ind w:left="709"/>
        <w:jc w:val="both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Поставщик (Лицензиат) при передаче Продукта предоставляет:</w:t>
      </w:r>
    </w:p>
    <w:p w14:paraId="60658E04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надлежащим образом заверенную копию Лицензионного соглашения между Поставщиком (Лицензиатом) и компанией-разработчиком ПО, (или) иных документов, предоставляющих Поставщику право осуществлять передачу прав на ПО и поддержку программного обеспечения в течение указанного срока и количества лицензий согласно таблице № 1. Лицензия должна быть универсальной и обеспечивать возможность изменения соотношения защищаемых объектов в течение срока действия лицензии в рамках приобретаемого числа лицензий;</w:t>
      </w:r>
    </w:p>
    <w:p w14:paraId="33061150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соглашение об уровне клиентской и технической поддержки (или иной документ), определяющее условия использования Заказчиком Продукта и подтверждающее права Заказчика на обновление и поддержку (гарантийное сопровождение);</w:t>
      </w:r>
    </w:p>
    <w:p w14:paraId="0AD2E615" w14:textId="77777777" w:rsidR="0063300E" w:rsidRPr="005C4165" w:rsidRDefault="00D71524" w:rsidP="005C4165">
      <w:pPr>
        <w:pStyle w:val="afc"/>
        <w:numPr>
          <w:ilvl w:val="0"/>
          <w:numId w:val="2"/>
        </w:numPr>
        <w:spacing w:after="60"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регистрационную информацию в виде ключевого файла/</w:t>
      </w:r>
      <w:proofErr w:type="spellStart"/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авторизационного</w:t>
      </w:r>
      <w:proofErr w:type="spellEnd"/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номера/кода активации, которая генерируется персонально для Сублицензиата, на адрес электронной почты: </w:t>
      </w:r>
      <w:hyperlink r:id="rId8" w:tooltip="mailto:morozov@stzfmba.ru"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morozov</w:t>
        </w:r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</w:rPr>
          <w:t>@</w:t>
        </w:r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stzfmba</w:t>
        </w:r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</w:rPr>
          <w:t>.</w:t>
        </w:r>
        <w:proofErr w:type="spellStart"/>
        <w:r w:rsidRPr="005C4165">
          <w:rPr>
            <w:rStyle w:val="afa"/>
            <w:rFonts w:ascii="Times New Roman" w:eastAsia="Times New Roman" w:hAnsi="Times New Roman" w:cs="Times New Roman"/>
            <w:bCs/>
            <w:sz w:val="28"/>
            <w:szCs w:val="28"/>
            <w:lang w:val="en-US"/>
          </w:rPr>
          <w:t>ru</w:t>
        </w:r>
        <w:proofErr w:type="spellEnd"/>
      </w:hyperlink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.</w:t>
      </w:r>
    </w:p>
    <w:p w14:paraId="57D17A0F" w14:textId="77777777" w:rsidR="0063300E" w:rsidRPr="005C4165" w:rsidRDefault="0063300E" w:rsidP="005C4165">
      <w:pPr>
        <w:pStyle w:val="afc"/>
        <w:spacing w:after="60" w:line="276" w:lineRule="auto"/>
        <w:ind w:left="709"/>
        <w:jc w:val="both"/>
        <w:outlineLvl w:val="1"/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</w:pPr>
    </w:p>
    <w:p w14:paraId="1A4487C3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Условия поставки Продукта</w:t>
      </w:r>
    </w:p>
    <w:p w14:paraId="52191669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Поставщик уведомляет Заказчика о времени и дате поставки Продукта по телефону на номер ответственного контактного лица Заказчика 8 (495)198-02-21 доб.313 по электронной почте на электронный адрес ответственного контактного лица Заказчика </w:t>
      </w:r>
      <w:proofErr w:type="spellStart"/>
      <w:r w:rsidRPr="005C4165">
        <w:rPr>
          <w:rFonts w:ascii="Times New Roman" w:eastAsia="Times New Roman" w:hAnsi="Times New Roman" w:cs="Times New Roman"/>
          <w:bCs/>
          <w:color w:val="auto"/>
          <w:sz w:val="28"/>
          <w:szCs w:val="28"/>
          <w:lang w:val="en-US"/>
        </w:rPr>
        <w:t>morozov</w:t>
      </w:r>
      <w:proofErr w:type="spellEnd"/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@stzfmba.ru.</w:t>
      </w:r>
    </w:p>
    <w:p w14:paraId="277D9A6E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 xml:space="preserve">В случае, если при приемке будет обнаружен Продукт ненадлежащего качества или ассортимента, не иметь соответствующих документов/или если прилагаемые документы не соответствуют поставленной партии Продукта, Заказчик вправе отказаться от приемки такого Продукта, известив об этом Поставщика. </w:t>
      </w:r>
    </w:p>
    <w:p w14:paraId="189A3119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При этом Поставщик обязан заменить некачественный (дефектный) Продукт в течение 5 (пяти) рабочих дней с момента предъявления заказчиком (получателем) такого требования. Поставщик несет все расходы, связанные с заменой некачественного (дефектного) Продукта.</w:t>
      </w:r>
    </w:p>
    <w:p w14:paraId="6E5A5C54" w14:textId="77777777" w:rsidR="0063300E" w:rsidRPr="005C4165" w:rsidRDefault="00D71524" w:rsidP="005C4165">
      <w:pPr>
        <w:pStyle w:val="afc"/>
        <w:numPr>
          <w:ilvl w:val="1"/>
          <w:numId w:val="1"/>
        </w:numPr>
        <w:tabs>
          <w:tab w:val="left" w:pos="0"/>
        </w:tabs>
        <w:spacing w:line="276" w:lineRule="auto"/>
        <w:ind w:left="0" w:firstLine="709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  <w:t>После приемки Продукта Заказчик вправе произвести экспертизу поставляемого Продукта. Порядок и сроки ее проведения определяются Заказчиком самостоятельно.</w:t>
      </w:r>
      <w:bookmarkEnd w:id="7"/>
    </w:p>
    <w:p w14:paraId="1B94F0F6" w14:textId="58BD0DE1" w:rsidR="0063300E" w:rsidRPr="005C4165" w:rsidRDefault="0063300E" w:rsidP="005C4165">
      <w:pPr>
        <w:tabs>
          <w:tab w:val="left" w:pos="0"/>
        </w:tabs>
        <w:spacing w:line="276" w:lineRule="auto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14:paraId="67CA488D" w14:textId="77777777" w:rsidR="00E720B2" w:rsidRPr="005C4165" w:rsidRDefault="00E720B2" w:rsidP="005C4165">
      <w:pPr>
        <w:tabs>
          <w:tab w:val="left" w:pos="0"/>
        </w:tabs>
        <w:spacing w:line="276" w:lineRule="auto"/>
        <w:jc w:val="both"/>
        <w:outlineLvl w:val="1"/>
        <w:rPr>
          <w:rFonts w:ascii="Times New Roman" w:eastAsia="Times New Roman" w:hAnsi="Times New Roman" w:cs="Times New Roman"/>
          <w:iCs/>
          <w:color w:val="auto"/>
          <w:sz w:val="28"/>
          <w:szCs w:val="28"/>
        </w:rPr>
      </w:pPr>
    </w:p>
    <w:p w14:paraId="3BECDD51" w14:textId="77777777" w:rsidR="0063300E" w:rsidRPr="005C4165" w:rsidRDefault="00D71524" w:rsidP="005C4165">
      <w:pPr>
        <w:pStyle w:val="afc"/>
        <w:numPr>
          <w:ilvl w:val="0"/>
          <w:numId w:val="1"/>
        </w:numPr>
        <w:spacing w:after="60" w:line="276" w:lineRule="auto"/>
        <w:outlineLvl w:val="1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lastRenderedPageBreak/>
        <w:t xml:space="preserve">Наименование и требования </w:t>
      </w:r>
    </w:p>
    <w:p w14:paraId="08F33F00" w14:textId="77777777" w:rsidR="0063300E" w:rsidRPr="005C4165" w:rsidRDefault="00D71524" w:rsidP="005C4165">
      <w:pPr>
        <w:pStyle w:val="afc"/>
        <w:spacing w:after="60" w:line="276" w:lineRule="auto"/>
        <w:ind w:left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Поставщик должен осуществить поставку согласно таблице № 1. </w:t>
      </w:r>
    </w:p>
    <w:p w14:paraId="76C49CEB" w14:textId="0A3D2F3F" w:rsidR="0063300E" w:rsidRPr="005C4165" w:rsidRDefault="00D71524" w:rsidP="005C4165">
      <w:pPr>
        <w:spacing w:after="60" w:line="276" w:lineRule="auto"/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</w:pPr>
      <w:r w:rsidRPr="005C4165">
        <w:rPr>
          <w:rFonts w:ascii="Times New Roman" w:eastAsia="Times New Roman" w:hAnsi="Times New Roman" w:cs="Times New Roman"/>
          <w:b/>
          <w:bCs/>
          <w:color w:val="auto"/>
          <w:sz w:val="28"/>
          <w:szCs w:val="28"/>
        </w:rPr>
        <w:t>Таблица № 1.</w:t>
      </w:r>
    </w:p>
    <w:tbl>
      <w:tblPr>
        <w:tblW w:w="5080" w:type="pct"/>
        <w:jc w:val="center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30"/>
        <w:gridCol w:w="4749"/>
        <w:gridCol w:w="2551"/>
        <w:gridCol w:w="1418"/>
        <w:gridCol w:w="1004"/>
      </w:tblGrid>
      <w:tr w:rsidR="00E720B2" w:rsidRPr="005C4165" w14:paraId="7E4DFD9C" w14:textId="77777777" w:rsidTr="00E720B2">
        <w:trPr>
          <w:trHeight w:val="894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F953E15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№</w:t>
            </w:r>
          </w:p>
          <w:p w14:paraId="7B7B913A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п/п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14:paraId="4E7F69F6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 Лицензии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10E101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лицензии</w:t>
            </w:r>
            <w:r w:rsidRPr="005C4165">
              <w:rPr>
                <w:rStyle w:val="af1"/>
                <w:rFonts w:ascii="Times New Roman" w:hAnsi="Times New Roman" w:cs="Times New Roman"/>
                <w:bCs/>
                <w:sz w:val="28"/>
                <w:szCs w:val="28"/>
              </w:rPr>
              <w:footnoteReference w:id="1"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94A6A6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Срок действия Лицензии</w:t>
            </w:r>
            <w:r w:rsidRPr="005C4165">
              <w:rPr>
                <w:rStyle w:val="af1"/>
                <w:rFonts w:ascii="Times New Roman" w:hAnsi="Times New Roman" w:cs="Times New Roman"/>
                <w:bCs/>
                <w:sz w:val="28"/>
                <w:szCs w:val="28"/>
              </w:rPr>
              <w:footnoteReference w:id="2"/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CCA0C7D" w14:textId="2ABF2F9C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Кол-во, шт.</w:t>
            </w:r>
            <w:r w:rsidRPr="005C4165">
              <w:rPr>
                <w:rStyle w:val="af1"/>
                <w:rFonts w:ascii="Times New Roman" w:hAnsi="Times New Roman" w:cs="Times New Roman"/>
                <w:bCs/>
                <w:sz w:val="28"/>
                <w:szCs w:val="28"/>
              </w:rPr>
              <w:footnoteReference w:id="3"/>
            </w:r>
          </w:p>
        </w:tc>
      </w:tr>
      <w:tr w:rsidR="00E720B2" w:rsidRPr="005C4165" w14:paraId="4F560CE1" w14:textId="77777777" w:rsidTr="00E720B2">
        <w:trPr>
          <w:trHeight w:val="326"/>
          <w:jc w:val="center"/>
        </w:trPr>
        <w:tc>
          <w:tcPr>
            <w:tcW w:w="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11074096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4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  <w:hideMark/>
          </w:tcPr>
          <w:p w14:paraId="5E457828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товара по КТРУ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: Программное обеспечение</w:t>
            </w:r>
          </w:p>
          <w:p w14:paraId="2A1F832E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5F83DBA" w14:textId="44AA4DE0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Класс программ для электронных вычислительных машин и баз данных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  <w:r w:rsidR="004C1332"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(03.15) Средства обнаружения угроз и расследования сетевых инцидентов</w:t>
            </w:r>
          </w:p>
          <w:p w14:paraId="6F64BD04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9FDE0A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Способ предоставления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: </w:t>
            </w:r>
          </w:p>
          <w:p w14:paraId="06B4485B" w14:textId="27053A72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Копия электронного экземпляра</w:t>
            </w:r>
          </w:p>
          <w:p w14:paraId="4D486EF3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ED53A57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/>
                <w:sz w:val="28"/>
                <w:szCs w:val="28"/>
              </w:rPr>
              <w:t>Вид лицензии</w:t>
            </w: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: Простая (неисключительная)</w:t>
            </w:r>
          </w:p>
          <w:p w14:paraId="052C0230" w14:textId="77777777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5C922E" w14:textId="7EE9527A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 xml:space="preserve">Сканер-ВС 7 «Инспектор»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E609EAA" w14:textId="5F365A5F" w:rsidR="00E720B2" w:rsidRPr="005C4165" w:rsidRDefault="00E720B2" w:rsidP="005C4165">
            <w:pPr>
              <w:pStyle w:val="afc"/>
              <w:spacing w:line="276" w:lineRule="auto"/>
              <w:ind w:left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t>Сканер-ВС 7. Лицензия Enterprise включая компонент «Инспектор» на 8 активов на 1 год</w:t>
            </w:r>
            <w:r w:rsidRPr="005C4165">
              <w:rPr>
                <w:rStyle w:val="af1"/>
                <w:rFonts w:ascii="Times New Roman" w:eastAsia="Times New Roman" w:hAnsi="Times New Roman" w:cs="Times New Roman"/>
                <w:color w:val="auto"/>
                <w:sz w:val="28"/>
                <w:szCs w:val="28"/>
              </w:rPr>
              <w:footnoteReference w:id="4"/>
            </w: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BB3C331" w14:textId="485158DA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1 год</w:t>
            </w:r>
          </w:p>
        </w:tc>
        <w:tc>
          <w:tcPr>
            <w:tcW w:w="10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A53E3C7" w14:textId="3BF49F61" w:rsidR="00E720B2" w:rsidRPr="005C4165" w:rsidRDefault="00E720B2" w:rsidP="005C4165">
            <w:pPr>
              <w:pStyle w:val="afc"/>
              <w:spacing w:line="276" w:lineRule="auto"/>
              <w:ind w:left="0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5C4165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</w:tbl>
    <w:p w14:paraId="4A5764FD" w14:textId="77777777" w:rsidR="0063300E" w:rsidRPr="005C4165" w:rsidRDefault="0063300E" w:rsidP="005C4165">
      <w:pPr>
        <w:spacing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sectPr w:rsidR="0063300E" w:rsidRPr="005C4165">
      <w:footerReference w:type="even" r:id="rId9"/>
      <w:footerReference w:type="default" r:id="rId10"/>
      <w:footerReference w:type="first" r:id="rId11"/>
      <w:pgSz w:w="11906" w:h="16838"/>
      <w:pgMar w:top="1134" w:right="567" w:bottom="1134" w:left="1134" w:header="0" w:footer="709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BB3FB4" w14:textId="77777777" w:rsidR="00CC44EA" w:rsidRDefault="00CC44EA">
      <w:r>
        <w:separator/>
      </w:r>
    </w:p>
  </w:endnote>
  <w:endnote w:type="continuationSeparator" w:id="0">
    <w:p w14:paraId="1B83B153" w14:textId="77777777" w:rsidR="00CC44EA" w:rsidRDefault="00CC44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Arial"/>
    <w:panose1 w:val="020B0604020202020204"/>
    <w:charset w:val="01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A64868" w14:textId="77777777" w:rsidR="0063300E" w:rsidRDefault="0063300E">
    <w:pPr>
      <w:pStyle w:val="af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37041391"/>
      <w:docPartObj>
        <w:docPartGallery w:val="Page Numbers (Bottom of Page)"/>
        <w:docPartUnique/>
      </w:docPartObj>
    </w:sdtPr>
    <w:sdtEndPr/>
    <w:sdtContent>
      <w:p w14:paraId="59534450" w14:textId="77777777" w:rsidR="0063300E" w:rsidRDefault="00D71524">
        <w:pPr>
          <w:pStyle w:val="af9"/>
          <w:jc w:val="center"/>
          <w:rPr>
            <w:rFonts w:ascii="Times New Roman" w:hAnsi="Times New Roman" w:cs="Times New Roman"/>
          </w:rPr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</w:rPr>
          <w:t>3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6A7092FE" w14:textId="77777777" w:rsidR="0063300E" w:rsidRDefault="0063300E">
    <w:pPr>
      <w:pStyle w:val="af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39FA7" w14:textId="77777777" w:rsidR="0063300E" w:rsidRDefault="0063300E">
    <w:pPr>
      <w:pStyle w:val="af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043110" w14:textId="77777777" w:rsidR="00CC44EA" w:rsidRDefault="00CC44EA">
      <w:r>
        <w:separator/>
      </w:r>
    </w:p>
  </w:footnote>
  <w:footnote w:type="continuationSeparator" w:id="0">
    <w:p w14:paraId="3FFBF54E" w14:textId="77777777" w:rsidR="00CC44EA" w:rsidRDefault="00CC44EA">
      <w:r>
        <w:continuationSeparator/>
      </w:r>
    </w:p>
  </w:footnote>
  <w:footnote w:id="1">
    <w:p w14:paraId="3338E76F" w14:textId="77777777" w:rsidR="00E720B2" w:rsidRPr="002E04CF" w:rsidRDefault="00E720B2" w:rsidP="00E720B2">
      <w:pPr>
        <w:pStyle w:val="af"/>
        <w:jc w:val="both"/>
        <w:rPr>
          <w:rFonts w:ascii="Times New Roman" w:hAnsi="Times New Roman" w:cs="Times New Roman"/>
        </w:rPr>
      </w:pPr>
      <w:r w:rsidRPr="002E04CF">
        <w:rPr>
          <w:rStyle w:val="af1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Дополнительное требование к Товару установлено для обеспечения идентификации потребности заказчика, а также в связи с целью уточнения характеристик из-за недостаточности информации, содержащейся в Каталоге товаров, работ, услуг</w:t>
      </w:r>
    </w:p>
  </w:footnote>
  <w:footnote w:id="2">
    <w:p w14:paraId="2913630B" w14:textId="77777777" w:rsidR="00E720B2" w:rsidRPr="002E04CF" w:rsidRDefault="00E720B2" w:rsidP="00E720B2">
      <w:pPr>
        <w:pStyle w:val="af"/>
        <w:jc w:val="both"/>
        <w:rPr>
          <w:rFonts w:ascii="Times New Roman" w:hAnsi="Times New Roman" w:cs="Times New Roman"/>
        </w:rPr>
      </w:pPr>
      <w:r w:rsidRPr="002E04CF">
        <w:rPr>
          <w:rStyle w:val="af1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Дополнительное требование к Товару установлено для обеспечения идентификации потребности заказчика, а также в связи с целью уточнения характеристик из-за недостаточности информации, содержащейся в Каталоге товаров, работ, услуг</w:t>
      </w:r>
    </w:p>
  </w:footnote>
  <w:footnote w:id="3">
    <w:p w14:paraId="67CB6F0A" w14:textId="77777777" w:rsidR="00E720B2" w:rsidRPr="002E04CF" w:rsidRDefault="00E720B2" w:rsidP="00E720B2">
      <w:pPr>
        <w:pStyle w:val="af"/>
        <w:jc w:val="both"/>
        <w:rPr>
          <w:rFonts w:ascii="Times New Roman" w:hAnsi="Times New Roman" w:cs="Times New Roman"/>
        </w:rPr>
      </w:pPr>
      <w:r w:rsidRPr="002E04CF">
        <w:rPr>
          <w:rStyle w:val="af1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Дополнительное требование к Товару установлено для обеспечения идентификации потребности заказчика, а также в связи с целью уточнения характеристик из-за недостаточности информации, содержащейся в Каталоге товаров, работ, услуг</w:t>
      </w:r>
    </w:p>
  </w:footnote>
  <w:footnote w:id="4">
    <w:p w14:paraId="4335D7C9" w14:textId="77777777" w:rsidR="00E720B2" w:rsidRDefault="00E720B2" w:rsidP="00E720B2">
      <w:pPr>
        <w:pStyle w:val="af"/>
        <w:jc w:val="both"/>
      </w:pPr>
      <w:r w:rsidRPr="002E04CF">
        <w:rPr>
          <w:rStyle w:val="af0"/>
          <w:rFonts w:ascii="Times New Roman" w:hAnsi="Times New Roman" w:cs="Times New Roman"/>
        </w:rPr>
        <w:footnoteRef/>
      </w:r>
      <w:r w:rsidRPr="002E04CF">
        <w:rPr>
          <w:rFonts w:ascii="Times New Roman" w:hAnsi="Times New Roman" w:cs="Times New Roman"/>
        </w:rPr>
        <w:t xml:space="preserve"> Эквивалент не допускается в соответствии с </w:t>
      </w:r>
      <w:proofErr w:type="spellStart"/>
      <w:r w:rsidRPr="002E04CF">
        <w:rPr>
          <w:rFonts w:ascii="Times New Roman" w:hAnsi="Times New Roman" w:cs="Times New Roman"/>
        </w:rPr>
        <w:t>пп</w:t>
      </w:r>
      <w:proofErr w:type="spellEnd"/>
      <w:r w:rsidRPr="002E04CF">
        <w:rPr>
          <w:rFonts w:ascii="Times New Roman" w:hAnsi="Times New Roman" w:cs="Times New Roman"/>
        </w:rPr>
        <w:t xml:space="preserve">. «б» п.1 ч.1. ст.33 Федерального закона от 05.04.2013 года № 44-ФЗ «О контрактной системе в сфере закупок товаров, работ, услуг для обеспечения государственных и муниципальных нужд» в целях обеспечения совместимости закупаемого программного обеспечения с уже используемым (ранее установленным) заказчиком программным обеспечением, </w:t>
      </w:r>
      <w:proofErr w:type="spellStart"/>
      <w:r w:rsidRPr="002E04CF">
        <w:rPr>
          <w:rFonts w:ascii="Times New Roman" w:hAnsi="Times New Roman" w:cs="Times New Roman"/>
        </w:rPr>
        <w:t>программно</w:t>
      </w:r>
      <w:proofErr w:type="spellEnd"/>
      <w:r w:rsidRPr="002E04CF">
        <w:rPr>
          <w:rFonts w:ascii="Times New Roman" w:hAnsi="Times New Roman" w:cs="Times New Roman"/>
        </w:rPr>
        <w:t>–аппаратными средствами и действующим оборудованием.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FB61EA"/>
    <w:multiLevelType w:val="multilevel"/>
    <w:tmpl w:val="1AE8897C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b/>
        <w:bCs w:val="0"/>
      </w:r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975" w:hanging="557"/>
      </w:pPr>
      <w:rPr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842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2049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16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823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39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597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4164" w:hanging="1800"/>
      </w:pPr>
    </w:lvl>
  </w:abstractNum>
  <w:abstractNum w:abstractNumId="1" w15:restartNumberingAfterBreak="0">
    <w:nsid w:val="72DB1A8B"/>
    <w:multiLevelType w:val="multilevel"/>
    <w:tmpl w:val="F64ECEA8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75AC089A"/>
    <w:multiLevelType w:val="multilevel"/>
    <w:tmpl w:val="707CD4B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713069732">
    <w:abstractNumId w:val="0"/>
  </w:num>
  <w:num w:numId="2" w16cid:durableId="607197423">
    <w:abstractNumId w:val="1"/>
  </w:num>
  <w:num w:numId="3" w16cid:durableId="20979689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1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300E"/>
    <w:rsid w:val="002E04CF"/>
    <w:rsid w:val="004C1332"/>
    <w:rsid w:val="004E28A2"/>
    <w:rsid w:val="004F0DC8"/>
    <w:rsid w:val="00545642"/>
    <w:rsid w:val="005C4165"/>
    <w:rsid w:val="0063300E"/>
    <w:rsid w:val="00B20357"/>
    <w:rsid w:val="00BC4E31"/>
    <w:rsid w:val="00CC44EA"/>
    <w:rsid w:val="00D71524"/>
    <w:rsid w:val="00E72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E3923"/>
  <w15:docId w15:val="{7426657E-0E3B-4662-8208-7334BCB7DC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pPr>
      <w:keepNext/>
      <w:keepLines/>
      <w:widowControl w:val="0"/>
      <w:spacing w:line="276" w:lineRule="auto"/>
      <w:ind w:firstLine="680"/>
      <w:jc w:val="both"/>
      <w:outlineLvl w:val="2"/>
    </w:pPr>
    <w:rPr>
      <w:rFonts w:ascii="Times New Roman" w:eastAsia="MS Gothic" w:hAnsi="Times New Roman" w:cs="Times New Roman"/>
      <w:color w:val="auto"/>
      <w:sz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4Char">
    <w:name w:val="Heading 4 Char"/>
    <w:basedOn w:val="a0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SubtitleChar">
    <w:name w:val="Subtitle Char"/>
    <w:basedOn w:val="a0"/>
    <w:uiPriority w:val="11"/>
    <w:qFormat/>
    <w:rPr>
      <w:sz w:val="24"/>
      <w:szCs w:val="24"/>
    </w:rPr>
  </w:style>
  <w:style w:type="character" w:customStyle="1" w:styleId="QuoteChar">
    <w:name w:val="Quote Char"/>
    <w:uiPriority w:val="29"/>
    <w:qFormat/>
    <w:rPr>
      <w:i/>
    </w:rPr>
  </w:style>
  <w:style w:type="character" w:customStyle="1" w:styleId="IntenseQuoteChar">
    <w:name w:val="Intense Quote Char"/>
    <w:uiPriority w:val="30"/>
    <w:qFormat/>
    <w:rPr>
      <w:i/>
    </w:rPr>
  </w:style>
  <w:style w:type="character" w:customStyle="1" w:styleId="CaptionChar">
    <w:name w:val="Caption Char"/>
    <w:basedOn w:val="a0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qFormat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qFormat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qFormat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qFormat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qFormat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qFormat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qFormat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qFormat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qFormat/>
    <w:rPr>
      <w:sz w:val="48"/>
      <w:szCs w:val="48"/>
    </w:rPr>
  </w:style>
  <w:style w:type="character" w:customStyle="1" w:styleId="a3">
    <w:name w:val="Подзаголовок Знак"/>
    <w:basedOn w:val="a0"/>
    <w:link w:val="a4"/>
    <w:uiPriority w:val="11"/>
    <w:qFormat/>
    <w:rPr>
      <w:sz w:val="24"/>
      <w:szCs w:val="24"/>
    </w:rPr>
  </w:style>
  <w:style w:type="character" w:customStyle="1" w:styleId="21">
    <w:name w:val="Цитата 2 Знак"/>
    <w:link w:val="22"/>
    <w:uiPriority w:val="29"/>
    <w:qFormat/>
    <w:rPr>
      <w:i/>
    </w:rPr>
  </w:style>
  <w:style w:type="character" w:customStyle="1" w:styleId="a5">
    <w:name w:val="Выделенная цитата Знак"/>
    <w:link w:val="a6"/>
    <w:uiPriority w:val="30"/>
    <w:qFormat/>
    <w:rPr>
      <w:i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7">
    <w:name w:val="Название объекта Знак"/>
    <w:basedOn w:val="a0"/>
    <w:link w:val="a8"/>
    <w:uiPriority w:val="35"/>
    <w:qFormat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qFormat/>
    <w:rPr>
      <w:sz w:val="18"/>
    </w:rPr>
  </w:style>
  <w:style w:type="character" w:customStyle="1" w:styleId="EndnoteTextChar">
    <w:name w:val="Endnote Text Char"/>
    <w:uiPriority w:val="99"/>
    <w:qFormat/>
    <w:rPr>
      <w:sz w:val="20"/>
    </w:rPr>
  </w:style>
  <w:style w:type="character" w:customStyle="1" w:styleId="11">
    <w:name w:val="Основной текст Знак1"/>
    <w:basedOn w:val="a0"/>
    <w:link w:val="a9"/>
    <w:uiPriority w:val="99"/>
    <w:qFormat/>
    <w:rPr>
      <w:rFonts w:ascii="Times New Roman" w:hAnsi="Times New Roman" w:cs="Times New Roman"/>
      <w:sz w:val="24"/>
      <w:szCs w:val="24"/>
      <w:shd w:val="clear" w:color="auto" w:fill="FFFFFF"/>
    </w:rPr>
  </w:style>
  <w:style w:type="character" w:customStyle="1" w:styleId="aa">
    <w:name w:val="Основной текст Знак"/>
    <w:basedOn w:val="a0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b">
    <w:name w:val="Основной текст + Полужирный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81">
    <w:name w:val="Основной текст + Полужирный8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71">
    <w:name w:val="Основной текст + Полужирный7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1">
    <w:name w:val="Основной текст (5)_"/>
    <w:basedOn w:val="a0"/>
    <w:link w:val="510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"/>
    <w:basedOn w:val="51"/>
    <w:uiPriority w:val="99"/>
    <w:qFormat/>
    <w:rPr>
      <w:rFonts w:ascii="Times New Roman" w:hAnsi="Times New Roman" w:cs="Times New Roman"/>
      <w:b/>
      <w:bCs/>
      <w:sz w:val="24"/>
      <w:szCs w:val="24"/>
      <w:u w:val="single"/>
      <w:shd w:val="clear" w:color="auto" w:fill="FFFFFF"/>
    </w:rPr>
  </w:style>
  <w:style w:type="character" w:customStyle="1" w:styleId="53">
    <w:name w:val="Основной текст (5) + Не полужирный"/>
    <w:basedOn w:val="51"/>
    <w:uiPriority w:val="99"/>
    <w:qFormat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61">
    <w:name w:val="Основной текст + Полужирный6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">
    <w:name w:val="Основной текст + Полужирный5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41">
    <w:name w:val="Основной текст + Полужирный4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40">
    <w:name w:val="Основной текст (5)4"/>
    <w:basedOn w:val="5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11">
    <w:name w:val="Основной текст (5) + Не полужирный1"/>
    <w:basedOn w:val="51"/>
    <w:uiPriority w:val="99"/>
    <w:qFormat/>
    <w:rPr>
      <w:rFonts w:ascii="Times New Roman" w:hAnsi="Times New Roman" w:cs="Times New Roman"/>
      <w:b w:val="0"/>
      <w:bCs w:val="0"/>
      <w:sz w:val="24"/>
      <w:szCs w:val="24"/>
      <w:shd w:val="clear" w:color="auto" w:fill="FFFFFF"/>
    </w:rPr>
  </w:style>
  <w:style w:type="character" w:customStyle="1" w:styleId="31">
    <w:name w:val="Основной текст + Полужирный3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23">
    <w:name w:val="Основной текст + Полужирный2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2">
    <w:name w:val="Основной текст + Полужирный1"/>
    <w:basedOn w:val="1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30">
    <w:name w:val="Основной текст (5)3"/>
    <w:basedOn w:val="5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520">
    <w:name w:val="Основной текст (5)2"/>
    <w:basedOn w:val="51"/>
    <w:uiPriority w:val="99"/>
    <w:qFormat/>
    <w:rPr>
      <w:rFonts w:ascii="Times New Roman" w:hAnsi="Times New Roman" w:cs="Times New Roman"/>
      <w:b/>
      <w:bCs/>
      <w:sz w:val="24"/>
      <w:szCs w:val="24"/>
      <w:shd w:val="clear" w:color="auto" w:fill="FFFFFF"/>
    </w:rPr>
  </w:style>
  <w:style w:type="character" w:customStyle="1" w:styleId="1pt">
    <w:name w:val="Основной текст + Интервал 1 pt"/>
    <w:basedOn w:val="11"/>
    <w:uiPriority w:val="99"/>
    <w:qFormat/>
    <w:rPr>
      <w:rFonts w:ascii="Times New Roman" w:hAnsi="Times New Roman" w:cs="Times New Roman"/>
      <w:spacing w:val="30"/>
      <w:sz w:val="24"/>
      <w:szCs w:val="24"/>
      <w:shd w:val="clear" w:color="auto" w:fill="FFFFFF"/>
    </w:rPr>
  </w:style>
  <w:style w:type="character" w:customStyle="1" w:styleId="24">
    <w:name w:val="Основной текст 2 Знак"/>
    <w:basedOn w:val="a0"/>
    <w:link w:val="25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c">
    <w:name w:val="Текст концевой сноски Знак"/>
    <w:basedOn w:val="a0"/>
    <w:link w:val="ad"/>
    <w:uiPriority w:val="99"/>
    <w:semiHidden/>
    <w:qFormat/>
    <w:rPr>
      <w:sz w:val="20"/>
      <w:szCs w:val="20"/>
    </w:rPr>
  </w:style>
  <w:style w:type="character" w:customStyle="1" w:styleId="ae">
    <w:name w:val="Текст сноски Знак"/>
    <w:basedOn w:val="a0"/>
    <w:link w:val="af"/>
    <w:uiPriority w:val="99"/>
    <w:semiHidden/>
    <w:qFormat/>
    <w:rPr>
      <w:sz w:val="20"/>
      <w:szCs w:val="20"/>
    </w:rPr>
  </w:style>
  <w:style w:type="character" w:customStyle="1" w:styleId="af0">
    <w:name w:val="Символ сноски"/>
    <w:basedOn w:val="a0"/>
    <w:uiPriority w:val="99"/>
    <w:semiHidden/>
    <w:unhideWhenUsed/>
    <w:qFormat/>
    <w:rPr>
      <w:vertAlign w:val="superscript"/>
    </w:rPr>
  </w:style>
  <w:style w:type="character" w:styleId="af1">
    <w:name w:val="footnote reference"/>
    <w:uiPriority w:val="99"/>
    <w:rPr>
      <w:vertAlign w:val="superscript"/>
    </w:rPr>
  </w:style>
  <w:style w:type="character" w:customStyle="1" w:styleId="af2">
    <w:name w:val="Текст выноски Знак"/>
    <w:basedOn w:val="a0"/>
    <w:link w:val="af3"/>
    <w:uiPriority w:val="99"/>
    <w:semiHidden/>
    <w:qFormat/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4">
    <w:name w:val="Заголовок Знак"/>
    <w:basedOn w:val="a0"/>
    <w:link w:val="af5"/>
    <w:qFormat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26">
    <w:name w:val="Основной текст (2)_"/>
    <w:basedOn w:val="a0"/>
    <w:link w:val="27"/>
    <w:qFormat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f6">
    <w:name w:val="Верхний колонтитул Знак"/>
    <w:basedOn w:val="a0"/>
    <w:link w:val="af7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af8">
    <w:name w:val="Нижний колонтитул Знак"/>
    <w:basedOn w:val="a0"/>
    <w:link w:val="af9"/>
    <w:uiPriority w:val="99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customStyle="1" w:styleId="32">
    <w:name w:val="Заголовок 3 Знак"/>
    <w:basedOn w:val="a0"/>
    <w:qFormat/>
    <w:rPr>
      <w:rFonts w:ascii="Times New Roman" w:eastAsia="MS Gothic" w:hAnsi="Times New Roman" w:cs="Times New Roman"/>
      <w:sz w:val="28"/>
      <w:szCs w:val="24"/>
      <w:lang w:eastAsia="ru-RU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b">
    <w:name w:val="Абзац списка Знак"/>
    <w:aliases w:val="Bullet List Знак,FooterText Знак,numbered Знак,Paragraphe de liste1 Знак,lp1 Знак,Bullet 1 Знак,Use Case List Paragraph Знак,Абзац списка литеральный Знак,Булет 1 Знак,Bullet Number Знак,Нумерованый список Знак,lp11 Знак,it_List1 Знак"/>
    <w:link w:val="afc"/>
    <w:uiPriority w:val="34"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character" w:styleId="afd">
    <w:name w:val="annotation reference"/>
    <w:basedOn w:val="a0"/>
    <w:uiPriority w:val="99"/>
    <w:semiHidden/>
    <w:unhideWhenUsed/>
    <w:qFormat/>
    <w:rPr>
      <w:sz w:val="16"/>
      <w:szCs w:val="16"/>
    </w:rPr>
  </w:style>
  <w:style w:type="character" w:customStyle="1" w:styleId="afe">
    <w:name w:val="Текст примечания Знак"/>
    <w:basedOn w:val="a0"/>
    <w:link w:val="aff"/>
    <w:uiPriority w:val="99"/>
    <w:semiHidden/>
    <w:qFormat/>
    <w:rPr>
      <w:rFonts w:ascii="Arial Unicode MS" w:eastAsia="Arial Unicode MS" w:hAnsi="Arial Unicode MS" w:cs="Arial Unicode MS"/>
      <w:color w:val="000000"/>
      <w:sz w:val="20"/>
      <w:szCs w:val="20"/>
      <w:lang w:eastAsia="ru-RU"/>
    </w:rPr>
  </w:style>
  <w:style w:type="character" w:customStyle="1" w:styleId="aff0">
    <w:name w:val="Тема примечания Знак"/>
    <w:basedOn w:val="afe"/>
    <w:link w:val="aff1"/>
    <w:uiPriority w:val="99"/>
    <w:semiHidden/>
    <w:qFormat/>
    <w:rPr>
      <w:rFonts w:ascii="Arial Unicode MS" w:eastAsia="Arial Unicode MS" w:hAnsi="Arial Unicode MS" w:cs="Arial Unicode MS"/>
      <w:b/>
      <w:bCs/>
      <w:color w:val="000000"/>
      <w:sz w:val="20"/>
      <w:szCs w:val="20"/>
      <w:lang w:eastAsia="ru-RU"/>
    </w:rPr>
  </w:style>
  <w:style w:type="character" w:customStyle="1" w:styleId="28">
    <w:name w:val="Неразрешенное упоминание2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33">
    <w:name w:val="Неразрешенное упоминание3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0">
    <w:name w:val="Заголовок 2 Знак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2">
    <w:name w:val="Неразрешенное упоминание4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FontStyle27">
    <w:name w:val="Font Style27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26">
    <w:name w:val="Font Style26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aff2">
    <w:name w:val="Символ концевой сноски"/>
    <w:basedOn w:val="a0"/>
    <w:uiPriority w:val="99"/>
    <w:semiHidden/>
    <w:unhideWhenUsed/>
    <w:qFormat/>
    <w:rPr>
      <w:vertAlign w:val="superscript"/>
    </w:rPr>
  </w:style>
  <w:style w:type="character" w:styleId="aff3">
    <w:name w:val="endnote reference"/>
    <w:rPr>
      <w:vertAlign w:val="superscript"/>
    </w:rPr>
  </w:style>
  <w:style w:type="paragraph" w:styleId="af5">
    <w:name w:val="Title"/>
    <w:basedOn w:val="a"/>
    <w:next w:val="a9"/>
    <w:link w:val="af4"/>
    <w:qFormat/>
    <w:pPr>
      <w:ind w:firstLine="720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</w:rPr>
  </w:style>
  <w:style w:type="paragraph" w:styleId="a9">
    <w:name w:val="Body Text"/>
    <w:basedOn w:val="a"/>
    <w:link w:val="11"/>
    <w:uiPriority w:val="99"/>
    <w:pPr>
      <w:shd w:val="clear" w:color="auto" w:fill="FFFFFF"/>
      <w:spacing w:line="293" w:lineRule="exact"/>
      <w:ind w:hanging="300"/>
    </w:pPr>
    <w:rPr>
      <w:rFonts w:ascii="Times New Roman" w:eastAsiaTheme="minorHAnsi" w:hAnsi="Times New Roman" w:cs="Times New Roman"/>
      <w:color w:val="auto"/>
      <w:lang w:eastAsia="en-US"/>
    </w:rPr>
  </w:style>
  <w:style w:type="paragraph" w:styleId="aff4">
    <w:name w:val="List"/>
    <w:basedOn w:val="a9"/>
    <w:rPr>
      <w:rFonts w:cs="Noto Sans"/>
    </w:rPr>
  </w:style>
  <w:style w:type="paragraph" w:styleId="a8">
    <w:name w:val="caption"/>
    <w:basedOn w:val="a"/>
    <w:next w:val="a"/>
    <w:link w:val="a7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paragraph" w:styleId="aff5">
    <w:name w:val="index heading"/>
    <w:basedOn w:val="af5"/>
  </w:style>
  <w:style w:type="paragraph" w:styleId="aff6">
    <w:name w:val="No Spacing"/>
    <w:uiPriority w:val="1"/>
    <w:qFormat/>
  </w:style>
  <w:style w:type="paragraph" w:styleId="a4">
    <w:name w:val="Subtitle"/>
    <w:basedOn w:val="a"/>
    <w:next w:val="a"/>
    <w:link w:val="a3"/>
    <w:uiPriority w:val="11"/>
    <w:qFormat/>
    <w:pPr>
      <w:spacing w:before="200" w:after="200"/>
    </w:pPr>
  </w:style>
  <w:style w:type="paragraph" w:styleId="22">
    <w:name w:val="Quote"/>
    <w:basedOn w:val="a"/>
    <w:next w:val="a"/>
    <w:link w:val="21"/>
    <w:uiPriority w:val="29"/>
    <w:qFormat/>
    <w:pPr>
      <w:ind w:left="720" w:right="720"/>
    </w:pPr>
    <w:rPr>
      <w:i/>
    </w:rPr>
  </w:style>
  <w:style w:type="paragraph" w:styleId="a6">
    <w:name w:val="Intense Quote"/>
    <w:basedOn w:val="a"/>
    <w:next w:val="a"/>
    <w:link w:val="a5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9">
    <w:name w:val="toc 2"/>
    <w:basedOn w:val="a"/>
    <w:next w:val="a"/>
    <w:uiPriority w:val="39"/>
    <w:unhideWhenUsed/>
    <w:pPr>
      <w:spacing w:after="57"/>
      <w:ind w:left="283"/>
    </w:pPr>
  </w:style>
  <w:style w:type="paragraph" w:styleId="34">
    <w:name w:val="toc 3"/>
    <w:basedOn w:val="a"/>
    <w:next w:val="a"/>
    <w:uiPriority w:val="39"/>
    <w:unhideWhenUsed/>
    <w:pPr>
      <w:spacing w:after="57"/>
      <w:ind w:left="567"/>
    </w:pPr>
  </w:style>
  <w:style w:type="paragraph" w:styleId="43">
    <w:name w:val="toc 4"/>
    <w:basedOn w:val="a"/>
    <w:next w:val="a"/>
    <w:uiPriority w:val="39"/>
    <w:unhideWhenUsed/>
    <w:pPr>
      <w:spacing w:after="57"/>
      <w:ind w:left="850"/>
    </w:pPr>
  </w:style>
  <w:style w:type="paragraph" w:styleId="55">
    <w:name w:val="toc 5"/>
    <w:basedOn w:val="a"/>
    <w:next w:val="a"/>
    <w:uiPriority w:val="39"/>
    <w:unhideWhenUsed/>
    <w:pPr>
      <w:spacing w:after="57"/>
      <w:ind w:left="1134"/>
    </w:pPr>
  </w:style>
  <w:style w:type="paragraph" w:styleId="62">
    <w:name w:val="toc 6"/>
    <w:basedOn w:val="a"/>
    <w:next w:val="a"/>
    <w:uiPriority w:val="39"/>
    <w:unhideWhenUsed/>
    <w:pPr>
      <w:spacing w:after="57"/>
      <w:ind w:left="1417"/>
    </w:pPr>
  </w:style>
  <w:style w:type="paragraph" w:styleId="72">
    <w:name w:val="toc 7"/>
    <w:basedOn w:val="a"/>
    <w:next w:val="a"/>
    <w:uiPriority w:val="39"/>
    <w:unhideWhenUsed/>
    <w:pPr>
      <w:spacing w:after="57"/>
      <w:ind w:left="1701"/>
    </w:pPr>
  </w:style>
  <w:style w:type="paragraph" w:styleId="82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f7">
    <w:name w:val="TOC Heading"/>
    <w:uiPriority w:val="39"/>
    <w:unhideWhenUsed/>
    <w:qFormat/>
    <w:pPr>
      <w:spacing w:after="160" w:line="259" w:lineRule="auto"/>
    </w:pPr>
  </w:style>
  <w:style w:type="paragraph" w:styleId="aff8">
    <w:name w:val="table of figures"/>
    <w:basedOn w:val="a"/>
    <w:next w:val="a"/>
    <w:uiPriority w:val="99"/>
    <w:unhideWhenUsed/>
  </w:style>
  <w:style w:type="paragraph" w:customStyle="1" w:styleId="510">
    <w:name w:val="Основной текст (5)1"/>
    <w:basedOn w:val="a"/>
    <w:link w:val="51"/>
    <w:uiPriority w:val="99"/>
    <w:qFormat/>
    <w:pPr>
      <w:shd w:val="clear" w:color="auto" w:fill="FFFFFF"/>
      <w:spacing w:line="341" w:lineRule="exact"/>
      <w:ind w:firstLine="360"/>
      <w:jc w:val="both"/>
    </w:pPr>
    <w:rPr>
      <w:rFonts w:ascii="Times New Roman" w:eastAsiaTheme="minorHAnsi" w:hAnsi="Times New Roman" w:cs="Times New Roman"/>
      <w:b/>
      <w:bCs/>
      <w:color w:val="auto"/>
      <w:lang w:eastAsia="en-US"/>
    </w:rPr>
  </w:style>
  <w:style w:type="paragraph" w:styleId="25">
    <w:name w:val="Body Text 2"/>
    <w:basedOn w:val="a"/>
    <w:link w:val="24"/>
    <w:uiPriority w:val="99"/>
    <w:semiHidden/>
    <w:unhideWhenUsed/>
    <w:qFormat/>
    <w:pPr>
      <w:spacing w:after="120" w:line="480" w:lineRule="auto"/>
    </w:pPr>
  </w:style>
  <w:style w:type="paragraph" w:styleId="afc">
    <w:name w:val="List Paragraph"/>
    <w:aliases w:val="Bullet List,FooterText,numbered,Paragraphe de liste1,lp1,Bullet 1,Use Case List Paragraph,Абзац списка литеральный,Булет 1,Bullet Number,Нумерованый список,lp11,List Paragraph11,главный абзац,SL_Абзац списка,List Paragraph1,it_List1,Маркер"/>
    <w:basedOn w:val="a"/>
    <w:link w:val="afb"/>
    <w:uiPriority w:val="34"/>
    <w:qFormat/>
    <w:pPr>
      <w:ind w:left="720"/>
      <w:contextualSpacing/>
    </w:pPr>
  </w:style>
  <w:style w:type="paragraph" w:styleId="ad">
    <w:name w:val="endnote text"/>
    <w:basedOn w:val="a"/>
    <w:link w:val="ac"/>
    <w:uiPriority w:val="99"/>
    <w:semiHidden/>
    <w:unhideWhenUsed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f">
    <w:name w:val="footnote text"/>
    <w:basedOn w:val="a"/>
    <w:link w:val="ae"/>
    <w:semiHidden/>
    <w:unhideWhenUsed/>
    <w:rPr>
      <w:rFonts w:asciiTheme="minorHAnsi" w:eastAsiaTheme="minorHAnsi" w:hAnsiTheme="minorHAnsi" w:cstheme="minorBidi"/>
      <w:color w:val="auto"/>
      <w:sz w:val="20"/>
      <w:szCs w:val="20"/>
      <w:lang w:eastAsia="en-US"/>
    </w:rPr>
  </w:style>
  <w:style w:type="paragraph" w:styleId="af3">
    <w:name w:val="Balloon Text"/>
    <w:basedOn w:val="a"/>
    <w:link w:val="af2"/>
    <w:uiPriority w:val="99"/>
    <w:semiHidden/>
    <w:unhideWhenUsed/>
    <w:qFormat/>
    <w:rPr>
      <w:rFonts w:ascii="Tahoma" w:hAnsi="Tahoma" w:cs="Tahoma"/>
      <w:sz w:val="16"/>
      <w:szCs w:val="16"/>
    </w:rPr>
  </w:style>
  <w:style w:type="paragraph" w:customStyle="1" w:styleId="27">
    <w:name w:val="Основной текст (2)"/>
    <w:basedOn w:val="a"/>
    <w:link w:val="26"/>
    <w:qFormat/>
    <w:pPr>
      <w:widowControl w:val="0"/>
      <w:shd w:val="clear" w:color="auto" w:fill="FFFFFF"/>
      <w:spacing w:before="300" w:after="300" w:line="322" w:lineRule="exact"/>
    </w:pPr>
    <w:rPr>
      <w:rFonts w:ascii="Times New Roman" w:eastAsia="Times New Roman" w:hAnsi="Times New Roman" w:cs="Times New Roman"/>
      <w:color w:val="auto"/>
      <w:sz w:val="28"/>
      <w:szCs w:val="28"/>
      <w:lang w:eastAsia="en-US"/>
    </w:rPr>
  </w:style>
  <w:style w:type="paragraph" w:customStyle="1" w:styleId="aff9">
    <w:name w:val="Колонтитулы"/>
    <w:basedOn w:val="a"/>
    <w:qFormat/>
  </w:style>
  <w:style w:type="paragraph" w:styleId="af7">
    <w:name w:val="header"/>
    <w:basedOn w:val="a"/>
    <w:link w:val="af6"/>
    <w:uiPriority w:val="99"/>
    <w:unhideWhenUsed/>
    <w:pPr>
      <w:tabs>
        <w:tab w:val="center" w:pos="4677"/>
        <w:tab w:val="right" w:pos="9355"/>
      </w:tabs>
    </w:pPr>
  </w:style>
  <w:style w:type="paragraph" w:styleId="af9">
    <w:name w:val="footer"/>
    <w:basedOn w:val="a"/>
    <w:link w:val="af8"/>
    <w:uiPriority w:val="99"/>
    <w:unhideWhenUsed/>
    <w:pPr>
      <w:tabs>
        <w:tab w:val="center" w:pos="4677"/>
        <w:tab w:val="right" w:pos="9355"/>
      </w:tabs>
    </w:pPr>
  </w:style>
  <w:style w:type="paragraph" w:customStyle="1" w:styleId="affa">
    <w:name w:val="Список перечисление"/>
    <w:basedOn w:val="afc"/>
    <w:qFormat/>
    <w:pPr>
      <w:tabs>
        <w:tab w:val="left" w:pos="927"/>
      </w:tabs>
      <w:spacing w:line="360" w:lineRule="auto"/>
      <w:ind w:left="927" w:hanging="190"/>
      <w:jc w:val="both"/>
    </w:pPr>
    <w:rPr>
      <w:rFonts w:ascii="Calibri" w:eastAsia="Calibri" w:hAnsi="Calibri" w:cs="Times New Roman"/>
      <w:color w:val="auto"/>
      <w:szCs w:val="30"/>
    </w:rPr>
  </w:style>
  <w:style w:type="paragraph" w:styleId="aff">
    <w:name w:val="annotation text"/>
    <w:basedOn w:val="a"/>
    <w:link w:val="afe"/>
    <w:uiPriority w:val="99"/>
    <w:semiHidden/>
    <w:unhideWhenUsed/>
    <w:rPr>
      <w:sz w:val="20"/>
      <w:szCs w:val="20"/>
    </w:rPr>
  </w:style>
  <w:style w:type="paragraph" w:styleId="aff1">
    <w:name w:val="annotation subject"/>
    <w:basedOn w:val="aff"/>
    <w:next w:val="aff"/>
    <w:link w:val="aff0"/>
    <w:uiPriority w:val="99"/>
    <w:semiHidden/>
    <w:unhideWhenUsed/>
    <w:qFormat/>
    <w:rPr>
      <w:b/>
      <w:bCs/>
    </w:rPr>
  </w:style>
  <w:style w:type="paragraph" w:styleId="affb">
    <w:name w:val="Revision"/>
    <w:uiPriority w:val="99"/>
    <w:semiHidden/>
    <w:qFormat/>
    <w:rPr>
      <w:rFonts w:ascii="Arial Unicode MS" w:eastAsia="Arial Unicode MS" w:hAnsi="Arial Unicode MS" w:cs="Arial Unicode MS"/>
      <w:color w:val="000000"/>
      <w:sz w:val="24"/>
      <w:szCs w:val="24"/>
      <w:lang w:eastAsia="ru-RU"/>
    </w:rPr>
  </w:style>
  <w:style w:type="paragraph" w:customStyle="1" w:styleId="Style9">
    <w:name w:val="Style9"/>
    <w:basedOn w:val="a"/>
    <w:uiPriority w:val="99"/>
    <w:qFormat/>
    <w:pPr>
      <w:widowControl w:val="0"/>
      <w:spacing w:line="295" w:lineRule="exact"/>
      <w:ind w:firstLine="540"/>
      <w:jc w:val="both"/>
    </w:pPr>
    <w:rPr>
      <w:rFonts w:ascii="Times New Roman" w:eastAsia="Times New Roman" w:hAnsi="Times New Roman" w:cs="Times New Roman"/>
      <w:color w:val="auto"/>
    </w:rPr>
  </w:style>
  <w:style w:type="paragraph" w:customStyle="1" w:styleId="PlainText1">
    <w:name w:val="Plain Text1"/>
    <w:basedOn w:val="a"/>
    <w:qFormat/>
    <w:pPr>
      <w:widowControl w:val="0"/>
      <w:ind w:firstLine="720"/>
      <w:jc w:val="both"/>
    </w:pPr>
    <w:rPr>
      <w:rFonts w:ascii="Courier New" w:eastAsia="Times New Roman" w:hAnsi="Courier New" w:cs="Times New Roman"/>
      <w:caps/>
      <w:color w:val="auto"/>
      <w:sz w:val="28"/>
      <w:szCs w:val="20"/>
    </w:rPr>
  </w:style>
  <w:style w:type="paragraph" w:customStyle="1" w:styleId="affc">
    <w:name w:val="ГК"/>
    <w:qFormat/>
    <w:pPr>
      <w:jc w:val="both"/>
    </w:pPr>
    <w:rPr>
      <w:rFonts w:ascii="Times New Roman" w:eastAsia="Times New Roman" w:hAnsi="Times New Roman"/>
      <w:sz w:val="26"/>
      <w:szCs w:val="24"/>
      <w:lang w:eastAsia="ru-RU"/>
    </w:rPr>
  </w:style>
  <w:style w:type="numbering" w:customStyle="1" w:styleId="affd">
    <w:name w:val="Без списка"/>
    <w:uiPriority w:val="99"/>
    <w:semiHidden/>
    <w:unhideWhenUsed/>
    <w:qFormat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5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tblPr/>
      <w:tcPr>
        <w:shd w:val="clear" w:color="F2F2F2" w:fill="F2F2F2" w:themeFill="text1" w:themeFillTint="0D"/>
      </w:tcPr>
    </w:tblStylePr>
  </w:style>
  <w:style w:type="table" w:styleId="2a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aliases w:val="Заголовок 3 Знак1"/>
    <w:basedOn w:val="a1"/>
    <w:link w:val="3"/>
    <w:uiPriority w:val="99"/>
    <w:tblPr>
      <w:tblStyleRowBandSize w:val="1"/>
      <w:tblStyleColBandSize w:val="1"/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4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56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  <w:tblPr/>
      <w:tcPr>
        <w:shd w:val="clear" w:color="F2F2F2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ED7D31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C000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DEAF6" w:fill="DDEAF6" w:themeFill="accent1" w:themeFillTint="34"/>
      </w:tcPr>
    </w:tblStylePr>
    <w:tblStylePr w:type="band1Horz">
      <w:rPr>
        <w:sz w:val="22"/>
      </w:rPr>
      <w:tblPr/>
      <w:tcPr>
        <w:shd w:val="clear" w:color="DDEAF6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  <w:shd w:val="clear" w:color="68A2D8" w:fill="68A2D8" w:themeFill="accent1" w:themeFillTint="EA"/>
      </w:tcPr>
    </w:tblStylePr>
    <w:tblStylePr w:type="lastRow">
      <w:rPr>
        <w:b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EEBF6" w:fill="DEEBF6" w:themeFill="accent1" w:themeFillTint="32"/>
      </w:tcPr>
    </w:tblStylePr>
    <w:tblStylePr w:type="band1Horz">
      <w:rPr>
        <w:sz w:val="22"/>
      </w:rPr>
      <w:tblPr/>
      <w:tcPr>
        <w:shd w:val="clear" w:color="DEEBF6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  <w:shd w:val="clear" w:color="F4B184" w:fill="F4B184" w:themeFill="accent2" w:themeFillTint="97"/>
      </w:tcPr>
    </w:tblStylePr>
    <w:tblStylePr w:type="lastRow">
      <w:rPr>
        <w:b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  <w:shd w:val="clear" w:color="A5A5A5" w:fill="A5A5A5" w:themeFill="accent3" w:themeFillTint="FE"/>
      </w:tcPr>
    </w:tblStylePr>
    <w:tblStylePr w:type="lastRow">
      <w:rPr>
        <w:b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  <w:shd w:val="clear" w:color="FFD865" w:fill="FFD865" w:themeFill="accent4" w:themeFillTint="9A"/>
      </w:tcPr>
    </w:tblStylePr>
    <w:tblStylePr w:type="lastRow">
      <w:rPr>
        <w:b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fill="4472C4" w:themeFill="accent5"/>
      </w:tcPr>
    </w:tblStylePr>
    <w:tblStylePr w:type="lastRow">
      <w:rPr>
        <w:b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fill="70AD47" w:themeFill="accent6"/>
      </w:tcPr>
    </w:tblStylePr>
    <w:tblStylePr w:type="lastRow">
      <w:rPr>
        <w:b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  <w:tblPr/>
      <w:tcPr>
        <w:shd w:val="clear" w:color="E1EFD8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5B9BD5" w:fill="5B9BD5" w:themeFill="accent1"/>
      </w:tcPr>
    </w:tblStylePr>
    <w:tblStylePr w:type="firstCol">
      <w:rPr>
        <w:b/>
        <w:sz w:val="22"/>
      </w:rPr>
      <w:tblPr/>
      <w:tcPr>
        <w:shd w:val="clear" w:color="5B9BD5" w:fill="5B9BD5" w:themeFill="accent1"/>
      </w:tcPr>
    </w:tblStylePr>
    <w:tblStylePr w:type="lastCol">
      <w:rPr>
        <w:b/>
        <w:sz w:val="22"/>
      </w:rPr>
      <w:tblPr/>
      <w:tcPr>
        <w:shd w:val="clear" w:color="5B9BD5" w:fill="5B9BD5" w:themeFill="accent1"/>
      </w:tcPr>
    </w:tblStylePr>
    <w:tblStylePr w:type="band1Vert">
      <w:tblPr/>
      <w:tcPr>
        <w:shd w:val="clear" w:color="B3D0EB" w:fill="B3D0EB" w:themeFill="accent1" w:themeFillTint="75"/>
      </w:tcPr>
    </w:tblStylePr>
    <w:tblStylePr w:type="band1Horz">
      <w:tblPr/>
      <w:tcPr>
        <w:shd w:val="clear" w:color="B3D0EB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ED7D31" w:fill="ED7D31" w:themeFill="accent2"/>
      </w:tcPr>
    </w:tblStylePr>
    <w:tblStylePr w:type="firstCol">
      <w:rPr>
        <w:b/>
        <w:sz w:val="22"/>
      </w:rPr>
      <w:tblPr/>
      <w:tcPr>
        <w:shd w:val="clear" w:color="ED7D31" w:fill="ED7D31" w:themeFill="accent2"/>
      </w:tcPr>
    </w:tblStylePr>
    <w:tblStylePr w:type="lastCol">
      <w:rPr>
        <w:b/>
        <w:sz w:val="22"/>
      </w:rPr>
      <w:tblPr/>
      <w:tcPr>
        <w:shd w:val="clear" w:color="ED7D31" w:fill="ED7D31" w:themeFill="accent2"/>
      </w:tcPr>
    </w:tblStylePr>
    <w:tblStylePr w:type="band1Vert">
      <w:tblPr/>
      <w:tcPr>
        <w:shd w:val="clear" w:color="F6C3A0" w:fill="F6C3A0" w:themeFill="accent2" w:themeFillTint="75"/>
      </w:tcPr>
    </w:tblStylePr>
    <w:tblStylePr w:type="band1Horz">
      <w:tblPr/>
      <w:tcPr>
        <w:shd w:val="clear" w:color="F6C3A0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A5A5A5" w:fill="A5A5A5" w:themeFill="accent3"/>
      </w:tcPr>
    </w:tblStylePr>
    <w:tblStylePr w:type="firstCol">
      <w:rPr>
        <w:b/>
        <w:sz w:val="22"/>
      </w:rPr>
      <w:tblPr/>
      <w:tcPr>
        <w:shd w:val="clear" w:color="A5A5A5" w:fill="A5A5A5" w:themeFill="accent3"/>
      </w:tcPr>
    </w:tblStylePr>
    <w:tblStylePr w:type="lastCol">
      <w:rPr>
        <w:b/>
        <w:sz w:val="22"/>
      </w:rPr>
      <w:tblPr/>
      <w:tcPr>
        <w:shd w:val="clear" w:color="A5A5A5" w:fill="A5A5A5" w:themeFill="accent3"/>
      </w:tcPr>
    </w:tblStylePr>
    <w:tblStylePr w:type="band1Vert">
      <w:tblPr/>
      <w:tcPr>
        <w:shd w:val="clear" w:color="D5D5D5" w:fill="D5D5D5" w:themeFill="accent3" w:themeFillTint="75"/>
      </w:tcPr>
    </w:tblStylePr>
    <w:tblStylePr w:type="band1Horz">
      <w:tblPr/>
      <w:tcPr>
        <w:shd w:val="clear" w:color="D5D5D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FC000" w:fill="FFC000" w:themeFill="accent4"/>
      </w:tcPr>
    </w:tblStylePr>
    <w:tblStylePr w:type="firstCol">
      <w:rPr>
        <w:b/>
        <w:sz w:val="22"/>
      </w:rPr>
      <w:tblPr/>
      <w:tcPr>
        <w:shd w:val="clear" w:color="FFC000" w:fill="FFC000" w:themeFill="accent4"/>
      </w:tcPr>
    </w:tblStylePr>
    <w:tblStylePr w:type="lastCol">
      <w:rPr>
        <w:b/>
        <w:sz w:val="22"/>
      </w:rPr>
      <w:tblPr/>
      <w:tcPr>
        <w:shd w:val="clear" w:color="FFC000" w:fill="FFC000" w:themeFill="accent4"/>
      </w:tcPr>
    </w:tblStylePr>
    <w:tblStylePr w:type="band1Vert">
      <w:tblPr/>
      <w:tcPr>
        <w:shd w:val="clear" w:color="FFE28A" w:fill="FFE28A" w:themeFill="accent4" w:themeFillTint="75"/>
      </w:tcPr>
    </w:tblStylePr>
    <w:tblStylePr w:type="band1Horz">
      <w:tblPr/>
      <w:tcPr>
        <w:shd w:val="clear" w:color="FFE28A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472C4" w:fill="4472C4" w:themeFill="accent5"/>
      </w:tcPr>
    </w:tblStylePr>
    <w:tblStylePr w:type="firstCol">
      <w:rPr>
        <w:b/>
        <w:sz w:val="22"/>
      </w:rPr>
      <w:tblPr/>
      <w:tcPr>
        <w:shd w:val="clear" w:color="4472C4" w:fill="4472C4" w:themeFill="accent5"/>
      </w:tcPr>
    </w:tblStylePr>
    <w:tblStylePr w:type="lastCol">
      <w:rPr>
        <w:b/>
        <w:sz w:val="22"/>
      </w:rPr>
      <w:tblPr/>
      <w:tcPr>
        <w:shd w:val="clear" w:color="4472C4" w:fill="4472C4" w:themeFill="accent5"/>
      </w:tcPr>
    </w:tblStylePr>
    <w:tblStylePr w:type="band1Vert">
      <w:tblPr/>
      <w:tcPr>
        <w:shd w:val="clear" w:color="A9BEE4" w:fill="A9BEE4" w:themeFill="accent5" w:themeFillTint="75"/>
      </w:tcPr>
    </w:tblStylePr>
    <w:tblStylePr w:type="band1Horz">
      <w:tblPr/>
      <w:tcPr>
        <w:shd w:val="clear" w:color="A9BEE4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70AD47" w:fill="70AD47" w:themeFill="accent6"/>
      </w:tcPr>
    </w:tblStylePr>
    <w:tblStylePr w:type="firstCol">
      <w:rPr>
        <w:b/>
        <w:sz w:val="22"/>
      </w:rPr>
      <w:tblPr/>
      <w:tcPr>
        <w:shd w:val="clear" w:color="70AD47" w:fill="70AD47" w:themeFill="accent6"/>
      </w:tcPr>
    </w:tblStylePr>
    <w:tblStylePr w:type="lastCol">
      <w:rPr>
        <w:b/>
        <w:sz w:val="22"/>
      </w:rPr>
      <w:tblPr/>
      <w:tcPr>
        <w:shd w:val="clear" w:color="70AD47" w:fill="70AD47" w:themeFill="accent6"/>
      </w:tcPr>
    </w:tblStylePr>
    <w:tblStylePr w:type="band1Vert">
      <w:tblPr/>
      <w:tcPr>
        <w:shd w:val="clear" w:color="BCDBA8" w:fill="BCDBA8" w:themeFill="accent6" w:themeFillTint="75"/>
      </w:tcPr>
    </w:tblStylePr>
    <w:tblStylePr w:type="band1Horz">
      <w:tblPr/>
      <w:tcPr>
        <w:shd w:val="clear" w:color="BCDBA8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0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0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CCCEA" w:themeColor="accent1" w:themeTint="80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 w:themeFill="accent1" w:themeFillTint="34"/>
      </w:tcPr>
    </w:tblStylePr>
    <w:tblStylePr w:type="band1Horz">
      <w:rPr>
        <w:color w:val="ACCCEA" w:themeColor="accent1" w:themeTint="80" w:themeShade="95"/>
        <w:sz w:val="22"/>
      </w:rPr>
      <w:tblPr/>
      <w:tcPr>
        <w:shd w:val="clear" w:color="DDEAF6" w:fill="DDEAF6" w:themeFill="accent1" w:themeFillTint="34"/>
      </w:tcPr>
    </w:tblStylePr>
    <w:tblStylePr w:type="band2Horz">
      <w:rPr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 w:themeFill="accent2" w:themeFillTint="32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BE5D6" w:fill="FBE5D6" w:themeFill="accent2" w:themeFillTint="32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 w:themeFill="accent3" w:themeFillTint="34"/>
      </w:tcPr>
    </w:tblStylePr>
    <w:tblStylePr w:type="band1Horz">
      <w:rPr>
        <w:color w:val="A5A5A5" w:themeColor="accent3" w:themeTint="FE" w:themeShade="95"/>
        <w:sz w:val="22"/>
      </w:rPr>
      <w:tblPr/>
      <w:tcPr>
        <w:shd w:val="clear" w:color="ECECEC" w:fill="ECECEC" w:themeFill="accent3" w:themeFillTint="34"/>
      </w:tcPr>
    </w:tblStylePr>
    <w:tblStylePr w:type="band2Horz">
      <w:rPr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 w:themeFill="accent4" w:themeFillTint="34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F2CB" w:fill="FFF2CB" w:themeFill="accent4" w:themeFillTint="34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254175" w:themeColor="accent5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 w:themeFill="accent5" w:themeFillTint="34"/>
      </w:tcPr>
    </w:tblStylePr>
    <w:tblStylePr w:type="band1Horz">
      <w:rPr>
        <w:color w:val="254175" w:themeColor="accent5" w:themeShade="95"/>
        <w:sz w:val="22"/>
      </w:rPr>
      <w:tblPr/>
      <w:tcPr>
        <w:shd w:val="clear" w:color="D8E2F3" w:fill="D8E2F3" w:themeFill="accent5" w:themeFillTint="34"/>
      </w:tcPr>
    </w:tblStylePr>
    <w:tblStylePr w:type="band2Horz">
      <w:rPr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b/>
        <w:color w:val="416429" w:themeColor="accent6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 w:themeFill="accent6" w:themeFillTint="34"/>
      </w:tcPr>
    </w:tblStylePr>
    <w:tblStylePr w:type="band1Horz">
      <w:rPr>
        <w:color w:val="416429" w:themeColor="accent6" w:themeShade="95"/>
        <w:sz w:val="22"/>
      </w:rPr>
      <w:tblPr/>
      <w:tcPr>
        <w:shd w:val="clear" w:color="E1EFD8" w:fill="E1EFD8" w:themeFill="accent6" w:themeFillTint="34"/>
      </w:tcPr>
    </w:tblStylePr>
    <w:tblStylePr w:type="band2Horz">
      <w:rPr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tblPr/>
      <w:tcPr>
        <w:shd w:val="clear" w:color="D5E5F4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tblPr/>
      <w:tcPr>
        <w:shd w:val="clear" w:color="FADECB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tblPr/>
      <w:tcPr>
        <w:shd w:val="clear" w:color="E8E8E8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tblPr/>
      <w:tcPr>
        <w:shd w:val="clear" w:color="FFEFBF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tblPr/>
      <w:tcPr>
        <w:shd w:val="clear" w:color="CFDBF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tblPr/>
      <w:tcPr>
        <w:shd w:val="clear" w:color="DAEBCF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b/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bottom w:val="single" w:sz="4" w:space="0" w:color="ED7D31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b/>
        <w:sz w:val="22"/>
      </w:rPr>
      <w:tblPr/>
      <w:tcPr>
        <w:shd w:val="clear" w:color="C9C9C9" w:fill="C9C9C9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bottom w:val="single" w:sz="4" w:space="0" w:color="A5A5A5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b/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bottom w:val="single" w:sz="4" w:space="0" w:color="FFC000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b/>
        <w:sz w:val="22"/>
      </w:rPr>
      <w:tblPr/>
      <w:tcPr>
        <w:shd w:val="clear" w:color="8DA9DB" w:fill="8DA9DB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bottom w:val="single" w:sz="4" w:space="0" w:color="4472C4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b/>
        <w:sz w:val="22"/>
      </w:rPr>
      <w:tblPr/>
      <w:tcPr>
        <w:shd w:val="clear" w:color="A9D08E" w:fill="A9D08E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bottom w:val="single" w:sz="4" w:space="0" w:color="70AD47" w:themeColor="accent6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b/>
        <w:sz w:val="22"/>
      </w:rPr>
      <w:tblPr/>
      <w:tcPr>
        <w:shd w:val="clear" w:color="5B9BD5" w:fill="5B9BD5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5E5F4" w:fill="D5E5F4" w:themeFill="accent1" w:themeFillTint="40"/>
      </w:tcPr>
    </w:tblStylePr>
    <w:tblStylePr w:type="band1Horz">
      <w:rPr>
        <w:sz w:val="22"/>
      </w:rPr>
      <w:tblPr/>
      <w:tcPr>
        <w:shd w:val="clear" w:color="D5E5F4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b/>
        <w:sz w:val="22"/>
      </w:rPr>
      <w:tblPr/>
      <w:tcPr>
        <w:shd w:val="clear" w:color="ED7D31" w:fill="ED7D31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ADECB" w:fill="FADECB" w:themeFill="accent2" w:themeFillTint="40"/>
      </w:tcPr>
    </w:tblStylePr>
    <w:tblStylePr w:type="band1Horz">
      <w:rPr>
        <w:sz w:val="22"/>
      </w:rPr>
      <w:tblPr/>
      <w:tcPr>
        <w:shd w:val="clear" w:color="FADECB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b/>
        <w:sz w:val="22"/>
      </w:rPr>
      <w:tblPr/>
      <w:tcPr>
        <w:shd w:val="clear" w:color="A5A5A5" w:fill="A5A5A5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8E8E8" w:fill="E8E8E8" w:themeFill="accent3" w:themeFillTint="40"/>
      </w:tcPr>
    </w:tblStylePr>
    <w:tblStylePr w:type="band1Horz">
      <w:rPr>
        <w:sz w:val="22"/>
      </w:rPr>
      <w:tblPr/>
      <w:tcPr>
        <w:shd w:val="clear" w:color="E8E8E8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b/>
        <w:sz w:val="22"/>
      </w:rPr>
      <w:tblPr/>
      <w:tcPr>
        <w:shd w:val="clear" w:color="FFC000" w:fill="FFC000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FEFBF" w:fill="FFEFBF" w:themeFill="accent4" w:themeFillTint="40"/>
      </w:tcPr>
    </w:tblStylePr>
    <w:tblStylePr w:type="band1Horz">
      <w:rPr>
        <w:sz w:val="22"/>
      </w:rPr>
      <w:tblPr/>
      <w:tcPr>
        <w:shd w:val="clear" w:color="FFEFBF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b/>
        <w:sz w:val="22"/>
      </w:rPr>
      <w:tblPr/>
      <w:tcPr>
        <w:shd w:val="clear" w:color="4472C4" w:fill="4472C4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FDBF0" w:fill="CFDBF0" w:themeFill="accent5" w:themeFillTint="40"/>
      </w:tcPr>
    </w:tblStylePr>
    <w:tblStylePr w:type="band1Horz">
      <w:rPr>
        <w:sz w:val="22"/>
      </w:rPr>
      <w:tblPr/>
      <w:tcPr>
        <w:shd w:val="clear" w:color="CFDBF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b/>
        <w:sz w:val="22"/>
      </w:rPr>
      <w:tblPr/>
      <w:tcPr>
        <w:shd w:val="clear" w:color="70AD47" w:fill="70AD47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BCF" w:fill="DAEBCF" w:themeFill="accent6" w:themeFillTint="40"/>
      </w:tcPr>
    </w:tblStylePr>
    <w:tblStylePr w:type="band1Horz">
      <w:rPr>
        <w:sz w:val="22"/>
      </w:rPr>
      <w:tblPr/>
      <w:tcPr>
        <w:shd w:val="clear" w:color="DAEBCF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fill="5B9BD5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ED7D31" w:themeColor="accent2"/>
          <w:bottom w:val="single" w:sz="12" w:space="0" w:color="FFFFFF" w:themeColor="light1"/>
        </w:tcBorders>
        <w:shd w:val="clear" w:color="F4B184" w:fill="F4B184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ED7D31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ED7D31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A5A5A5" w:themeColor="accent3"/>
          <w:bottom w:val="single" w:sz="12" w:space="0" w:color="FFFFFF" w:themeColor="light1"/>
        </w:tcBorders>
        <w:shd w:val="clear" w:color="C9C9C9" w:fill="C9C9C9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A5A5A5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5A5A5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FC000" w:themeColor="accent4"/>
          <w:bottom w:val="single" w:sz="12" w:space="0" w:color="FFFFFF" w:themeColor="light1"/>
        </w:tcBorders>
        <w:shd w:val="clear" w:color="FFD865" w:fill="FFD865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FC000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C000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472C4" w:themeColor="accent5"/>
          <w:bottom w:val="single" w:sz="12" w:space="0" w:color="FFFFFF" w:themeColor="light1"/>
        </w:tcBorders>
        <w:shd w:val="clear" w:color="8DA9DB" w:fill="8DA9DB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472C4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70AD47" w:themeColor="accent6"/>
          <w:bottom w:val="single" w:sz="12" w:space="0" w:color="FFFFFF" w:themeColor="light1"/>
        </w:tcBorders>
        <w:shd w:val="clear" w:color="A9D08E" w:fill="A9D08E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70AD47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0AD47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ED7D31" w:themeColor="accent2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A5A5A5" w:themeColor="accent3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C000" w:themeColor="accent4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000000" w:themeColor="tex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 w:themeFill="accent1" w:themeFillTint="40"/>
      </w:tcPr>
    </w:tblStylePr>
    <w:tblStylePr w:type="band1Horz">
      <w:rPr>
        <w:color w:val="245A8D" w:themeColor="accent1" w:themeShade="95"/>
        <w:sz w:val="22"/>
      </w:rPr>
      <w:tblPr/>
      <w:tcPr>
        <w:shd w:val="clear" w:color="D5E5F4" w:fill="D5E5F4" w:themeFill="accent1" w:themeFillTint="40"/>
      </w:tcPr>
    </w:tblStylePr>
    <w:tblStylePr w:type="band2Horz">
      <w:rPr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4B184" w:themeColor="accent2" w:themeTint="97" w:themeShade="95"/>
        <w:sz w:val="22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ED7D31" w:themeColor="accent2"/>
        </w:tcBorders>
        <w:shd w:val="clear" w:color="FFFFFF" w:fill="auto"/>
      </w:tcPr>
    </w:tblStylePr>
    <w:tblStylePr w:type="lastCol">
      <w:rPr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ED7D31" w:themeColor="accent2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 w:themeFill="accent2" w:themeFillTint="40"/>
      </w:tcPr>
    </w:tblStylePr>
    <w:tblStylePr w:type="band1Horz">
      <w:rPr>
        <w:color w:val="F4B184" w:themeColor="accent2" w:themeTint="97" w:themeShade="95"/>
        <w:sz w:val="22"/>
      </w:rPr>
      <w:tblPr/>
      <w:tcPr>
        <w:shd w:val="clear" w:color="FADECB" w:fill="FADECB" w:themeFill="accent2" w:themeFillTint="40"/>
      </w:tcPr>
    </w:tblStylePr>
    <w:tblStylePr w:type="band2Horz">
      <w:rPr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C9C9C9" w:themeColor="accent3" w:themeTint="98" w:themeShade="95"/>
        <w:sz w:val="22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/>
        </w:tcBorders>
        <w:shd w:val="clear" w:color="FFFFFF" w:fill="auto"/>
      </w:tcPr>
    </w:tblStylePr>
    <w:tblStylePr w:type="lastCol">
      <w:rPr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 w:themeFill="accent3" w:themeFillTint="40"/>
      </w:tcPr>
    </w:tblStylePr>
    <w:tblStylePr w:type="band1Horz">
      <w:rPr>
        <w:color w:val="C9C9C9" w:themeColor="accent3" w:themeTint="98" w:themeShade="95"/>
        <w:sz w:val="22"/>
      </w:rPr>
      <w:tblPr/>
      <w:tcPr>
        <w:shd w:val="clear" w:color="E8E8E8" w:fill="E8E8E8" w:themeFill="accent3" w:themeFillTint="40"/>
      </w:tcPr>
    </w:tblStylePr>
    <w:tblStylePr w:type="band2Horz">
      <w:rPr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FFD865" w:themeColor="accent4" w:themeTint="9A" w:themeShade="95"/>
        <w:sz w:val="22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C000" w:themeColor="accent4"/>
        </w:tcBorders>
        <w:shd w:val="clear" w:color="FFFFFF" w:fill="auto"/>
      </w:tcPr>
    </w:tblStylePr>
    <w:tblStylePr w:type="lastCol">
      <w:rPr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C000" w:themeColor="accent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 w:themeFill="accent4" w:themeFillTint="40"/>
      </w:tcPr>
    </w:tblStylePr>
    <w:tblStylePr w:type="band1Horz">
      <w:rPr>
        <w:color w:val="FFD865" w:themeColor="accent4" w:themeTint="9A" w:themeShade="95"/>
        <w:sz w:val="22"/>
      </w:rPr>
      <w:tblPr/>
      <w:tcPr>
        <w:shd w:val="clear" w:color="FFEFBF" w:fill="FFEFBF" w:themeFill="accent4" w:themeFillTint="40"/>
      </w:tcPr>
    </w:tblStylePr>
    <w:tblStylePr w:type="band2Horz">
      <w:rPr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8DA9DB" w:themeColor="accent5" w:themeTint="9A" w:themeShade="95"/>
        <w:sz w:val="22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472C4" w:themeColor="accent5"/>
        </w:tcBorders>
        <w:shd w:val="clear" w:color="FFFFFF" w:fill="auto"/>
      </w:tcPr>
    </w:tblStylePr>
    <w:tblStylePr w:type="lastCol">
      <w:rPr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4472C4" w:themeColor="accent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 w:themeFill="accent5" w:themeFillTint="40"/>
      </w:tcPr>
    </w:tblStylePr>
    <w:tblStylePr w:type="band1Horz">
      <w:rPr>
        <w:color w:val="8DA9DB" w:themeColor="accent5" w:themeTint="9A" w:themeShade="95"/>
        <w:sz w:val="22"/>
      </w:rPr>
      <w:tblPr/>
      <w:tcPr>
        <w:shd w:val="clear" w:color="CFDBF0" w:fill="CFDBF0" w:themeFill="accent5" w:themeFillTint="40"/>
      </w:tcPr>
    </w:tblStylePr>
    <w:tblStylePr w:type="band2Horz">
      <w:rPr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i/>
        <w:color w:val="A9D08E" w:themeColor="accent6" w:themeTint="98" w:themeShade="95"/>
        <w:sz w:val="22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0AD47" w:themeColor="accent6"/>
        </w:tcBorders>
        <w:shd w:val="clear" w:color="FFFFFF" w:fill="auto"/>
      </w:tcPr>
    </w:tblStylePr>
    <w:tblStylePr w:type="lastCol">
      <w:rPr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70AD47" w:themeColor="accent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 w:themeFill="accent6" w:themeFillTint="40"/>
      </w:tcPr>
    </w:tblStylePr>
    <w:tblStylePr w:type="band1Horz">
      <w:rPr>
        <w:color w:val="A9D08E" w:themeColor="accent6" w:themeTint="98" w:themeShade="95"/>
        <w:sz w:val="22"/>
      </w:rPr>
      <w:tblPr/>
      <w:tcPr>
        <w:shd w:val="clear" w:color="DAEBCF" w:fill="DAEBCF" w:themeFill="accent6" w:themeFillTint="40"/>
      </w:tcPr>
    </w:tblStylePr>
    <w:tblStylePr w:type="band2Horz">
      <w:rPr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0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sz w:val="22"/>
      </w:rPr>
      <w:tblPr/>
      <w:tcPr>
        <w:shd w:val="clear" w:color="68A2D8" w:fill="68A2D8" w:themeFill="accent1" w:themeFillTint="EA"/>
      </w:tcPr>
    </w:tblStylePr>
    <w:tblStylePr w:type="lastRow">
      <w:rPr>
        <w:sz w:val="22"/>
      </w:rPr>
      <w:tblPr/>
      <w:tcPr>
        <w:shd w:val="clear" w:color="68A2D8" w:fill="68A2D8" w:themeFill="accent1" w:themeFillTint="EA"/>
      </w:tcPr>
    </w:tblStylePr>
    <w:tblStylePr w:type="firstCol">
      <w:rPr>
        <w:sz w:val="22"/>
      </w:rPr>
      <w:tblPr/>
      <w:tcPr>
        <w:shd w:val="clear" w:color="68A2D8" w:fill="68A2D8" w:themeFill="accent1" w:themeFillTint="EA"/>
      </w:tcPr>
    </w:tblStylePr>
    <w:tblStylePr w:type="lastCol">
      <w:rPr>
        <w:sz w:val="22"/>
      </w:rPr>
      <w:tblPr/>
      <w:tcPr>
        <w:shd w:val="clear" w:color="68A2D8" w:fill="68A2D8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BDFF1" w:fill="CBDFF1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BDFF1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sz w:val="22"/>
      </w:rPr>
      <w:tblPr/>
      <w:tcPr>
        <w:shd w:val="clear" w:color="F4B184" w:fill="F4B184" w:themeFill="accent2" w:themeFillTint="97"/>
      </w:tcPr>
    </w:tblStylePr>
    <w:tblStylePr w:type="lastRow">
      <w:rPr>
        <w:sz w:val="22"/>
      </w:rPr>
      <w:tblPr/>
      <w:tcPr>
        <w:shd w:val="clear" w:color="F4B184" w:fill="F4B184" w:themeFill="accent2" w:themeFillTint="97"/>
      </w:tcPr>
    </w:tblStylePr>
    <w:tblStylePr w:type="firstCol">
      <w:rPr>
        <w:sz w:val="22"/>
      </w:rPr>
      <w:tblPr/>
      <w:tcPr>
        <w:shd w:val="clear" w:color="F4B184" w:fill="F4B184" w:themeFill="accent2" w:themeFillTint="97"/>
      </w:tcPr>
    </w:tblStylePr>
    <w:tblStylePr w:type="lastCol">
      <w:rPr>
        <w:sz w:val="22"/>
      </w:rPr>
      <w:tblPr/>
      <w:tcPr>
        <w:shd w:val="clear" w:color="F4B184" w:fill="F4B184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BE5D6" w:fill="FBE5D6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BE5D6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sz w:val="22"/>
      </w:rPr>
      <w:tblPr/>
      <w:tcPr>
        <w:shd w:val="clear" w:color="A5A5A5" w:fill="A5A5A5" w:themeFill="accent3" w:themeFillTint="FE"/>
      </w:tcPr>
    </w:tblStylePr>
    <w:tblStylePr w:type="lastRow">
      <w:rPr>
        <w:sz w:val="22"/>
      </w:rPr>
      <w:tblPr/>
      <w:tcPr>
        <w:shd w:val="clear" w:color="A5A5A5" w:fill="A5A5A5" w:themeFill="accent3" w:themeFillTint="FE"/>
      </w:tcPr>
    </w:tblStylePr>
    <w:tblStylePr w:type="firstCol">
      <w:rPr>
        <w:sz w:val="22"/>
      </w:rPr>
      <w:tblPr/>
      <w:tcPr>
        <w:shd w:val="clear" w:color="A5A5A5" w:fill="A5A5A5" w:themeFill="accent3" w:themeFillTint="FE"/>
      </w:tcPr>
    </w:tblStylePr>
    <w:tblStylePr w:type="lastCol">
      <w:rPr>
        <w:sz w:val="22"/>
      </w:rPr>
      <w:tblPr/>
      <w:tcPr>
        <w:shd w:val="clear" w:color="A5A5A5" w:fill="A5A5A5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CECEC" w:fill="ECECE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CECEC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sz w:val="22"/>
      </w:rPr>
      <w:tblPr/>
      <w:tcPr>
        <w:shd w:val="clear" w:color="FFD865" w:fill="FFD865" w:themeFill="accent4" w:themeFillTint="9A"/>
      </w:tcPr>
    </w:tblStylePr>
    <w:tblStylePr w:type="lastRow">
      <w:rPr>
        <w:sz w:val="22"/>
      </w:rPr>
      <w:tblPr/>
      <w:tcPr>
        <w:shd w:val="clear" w:color="FFD865" w:fill="FFD865" w:themeFill="accent4" w:themeFillTint="9A"/>
      </w:tcPr>
    </w:tblStylePr>
    <w:tblStylePr w:type="firstCol">
      <w:rPr>
        <w:sz w:val="22"/>
      </w:rPr>
      <w:tblPr/>
      <w:tcPr>
        <w:shd w:val="clear" w:color="FFD865" w:fill="FFD865" w:themeFill="accent4" w:themeFillTint="9A"/>
      </w:tcPr>
    </w:tblStylePr>
    <w:tblStylePr w:type="lastCol">
      <w:rPr>
        <w:sz w:val="22"/>
      </w:rPr>
      <w:tblPr/>
      <w:tcPr>
        <w:shd w:val="clear" w:color="FFD865" w:fill="FFD865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FF2CB" w:fill="FFF2CB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FF2CB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sz w:val="22"/>
      </w:rPr>
      <w:tblPr/>
      <w:tcPr>
        <w:shd w:val="clear" w:color="4472C4" w:fill="4472C4" w:themeFill="accent5"/>
      </w:tcPr>
    </w:tblStylePr>
    <w:tblStylePr w:type="lastRow">
      <w:rPr>
        <w:sz w:val="22"/>
      </w:rPr>
      <w:tblPr/>
      <w:tcPr>
        <w:shd w:val="clear" w:color="4472C4" w:fill="4472C4" w:themeFill="accent5"/>
      </w:tcPr>
    </w:tblStylePr>
    <w:tblStylePr w:type="firstCol">
      <w:rPr>
        <w:sz w:val="22"/>
      </w:rPr>
      <w:tblPr/>
      <w:tcPr>
        <w:shd w:val="clear" w:color="4472C4" w:fill="4472C4" w:themeFill="accent5"/>
      </w:tcPr>
    </w:tblStylePr>
    <w:tblStylePr w:type="lastCol">
      <w:rPr>
        <w:sz w:val="22"/>
      </w:rPr>
      <w:tblPr/>
      <w:tcPr>
        <w:shd w:val="clear" w:color="4472C4" w:fill="4472C4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8E2F3" w:fill="D8E2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8E2F3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sz w:val="22"/>
      </w:rPr>
      <w:tblPr/>
      <w:tcPr>
        <w:shd w:val="clear" w:color="70AD47" w:fill="70AD47" w:themeFill="accent6"/>
      </w:tcPr>
    </w:tblStylePr>
    <w:tblStylePr w:type="lastRow">
      <w:rPr>
        <w:sz w:val="22"/>
      </w:rPr>
      <w:tblPr/>
      <w:tcPr>
        <w:shd w:val="clear" w:color="70AD47" w:fill="70AD47" w:themeFill="accent6"/>
      </w:tcPr>
    </w:tblStylePr>
    <w:tblStylePr w:type="firstCol">
      <w:rPr>
        <w:sz w:val="22"/>
      </w:rPr>
      <w:tblPr/>
      <w:tcPr>
        <w:shd w:val="clear" w:color="70AD47" w:fill="70AD47" w:themeFill="accent6"/>
      </w:tcPr>
    </w:tblStylePr>
    <w:tblStylePr w:type="lastCol">
      <w:rPr>
        <w:sz w:val="22"/>
      </w:rPr>
      <w:tblPr/>
      <w:tcPr>
        <w:shd w:val="clear" w:color="70AD47" w:fill="70AD47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1EFD8" w:fill="E1EF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1EFD8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sz w:val="22"/>
      </w:rPr>
      <w:tblPr/>
      <w:tcPr>
        <w:tcBorders>
          <w:bottom w:val="single" w:sz="12" w:space="0" w:color="ED7D31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ED7D31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ED7D31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sz w:val="22"/>
      </w:rPr>
      <w:tblPr/>
      <w:tcPr>
        <w:tcBorders>
          <w:bottom w:val="single" w:sz="12" w:space="0" w:color="A5A5A5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A5A5A5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A5A5A5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sz w:val="22"/>
      </w:rPr>
      <w:tblPr/>
      <w:tcPr>
        <w:tcBorders>
          <w:bottom w:val="single" w:sz="12" w:space="0" w:color="FFC000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FFC000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FC000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sz w:val="22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472C4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472C4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sz w:val="22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70AD47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70AD47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</w:tcPr>
    </w:tblStylePr>
  </w:style>
  <w:style w:type="table" w:styleId="affe">
    <w:name w:val="Table Grid"/>
    <w:basedOn w:val="a1"/>
    <w:uiPriority w:val="59"/>
    <w:rPr>
      <w:sz w:val="24"/>
      <w:szCs w:val="24"/>
      <w:lang w:eastAsia="ru-RU" w:bidi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10">
    <w:name w:val="Сетка таблицы21"/>
    <w:basedOn w:val="a1"/>
    <w:uiPriority w:val="39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6">
    <w:name w:val="Текст сноски Знак1"/>
    <w:uiPriority w:val="99"/>
    <w:rsid w:val="00E720B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rozov@stzfmba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51E48-883E-4485-A2D5-16A7F3E70A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982</Words>
  <Characters>5601</Characters>
  <Application>Microsoft Office Word</Application>
  <DocSecurity>0</DocSecurity>
  <Lines>46</Lines>
  <Paragraphs>13</Paragraphs>
  <ScaleCrop>false</ScaleCrop>
  <Company>diakov.net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Дмиртий Р. Гапонов</dc:creator>
  <dc:description/>
  <cp:lastModifiedBy>Игорь И. Норман</cp:lastModifiedBy>
  <cp:revision>6</cp:revision>
  <cp:lastPrinted>2026-09-01T09:21:00Z</cp:lastPrinted>
  <dcterms:created xsi:type="dcterms:W3CDTF">2026-08-28T08:54:00Z</dcterms:created>
  <dcterms:modified xsi:type="dcterms:W3CDTF">2026-09-01T09:22:00Z</dcterms:modified>
  <dc:language>ru-RU</dc:language>
</cp:coreProperties>
</file>