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 № _________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7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оказание услуг по техническому обслуживанию газопровода и газового</w:t>
      </w:r>
      <w:r/>
    </w:p>
    <w:p>
      <w:pPr>
        <w:pStyle w:val="9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оборудования (СИКЗ) (ст.  Каневская, ул. Длинная, д. 184)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7"/>
      </w:pPr>
      <w:r>
        <w:rPr>
          <w:rFonts w:ascii="Times New Roman" w:hAnsi="Times New Roman" w:cs="Times New Roman"/>
          <w:sz w:val="24"/>
          <w:szCs w:val="24"/>
        </w:rPr>
        <w:t xml:space="preserve">г. Краснодар                                                                                              «______» ___________ 2026г.</w:t>
      </w:r>
      <w:r/>
    </w:p>
    <w:p>
      <w:pPr>
        <w:pStyle w:val="9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Управление Федеральной службы государственной регистрации, кадастра и картографии по Краснодарскому краю, именуемый в дальнейшем «Заказчик», в лице заместителя руководителя </w:t>
      </w:r>
      <w:r>
        <w:rPr>
          <w:rStyle w:val="959"/>
          <w:sz w:val="24"/>
          <w:szCs w:val="24"/>
        </w:rPr>
        <w:t xml:space="preserve">_____________________, действующей на основании доверенности № ________________</w:t>
      </w:r>
      <w:r>
        <w:rPr>
          <w:rFonts w:ascii="Times New Roman" w:hAnsi="Times New Roman" w:cs="Times New Roman"/>
          <w:sz w:val="24"/>
          <w:szCs w:val="24"/>
        </w:rPr>
        <w:t xml:space="preserve">, с одной стороны, и _______________________, именуемое в дальнейшем  «Исполнитель», в лице _____________________, действующего на основании ______________, с другой стороны,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вместе именуемые «Стороны», с соблюдение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 требований п. 4 ч. 1 ст. 93 Федерального закона от 05 апреля 2013г. № 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– Договор) о нижеследующем: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</w:p>
    <w:p>
      <w:pPr>
        <w:pStyle w:val="997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</w:p>
    <w:p>
      <w:pPr>
        <w:pStyle w:val="997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ПРЕДМЕТ ДОГОВОРА</w:t>
      </w:r>
      <w:r/>
    </w:p>
    <w:p>
      <w:pPr>
        <w:pStyle w:val="997"/>
        <w:numPr>
          <w:ilvl w:val="1"/>
          <w:numId w:val="4"/>
        </w:numPr>
        <w:ind w:left="0" w:right="0" w:firstLine="709"/>
        <w:jc w:val="both"/>
        <w:rPr>
          <w:rStyle w:val="945"/>
          <w:rFonts w:ascii="Times New Roman" w:hAnsi="Times New Roman" w:cs="Times New Roman"/>
          <w:b w:val="0"/>
          <w:sz w:val="24"/>
          <w:szCs w:val="24"/>
        </w:rPr>
      </w:pPr>
      <w:r>
        <w:rPr>
          <w:rStyle w:val="945"/>
          <w:rFonts w:ascii="Times New Roman" w:hAnsi="Times New Roman" w:cs="Times New Roman"/>
          <w:b w:val="0"/>
          <w:sz w:val="24"/>
          <w:szCs w:val="24"/>
        </w:rPr>
        <w:t xml:space="preserve">Заказчик поручает, а Исполнитель обязуется в установленный настоящим Договором срок в соответствии с условиями Договора – </w:t>
      </w:r>
      <w:r>
        <w:rPr>
          <w:rFonts w:ascii="Times New Roman" w:hAnsi="Times New Roman" w:cs="Times New Roman"/>
          <w:sz w:val="24"/>
          <w:szCs w:val="24"/>
        </w:rPr>
        <w:t xml:space="preserve">оказать услуг по техниче</w:t>
      </w:r>
      <w:r>
        <w:rPr>
          <w:rFonts w:ascii="Times New Roman" w:hAnsi="Times New Roman" w:cs="Times New Roman"/>
          <w:sz w:val="24"/>
          <w:szCs w:val="24"/>
        </w:rPr>
        <w:t xml:space="preserve">скому обслуживанию, поверке и наладке систем контроля загазованности на базе сигнализатора типа СИКЗ-УСД в здании Управления Федеральной службы государственной регистрации, кадастра и картографии по Краснодарскому краю (ст.  Каневская, ул. Длинная, д. 184)</w:t>
      </w:r>
      <w:r>
        <w:rPr>
          <w:rStyle w:val="945"/>
          <w:rFonts w:ascii="Times New Roman" w:hAnsi="Times New Roman" w:cs="Times New Roman"/>
          <w:b w:val="0"/>
          <w:sz w:val="24"/>
          <w:szCs w:val="24"/>
        </w:rPr>
        <w:t xml:space="preserve"> (именуемое в дальнейшем - «Объект»).</w:t>
      </w:r>
      <w:r>
        <w:rPr>
          <w:rStyle w:val="945"/>
          <w:rFonts w:ascii="Times New Roman" w:hAnsi="Times New Roman" w:cs="Times New Roman"/>
          <w:b w:val="0"/>
          <w:sz w:val="24"/>
          <w:szCs w:val="24"/>
        </w:rPr>
      </w:r>
      <w:r>
        <w:rPr>
          <w:rStyle w:val="945"/>
          <w:rFonts w:ascii="Times New Roman" w:hAnsi="Times New Roman" w:cs="Times New Roman"/>
          <w:b w:val="0"/>
          <w:sz w:val="24"/>
          <w:szCs w:val="24"/>
        </w:rPr>
      </w:r>
    </w:p>
    <w:p>
      <w:pPr>
        <w:pStyle w:val="997"/>
        <w:ind w:right="0"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1.2. Поверка осуществляется в соответствии с требованиями нормативной документации далее – НД) на методы и средства поверки.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97"/>
        <w:ind w:right="0" w:firstLine="709"/>
        <w:jc w:val="both"/>
        <w:rPr>
          <w:rStyle w:val="945"/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1.3</w:t>
        <w:tab/>
        <w:t xml:space="preserve">Результаты поверки СИ оформляются актом о поверке и/или записью в паспорте (формуляре) СИ и/или извещением о непригодности согласно ФЗ №102 «Об обеспечении единства измерений» заносится запись в реестр ФГИС «АРШИН».</w:t>
      </w:r>
      <w:r>
        <w:rPr>
          <w:rStyle w:val="945"/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r>
      <w:r>
        <w:rPr>
          <w:rStyle w:val="945"/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r>
    </w:p>
    <w:p>
      <w:pPr>
        <w:pStyle w:val="997"/>
        <w:ind w:righ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1.4. Наименование, сроки и количество (объем) оказываемых по настоящему Договору услуг определены в Техническом задании (Приложение №1 к настоящему Договору), являющемся неотъемлемой частью настоящего Договора.</w:t>
      </w:r>
      <w:r/>
    </w:p>
    <w:p>
      <w:pPr>
        <w:pStyle w:val="997"/>
        <w:ind w:righ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1.5. Срок выполнения работ: с момента заключения договора до 15.10.2026г. </w:t>
      </w:r>
      <w:r/>
    </w:p>
    <w:p>
      <w:pPr>
        <w:pStyle w:val="9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4"/>
        <w:numPr>
          <w:ilvl w:val="0"/>
          <w:numId w:val="4"/>
        </w:num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ЦЕНА ДОГОВОРА И ПОРЯДОК РАСЧЕТОВ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64"/>
        <w:jc w:val="both"/>
      </w:pPr>
      <w:r>
        <w:rPr>
          <w:sz w:val="24"/>
          <w:szCs w:val="24"/>
        </w:rPr>
        <w:tab/>
        <w:t xml:space="preserve">2.1. Цена Договора составляет </w:t>
      </w:r>
      <w:r>
        <w:rPr>
          <w:b/>
          <w:sz w:val="24"/>
          <w:szCs w:val="24"/>
        </w:rPr>
        <w:t xml:space="preserve">___________ (____________________) рублей ____ копеек, в т.ч. НДС___% / НДС не предусмотрен.</w:t>
      </w:r>
      <w:r/>
    </w:p>
    <w:p>
      <w:pPr>
        <w:pStyle w:val="995"/>
        <w:contextualSpacing/>
        <w:ind w:left="0" w:right="0" w:firstLine="709"/>
        <w:jc w:val="both"/>
        <w:spacing w:before="0" w:after="0" w:line="0" w:lineRule="atLeast"/>
      </w:pPr>
      <w:r>
        <w:rPr>
          <w:rFonts w:ascii="Times New Roman" w:hAnsi="Times New Roman" w:cs="Times New Roman"/>
          <w:sz w:val="24"/>
          <w:szCs w:val="24"/>
        </w:rPr>
        <w:t xml:space="preserve">Цена Договора является твердой и опре</w:t>
      </w:r>
      <w:r>
        <w:rPr>
          <w:rFonts w:ascii="Times New Roman" w:hAnsi="Times New Roman" w:cs="Times New Roman"/>
          <w:sz w:val="24"/>
          <w:szCs w:val="24"/>
        </w:rPr>
        <w:t xml:space="preserve">деляется на весь срок исполнения Договора</w:t>
      </w:r>
      <w:r>
        <w:rPr>
          <w:rFonts w:ascii="Times New Roman" w:hAnsi="Times New Roman" w:cs="Times New Roman"/>
          <w:sz w:val="24"/>
          <w:szCs w:val="24"/>
        </w:rPr>
        <w:t xml:space="preserve">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Договором.</w:t>
      </w:r>
      <w:r/>
    </w:p>
    <w:p>
      <w:pPr>
        <w:pStyle w:val="995"/>
        <w:contextualSpacing/>
        <w:ind w:left="0" w:right="0" w:firstLine="709"/>
        <w:jc w:val="both"/>
        <w:spacing w:before="0" w:after="0" w:line="0" w:lineRule="atLeast"/>
      </w:pPr>
      <w:r>
        <w:rPr>
          <w:rFonts w:ascii="Times New Roman" w:hAnsi="Times New Roman" w:cs="Times New Roman"/>
          <w:sz w:val="24"/>
          <w:szCs w:val="24"/>
        </w:rPr>
        <w:t xml:space="preserve">2.2.  Порядок оплаты: Аванс не предусмотрен. Расчеты между Заказчиком и Исполнителем за фактически оказанные услуги в течении 10 (десяти) рабочих дней. </w:t>
      </w:r>
      <w:r/>
    </w:p>
    <w:p>
      <w:pPr>
        <w:pStyle w:val="995"/>
        <w:contextualSpacing/>
        <w:ind w:left="0" w:right="0" w:firstLine="709"/>
        <w:jc w:val="both"/>
        <w:spacing w:before="0" w:after="0" w:line="0" w:lineRule="atLeast"/>
      </w:pPr>
      <w:r>
        <w:rPr>
          <w:rFonts w:ascii="Times New Roman" w:hAnsi="Times New Roman" w:cs="Times New Roman"/>
          <w:sz w:val="24"/>
          <w:szCs w:val="24"/>
        </w:rPr>
        <w:t xml:space="preserve">2.3. Источник финансирования Договора – федеральный бюджет в пределах доведенных лимитов на 2026 год.</w:t>
      </w:r>
      <w:r/>
    </w:p>
    <w:p>
      <w:pPr>
        <w:pStyle w:val="1014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.4. Исполнитель по факту оказания услуг представляет Заказчику акт оказанных услуг и иные документы, предусмотренных Договором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14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.4.1. Для проверки представленных Исполнителем результатов, предусмотренных Договором</w:t>
      </w:r>
      <w:r>
        <w:rPr>
          <w:rFonts w:ascii="Times New Roman" w:hAnsi="Times New Roman"/>
          <w:sz w:val="24"/>
          <w:szCs w:val="24"/>
        </w:rPr>
        <w:t xml:space="preserve">, в части их соответствия условиям Договора</w:t>
      </w:r>
      <w:r>
        <w:rPr>
          <w:rFonts w:ascii="Times New Roman" w:hAnsi="Times New Roman"/>
          <w:sz w:val="24"/>
          <w:szCs w:val="24"/>
        </w:rPr>
        <w:t xml:space="preserve">, Заказчик проводит экспертизу. Экспертиза может проводится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r>
        <w:fldChar w:fldCharType="begin"/>
      </w:r>
      <w:r>
        <w:instrText xml:space="preserve"> </w:instrText>
      </w:r>
      <w:r>
        <w:instrText xml:space="preserve">HYPERLINK</w:instrText>
      </w:r>
      <w:r>
        <w:instrText xml:space="preserve"> "</w:instrText>
      </w:r>
      <w:r>
        <w:instrText xml:space="preserve">consultantplus</w:instrText>
      </w:r>
      <w:r>
        <w:instrText xml:space="preserve">://</w:instrText>
      </w:r>
      <w:r>
        <w:instrText xml:space="preserve">offline</w:instrText>
      </w:r>
      <w:r>
        <w:instrText xml:space="preserve">/</w:instrText>
      </w:r>
      <w:r>
        <w:instrText xml:space="preserve">ref</w:instrText>
      </w:r>
      <w:r>
        <w:instrText xml:space="preserve">=782</w:instrText>
      </w:r>
      <w:r>
        <w:instrText xml:space="preserve">E</w:instrText>
      </w:r>
      <w:r>
        <w:instrText xml:space="preserve">9</w:instrText>
      </w:r>
      <w:r>
        <w:instrText xml:space="preserve">CC</w:instrText>
      </w:r>
      <w:r>
        <w:instrText xml:space="preserve">4</w:instrText>
      </w:r>
      <w:r>
        <w:instrText xml:space="preserve">CCC</w:instrText>
      </w:r>
      <w:r>
        <w:instrText xml:space="preserve">6932545801925</w:instrText>
      </w:r>
      <w:r>
        <w:instrText xml:space="preserve">E</w:instrText>
      </w:r>
      <w:r>
        <w:instrText xml:space="preserve">3</w:instrText>
      </w:r>
      <w:r>
        <w:instrText xml:space="preserve">B</w:instrText>
      </w:r>
      <w:r>
        <w:instrText xml:space="preserve">536176</w:instrText>
      </w:r>
      <w:r>
        <w:instrText xml:space="preserve">E</w:instrText>
      </w:r>
      <w:r>
        <w:instrText xml:space="preserve">50</w:instrText>
      </w:r>
      <w:r>
        <w:instrText xml:space="preserve">B</w:instrText>
      </w:r>
      <w:r>
        <w:instrText xml:space="preserve">53</w:instrText>
      </w:r>
      <w:r>
        <w:instrText xml:space="preserve">C</w:instrText>
      </w:r>
      <w:r>
        <w:instrText xml:space="preserve">1</w:instrText>
      </w:r>
      <w:r>
        <w:instrText xml:space="preserve">FD</w:instrText>
      </w:r>
      <w:r>
        <w:instrText xml:space="preserve">70</w:instrText>
      </w:r>
      <w:r>
        <w:instrText xml:space="preserve">BD</w:instrText>
      </w:r>
      <w:r>
        <w:instrText xml:space="preserve">7655</w:instrText>
      </w:r>
      <w:r>
        <w:instrText xml:space="preserve">CABC</w:instrText>
      </w:r>
      <w:r>
        <w:instrText xml:space="preserve">93</w:instrText>
      </w:r>
      <w:r>
        <w:instrText xml:space="preserve">DB</w:instrText>
      </w:r>
      <w:r>
        <w:instrText xml:space="preserve">89</w:instrText>
      </w:r>
      <w:r>
        <w:instrText xml:space="preserve">C</w:instrText>
      </w:r>
      <w:r>
        <w:instrText xml:space="preserve">27024180</w:instrText>
      </w:r>
      <w:r>
        <w:instrText xml:space="preserve">C</w:instrText>
      </w:r>
      <w:r>
        <w:instrText xml:space="preserve">10398</w:instrText>
      </w:r>
      <w:r>
        <w:instrText xml:space="preserve">FB</w:instrText>
      </w:r>
      <w:r>
        <w:instrText xml:space="preserve">96372</w:instrText>
      </w:r>
      <w:r>
        <w:instrText xml:space="preserve">E</w:instrText>
      </w:r>
      <w:r>
        <w:instrText xml:space="preserve">7</w:instrText>
      </w:r>
      <w:r>
        <w:instrText xml:space="preserve">F</w:instrText>
      </w:r>
      <w:r>
        <w:instrText xml:space="preserve">1</w:instrText>
      </w:r>
      <w:r>
        <w:instrText xml:space="preserve">F</w:instrText>
      </w:r>
      <w:r>
        <w:instrText xml:space="preserve">5737</w:instrText>
      </w:r>
      <w:r>
        <w:instrText xml:space="preserve">VEP</w:instrText>
      </w:r>
      <w:r>
        <w:instrText xml:space="preserve">" </w:instrText>
      </w:r>
      <w:r>
        <w:fldChar w:fldCharType="separate"/>
      </w:r>
      <w:r>
        <w:rPr>
          <w:rStyle w:val="1015"/>
          <w:rFonts w:ascii="Times New Roman" w:hAnsi="Times New Roman"/>
          <w:sz w:val="24"/>
          <w:szCs w:val="24"/>
        </w:rPr>
        <w:t xml:space="preserve">законом</w:t>
      </w:r>
      <w:r>
        <w:rPr>
          <w:rStyle w:val="1015"/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от 5 апреля 2013 г. </w:t>
      </w:r>
      <w:r>
        <w:rPr>
          <w:rFonts w:ascii="Times New Roman" w:hAnsi="Times New Roman"/>
          <w:sz w:val="24"/>
          <w:szCs w:val="24"/>
        </w:rPr>
        <w:t xml:space="preserve">N</w:t>
      </w:r>
      <w:r>
        <w:rPr>
          <w:rFonts w:ascii="Times New Roman" w:hAnsi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14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В случае отсутствия замечаний к оказанным услугам, Заказчик подписывает акт оказанных услуг.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1014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При наличии замечаний по качеству и (или) объему оказанных услуг, Заказчик </w:t>
      </w:r>
      <w:r>
        <w:rPr>
          <w:rFonts w:ascii="Times New Roman" w:hAnsi="Times New Roman"/>
          <w:sz w:val="24"/>
          <w:szCs w:val="24"/>
        </w:rPr>
        <w:t xml:space="preserve">оформляет соответствующий акт.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1014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Услуги считаются оказанными с момента подписания Заказчиком акта оказанных услуг без замечаний.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1014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.4.2. </w:t>
      </w:r>
      <w:r>
        <w:rPr>
          <w:rFonts w:ascii="Times New Roman" w:hAnsi="Times New Roman"/>
          <w:sz w:val="24"/>
          <w:szCs w:val="24"/>
        </w:rPr>
        <w:t xml:space="preserve">В случаях отказа в приемке, Заказчика направляет Исполнителю мотивированный отказ.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14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.4.3. В случаях устранения выявленных недостатков Исполнителем, Заказчик осуществляет проверку оказанных услуг Исполнителем на предмет соответствия оказанных услуг требованиям и условиям Договора</w:t>
      </w:r>
      <w:r>
        <w:rPr>
          <w:rFonts w:ascii="Times New Roman" w:hAnsi="Times New Roman"/>
          <w:sz w:val="24"/>
          <w:szCs w:val="24"/>
        </w:rPr>
        <w:t xml:space="preserve">, и приёмку оказанных услуг, в порядке установленным настоящим Договором</w:t>
      </w:r>
      <w:r>
        <w:rPr>
          <w:rFonts w:ascii="Times New Roman" w:hAnsi="Times New Roman"/>
          <w:sz w:val="24"/>
          <w:szCs w:val="24"/>
        </w:rPr>
        <w:t xml:space="preserve"> и в соответствии ФЗ-44 от 05.04.2013 г.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14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.5. Оплата по Договору</w:t>
      </w:r>
      <w:r>
        <w:rPr>
          <w:rFonts w:ascii="Times New Roman" w:hAnsi="Times New Roman"/>
          <w:sz w:val="24"/>
          <w:szCs w:val="24"/>
        </w:rPr>
        <w:t xml:space="preserve">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Договоре</w:t>
      </w:r>
      <w:r>
        <w:rPr>
          <w:rFonts w:ascii="Times New Roman" w:hAnsi="Times New Roman"/>
          <w:sz w:val="24"/>
          <w:szCs w:val="24"/>
        </w:rPr>
        <w:t xml:space="preserve">. В случае изменения расчетного счета Исполнитель обязан в т</w:t>
      </w:r>
      <w:r>
        <w:rPr>
          <w:rFonts w:ascii="Times New Roman" w:hAnsi="Times New Roman"/>
          <w:sz w:val="24"/>
          <w:szCs w:val="24"/>
        </w:rPr>
        <w:t xml:space="preserve">ечение тр</w:t>
      </w:r>
      <w:r>
        <w:rPr>
          <w:rFonts w:ascii="Times New Roman" w:hAnsi="Times New Roman"/>
          <w:sz w:val="24"/>
          <w:szCs w:val="24"/>
        </w:rPr>
        <w:t xml:space="preserve">ех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</w:t>
      </w:r>
      <w:r>
        <w:rPr>
          <w:rFonts w:ascii="Times New Roman" w:hAnsi="Times New Roman"/>
          <w:sz w:val="24"/>
          <w:szCs w:val="24"/>
        </w:rPr>
        <w:t xml:space="preserve">счет Исполнителя, несет Исполнитель.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16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2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ru-RU"/>
        </w:rPr>
        <w:t xml:space="preserve">6</w:t>
      </w:r>
      <w:r>
        <w:rPr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Приемка оказанных услуг проводится в соответствии с ст. 94 </w:t>
      </w:r>
      <w:r>
        <w:rPr>
          <w:sz w:val="24"/>
          <w:szCs w:val="24"/>
        </w:rPr>
        <w:t xml:space="preserve"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color w:val="000000"/>
          <w:sz w:val="24"/>
          <w:szCs w:val="24"/>
        </w:rPr>
        <w:t xml:space="preserve"> не</w:t>
      </w:r>
      <w:r>
        <w:rPr>
          <w:sz w:val="24"/>
          <w:szCs w:val="24"/>
        </w:rPr>
        <w:t xml:space="preserve"> позднее двадцати рабочих дней, следующих за днем поступления документа об оказании услуг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jc w:val="both"/>
        <w:rPr>
          <w:sz w:val="24"/>
          <w:szCs w:val="24"/>
          <w:lang w:val="ru-RU"/>
        </w:rPr>
      </w:pPr>
      <w:r>
        <w:rPr>
          <w:rFonts w:eastAsia="Times New Roman"/>
          <w:sz w:val="24"/>
          <w:szCs w:val="24"/>
        </w:rPr>
        <w:t xml:space="preserve">     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4"/>
        <w:ind w:right="0" w:firstLine="709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3. </w:t>
      </w:r>
      <w:r>
        <w:rPr>
          <w:b/>
          <w:bCs/>
          <w:sz w:val="24"/>
          <w:szCs w:val="24"/>
        </w:rPr>
        <w:t xml:space="preserve">ВЗАИМОДЕЙСТВИЕ СТОРОН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64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3.1. </w:t>
      </w:r>
      <w:r>
        <w:rPr>
          <w:b/>
          <w:sz w:val="24"/>
          <w:szCs w:val="24"/>
        </w:rPr>
        <w:t xml:space="preserve">Исполнитель обязан: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3.1.1. Исполнитель обязуется </w:t>
      </w:r>
      <w:r>
        <w:rPr>
          <w:sz w:val="24"/>
          <w:szCs w:val="24"/>
          <w:lang w:val="ru-RU"/>
        </w:rPr>
        <w:t xml:space="preserve">оказать услуги</w:t>
      </w:r>
      <w:r>
        <w:rPr>
          <w:sz w:val="24"/>
          <w:szCs w:val="24"/>
        </w:rPr>
        <w:t xml:space="preserve"> надлежащего качества, в объеме и в сроки, предусмотренные настоящим Договором и Техническим заданием (</w:t>
      </w:r>
      <w:r>
        <w:rPr>
          <w:sz w:val="24"/>
          <w:szCs w:val="24"/>
          <w:lang w:val="ru-RU"/>
        </w:rPr>
        <w:t xml:space="preserve">П</w:t>
      </w:r>
      <w:r>
        <w:rPr>
          <w:sz w:val="24"/>
          <w:szCs w:val="24"/>
        </w:rPr>
        <w:t xml:space="preserve">риложение №1 к настоящему </w:t>
      </w:r>
      <w:r>
        <w:rPr>
          <w:sz w:val="24"/>
          <w:szCs w:val="24"/>
          <w:lang w:val="ru-RU"/>
        </w:rPr>
        <w:t xml:space="preserve">Д</w:t>
      </w:r>
      <w:r>
        <w:rPr>
          <w:sz w:val="24"/>
          <w:szCs w:val="24"/>
        </w:rPr>
        <w:t xml:space="preserve">оговору)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и сдать работы Заказчику в установленный срок.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ab/>
        <w:t xml:space="preserve">3.1.2. Исполнитель обязан обеспечить производство и качество всех работ в соответствии с действующими нормами и условиями настоящего Договора.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4"/>
        <w:ind w:righ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3.1.3. Исполнитель обязан обеспечить оказание услуг своими силами и средствами.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4"/>
        <w:ind w:right="0" w:firstLine="709"/>
        <w:jc w:val="both"/>
      </w:pPr>
      <w:r>
        <w:rPr>
          <w:sz w:val="24"/>
          <w:szCs w:val="24"/>
        </w:rPr>
        <w:t xml:space="preserve">3.1.4. До приемки </w:t>
      </w:r>
      <w:r>
        <w:rPr>
          <w:sz w:val="24"/>
          <w:szCs w:val="24"/>
          <w:lang w:val="ru-RU"/>
        </w:rPr>
        <w:t xml:space="preserve">оказанных услуг</w:t>
      </w:r>
      <w:r>
        <w:rPr>
          <w:sz w:val="24"/>
          <w:szCs w:val="24"/>
        </w:rPr>
        <w:t xml:space="preserve"> Исполнитель обязан вывезти принадлежащее ему оборудование, инвентарь, инструменты, материалы и мусор.   </w:t>
      </w:r>
      <w:r/>
    </w:p>
    <w:p>
      <w:pPr>
        <w:pStyle w:val="964"/>
        <w:ind w:right="0" w:firstLine="709"/>
        <w:jc w:val="both"/>
      </w:pPr>
      <w:r>
        <w:rPr>
          <w:sz w:val="24"/>
          <w:szCs w:val="24"/>
        </w:rPr>
        <w:t xml:space="preserve">3.1.5. Исполнитель  обязан немедленно известить «Заказчика»  и до получения от него указаний приостановить </w:t>
      </w:r>
      <w:r>
        <w:rPr>
          <w:sz w:val="24"/>
          <w:szCs w:val="24"/>
          <w:lang w:val="ru-RU"/>
        </w:rPr>
        <w:t xml:space="preserve">оказание услуг</w:t>
      </w:r>
      <w:r>
        <w:rPr>
          <w:sz w:val="24"/>
          <w:szCs w:val="24"/>
        </w:rPr>
        <w:t xml:space="preserve"> при обнаружении обстоятельств,  угрожающих годности или прочности результатов выполняемой работы либо создающих невозможность завершения ее в срок.</w:t>
      </w:r>
      <w:r/>
    </w:p>
    <w:p>
      <w:pPr>
        <w:pStyle w:val="964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ab/>
        <w:t xml:space="preserve">3.1.</w:t>
      </w:r>
      <w:r>
        <w:rPr>
          <w:sz w:val="24"/>
          <w:szCs w:val="24"/>
          <w:lang w:val="ru-RU"/>
        </w:rPr>
        <w:t xml:space="preserve">6</w:t>
      </w:r>
      <w:r>
        <w:rPr>
          <w:sz w:val="24"/>
          <w:szCs w:val="24"/>
        </w:rPr>
        <w:t xml:space="preserve">. Нести полную ответственность перед Заказчиком, в случае повреждения оборудования и имущества, находящегося на объекте Заказчика, при </w:t>
      </w:r>
      <w:r>
        <w:rPr>
          <w:sz w:val="24"/>
          <w:szCs w:val="24"/>
          <w:lang w:val="ru-RU"/>
        </w:rPr>
        <w:t xml:space="preserve">оказании услуг</w:t>
      </w:r>
      <w:r>
        <w:rPr>
          <w:sz w:val="24"/>
          <w:szCs w:val="24"/>
        </w:rPr>
        <w:t xml:space="preserve">, указанных в п.п.1.1</w:t>
      </w:r>
      <w:r>
        <w:rPr>
          <w:sz w:val="24"/>
          <w:szCs w:val="24"/>
          <w:lang w:val="ru-RU"/>
        </w:rPr>
        <w:t xml:space="preserve">, п.п.1.2</w:t>
      </w:r>
      <w:r>
        <w:rPr>
          <w:sz w:val="24"/>
          <w:szCs w:val="24"/>
        </w:rPr>
        <w:t xml:space="preserve"> пункта 1 настоящего Договора.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4"/>
        <w:ind w:right="0" w:firstLine="709"/>
        <w:jc w:val="both"/>
      </w:pPr>
      <w:r>
        <w:rPr>
          <w:sz w:val="24"/>
          <w:szCs w:val="24"/>
        </w:rPr>
        <w:t xml:space="preserve">3.2. </w:t>
      </w:r>
      <w:r>
        <w:rPr>
          <w:b/>
          <w:sz w:val="24"/>
          <w:szCs w:val="24"/>
        </w:rPr>
        <w:t xml:space="preserve">Исполнитель имеет право:</w:t>
      </w:r>
      <w:r/>
    </w:p>
    <w:p>
      <w:pPr>
        <w:pStyle w:val="964"/>
        <w:ind w:right="0" w:firstLine="709"/>
        <w:jc w:val="both"/>
      </w:pPr>
      <w:r>
        <w:rPr>
          <w:sz w:val="24"/>
          <w:szCs w:val="24"/>
        </w:rPr>
        <w:t xml:space="preserve">3.2.1. В случае необходимости Исполнитель имеет право привлекать для </w:t>
      </w:r>
      <w:r>
        <w:rPr>
          <w:sz w:val="24"/>
          <w:szCs w:val="24"/>
          <w:lang w:val="ru-RU"/>
        </w:rPr>
        <w:t xml:space="preserve">оказания услуг</w:t>
      </w:r>
      <w:r>
        <w:rPr>
          <w:sz w:val="24"/>
          <w:szCs w:val="24"/>
        </w:rPr>
        <w:t xml:space="preserve"> по настоящему Договору третьих лиц, заключая с ними соответствующие договоры, неся при этом полную ответственность перед Заказчиком за их действия и выполненные работы.</w:t>
      </w:r>
      <w:r/>
    </w:p>
    <w:p>
      <w:pPr>
        <w:pStyle w:val="964"/>
        <w:ind w:right="0" w:firstLine="709"/>
        <w:jc w:val="both"/>
      </w:pPr>
      <w:r>
        <w:rPr>
          <w:sz w:val="24"/>
          <w:szCs w:val="24"/>
        </w:rPr>
        <w:t xml:space="preserve">3.2.2. Досрочно выполнить </w:t>
      </w:r>
      <w:r>
        <w:rPr>
          <w:sz w:val="24"/>
          <w:szCs w:val="24"/>
          <w:lang w:val="ru-RU"/>
        </w:rPr>
        <w:t xml:space="preserve">услуги</w:t>
      </w:r>
      <w:r>
        <w:rPr>
          <w:sz w:val="24"/>
          <w:szCs w:val="24"/>
        </w:rPr>
        <w:t xml:space="preserve"> и сдать Заказчику их результат в установленном Договором порядке.</w:t>
      </w:r>
      <w:r/>
    </w:p>
    <w:p>
      <w:pPr>
        <w:pStyle w:val="964"/>
        <w:ind w:right="0" w:firstLine="709"/>
        <w:jc w:val="both"/>
      </w:pPr>
      <w:r>
        <w:rPr>
          <w:sz w:val="24"/>
          <w:szCs w:val="24"/>
        </w:rPr>
        <w:t xml:space="preserve">3.2.3. Направлять Заказчику уведомления об уплате в добровольном порядке сумм неустойки (пени), предусмотренных Договором за неисполнение (ненадлежащее исполнение) Заказчиком своих обязательств по Договору.</w:t>
      </w:r>
      <w:r/>
    </w:p>
    <w:p>
      <w:pPr>
        <w:pStyle w:val="964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3.3. </w:t>
      </w:r>
      <w:r>
        <w:rPr>
          <w:b/>
          <w:sz w:val="24"/>
          <w:szCs w:val="24"/>
        </w:rPr>
        <w:t xml:space="preserve">Заказчик обязан: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ab/>
        <w:t xml:space="preserve">3.3.1. Оказать Исполнителю содействие необходимое для </w:t>
      </w:r>
      <w:r>
        <w:rPr>
          <w:sz w:val="24"/>
          <w:szCs w:val="24"/>
          <w:lang w:val="ru-RU"/>
        </w:rPr>
        <w:t xml:space="preserve">оказания услуг</w:t>
      </w:r>
      <w:r>
        <w:rPr>
          <w:sz w:val="24"/>
          <w:szCs w:val="24"/>
        </w:rPr>
        <w:t xml:space="preserve"> по настоящему Договору;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64"/>
        <w:ind w:right="0" w:firstLine="709"/>
        <w:jc w:val="both"/>
      </w:pPr>
      <w:r>
        <w:rPr>
          <w:color w:val="000000"/>
          <w:sz w:val="24"/>
          <w:szCs w:val="24"/>
        </w:rPr>
        <w:t xml:space="preserve">3.3.2. Н</w:t>
      </w:r>
      <w:r>
        <w:rPr>
          <w:sz w:val="24"/>
          <w:szCs w:val="24"/>
        </w:rPr>
        <w:t xml:space="preserve">езамедлительно сообщать Исполнителю о возникающих неполадках и аварийных ситуациях возникших во время </w:t>
      </w:r>
      <w:r>
        <w:rPr>
          <w:sz w:val="24"/>
          <w:szCs w:val="24"/>
          <w:lang w:val="ru-RU"/>
        </w:rPr>
        <w:t xml:space="preserve">оказания услуг</w:t>
      </w:r>
      <w:r>
        <w:rPr>
          <w:sz w:val="24"/>
          <w:szCs w:val="24"/>
        </w:rPr>
        <w:t xml:space="preserve">.</w:t>
      </w:r>
      <w:r/>
    </w:p>
    <w:p>
      <w:pPr>
        <w:pStyle w:val="964"/>
        <w:jc w:val="both"/>
      </w:pPr>
      <w:r>
        <w:rPr>
          <w:sz w:val="24"/>
          <w:szCs w:val="24"/>
        </w:rPr>
        <w:tab/>
        <w:t xml:space="preserve">3.3.3. Принять </w:t>
      </w:r>
      <w:r>
        <w:rPr>
          <w:sz w:val="24"/>
          <w:szCs w:val="24"/>
          <w:lang w:val="ru-RU"/>
        </w:rPr>
        <w:t xml:space="preserve">оказанные услуги</w:t>
      </w:r>
      <w:r>
        <w:rPr>
          <w:sz w:val="24"/>
          <w:szCs w:val="24"/>
        </w:rPr>
        <w:t xml:space="preserve"> в соответствии с разделом 6 настоящего Договора и при отсутствии претензий относительно качества </w:t>
      </w:r>
      <w:r>
        <w:rPr>
          <w:sz w:val="24"/>
          <w:szCs w:val="24"/>
          <w:lang w:val="ru-RU"/>
        </w:rPr>
        <w:t xml:space="preserve">услуг</w:t>
      </w:r>
      <w:r>
        <w:rPr>
          <w:sz w:val="24"/>
          <w:szCs w:val="24"/>
        </w:rPr>
        <w:t xml:space="preserve">, подписать акт </w:t>
      </w:r>
      <w:r>
        <w:rPr>
          <w:sz w:val="24"/>
          <w:szCs w:val="24"/>
          <w:lang w:val="ru-RU"/>
        </w:rPr>
        <w:t xml:space="preserve">оказанных услуг</w:t>
      </w:r>
      <w:r>
        <w:rPr>
          <w:sz w:val="24"/>
          <w:szCs w:val="24"/>
        </w:rPr>
        <w:t xml:space="preserve"> в двух экземплярах и передать один экземпляр акта Исполнителю;</w:t>
      </w:r>
      <w:r/>
    </w:p>
    <w:p>
      <w:pPr>
        <w:pStyle w:val="964"/>
        <w:jc w:val="both"/>
      </w:pPr>
      <w:r>
        <w:rPr>
          <w:sz w:val="24"/>
          <w:szCs w:val="24"/>
        </w:rPr>
        <w:tab/>
        <w:t xml:space="preserve">3.3.4. Оплатить </w:t>
      </w:r>
      <w:r>
        <w:rPr>
          <w:sz w:val="24"/>
          <w:szCs w:val="24"/>
          <w:lang w:val="ru-RU"/>
        </w:rPr>
        <w:t xml:space="preserve">оказанные услуги</w:t>
      </w:r>
      <w:r>
        <w:rPr>
          <w:sz w:val="24"/>
          <w:szCs w:val="24"/>
        </w:rPr>
        <w:t xml:space="preserve"> в соответствии с разделом 2 настоящего Договора.</w:t>
      </w:r>
      <w:r/>
    </w:p>
    <w:p>
      <w:pPr>
        <w:pStyle w:val="964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ab/>
        <w:t xml:space="preserve">3.3.5. В случае досрочного выполнения Исполнителем обязательств по Договору, принять и оплатить </w:t>
      </w:r>
      <w:r>
        <w:rPr>
          <w:sz w:val="24"/>
          <w:szCs w:val="24"/>
          <w:lang w:val="ru-RU"/>
        </w:rPr>
        <w:t xml:space="preserve">услуги</w:t>
      </w:r>
      <w:r>
        <w:rPr>
          <w:sz w:val="24"/>
          <w:szCs w:val="24"/>
        </w:rPr>
        <w:t xml:space="preserve"> в соответствии с установленным в Договоре порядком.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4"/>
        <w:ind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</w:t>
      </w:r>
      <w:r>
        <w:rPr>
          <w:b/>
          <w:sz w:val="24"/>
          <w:szCs w:val="24"/>
        </w:rPr>
        <w:t xml:space="preserve">Заказчик имеет право: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jc w:val="both"/>
      </w:pPr>
      <w:r>
        <w:rPr>
          <w:sz w:val="24"/>
          <w:szCs w:val="24"/>
        </w:rPr>
        <w:tab/>
        <w:t xml:space="preserve">3.4.1. Провести экспертизу для проверки </w:t>
      </w:r>
      <w:r>
        <w:rPr>
          <w:sz w:val="24"/>
          <w:szCs w:val="24"/>
          <w:lang w:val="ru-RU"/>
        </w:rPr>
        <w:t xml:space="preserve">оказанных</w:t>
      </w:r>
      <w:r>
        <w:rPr>
          <w:sz w:val="24"/>
          <w:szCs w:val="24"/>
        </w:rPr>
        <w:t xml:space="preserve"> Исполнителем </w:t>
      </w:r>
      <w:r>
        <w:rPr>
          <w:sz w:val="24"/>
          <w:szCs w:val="24"/>
          <w:lang w:val="ru-RU"/>
        </w:rPr>
        <w:t xml:space="preserve">услуг</w:t>
      </w:r>
      <w:r>
        <w:rPr>
          <w:sz w:val="24"/>
          <w:szCs w:val="24"/>
        </w:rPr>
        <w:t xml:space="preserve">, предусмотренных Договором, в части их соответствия условиям Договора.</w:t>
      </w:r>
      <w:r/>
    </w:p>
    <w:p>
      <w:pPr>
        <w:pStyle w:val="964"/>
        <w:ind w:righ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3.4.2. Направлять Исполнителю уведомления об уплате в добровольном порядке сумм неустойки (пени), предусмотренных Договором за неисполнение (ненадлежащее исполнение) Исполнителем своих обязательств по Договору.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4"/>
        <w:ind w:righ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4"/>
        <w:ind w:left="360" w:right="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4. </w:t>
      </w:r>
      <w:r>
        <w:rPr>
          <w:b/>
          <w:bCs/>
          <w:sz w:val="24"/>
          <w:szCs w:val="24"/>
        </w:rPr>
        <w:t xml:space="preserve">ОТВЕТСТВЕННОСТЬ СТОРОН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847"/>
        <w:ind w:left="0" w:right="0" w:firstLine="709"/>
        <w:jc w:val="both"/>
        <w:tabs>
          <w:tab w:val="left" w:pos="360" w:leader="none"/>
          <w:tab w:val="clear" w:pos="720" w:leader="none"/>
        </w:tabs>
        <w:rPr>
          <w:b/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4.1. В случае неисполнения или ненадлежащего исполнения обязательств, предусмотренных настоящим Договором, Стороны несут ответственность в соответствии с настоящим Договором и законодательством Российской Федерации. </w:t>
      </w:r>
      <w:r>
        <w:rPr>
          <w:b/>
          <w:bCs/>
          <w:color w:val="000000"/>
          <w:sz w:val="24"/>
          <w:szCs w:val="24"/>
        </w:rPr>
      </w:r>
      <w:r>
        <w:rPr>
          <w:b/>
          <w:bCs/>
          <w:color w:val="000000"/>
          <w:sz w:val="24"/>
          <w:szCs w:val="24"/>
        </w:rPr>
      </w:r>
    </w:p>
    <w:p>
      <w:pPr>
        <w:pStyle w:val="999"/>
        <w:ind w:right="0" w:firstLine="709"/>
        <w:widowControl w:val="off"/>
        <w:tabs>
          <w:tab w:val="left" w:pos="360" w:leader="none"/>
          <w:tab w:val="clear" w:pos="709" w:leader="none"/>
          <w:tab w:val="left" w:pos="1276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4.2. В случае полного (частичного) неисполнения условий Договора одной из Сторон эта Сторона обязана возместить другой Стороне причиненные убытки в части, непокрытой неустойкой.</w:t>
      </w:r>
      <w:r/>
    </w:p>
    <w:p>
      <w:pPr>
        <w:pStyle w:val="999"/>
        <w:ind w:right="0" w:firstLine="709"/>
        <w:widowControl w:val="off"/>
        <w:tabs>
          <w:tab w:val="left" w:pos="360" w:leader="none"/>
          <w:tab w:val="clear" w:pos="709" w:leader="none"/>
          <w:tab w:val="left" w:pos="1276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4.3. Расчет уплаты неустоек (штрафов, пеней) устанавливается в соответствии с п. 5-8 ст. 34 Федерального закона от 05 апреля 2013 года № 44-ФЗ «О контрактной систе</w:t>
      </w:r>
      <w:r>
        <w:rPr>
          <w:rFonts w:ascii="Times New Roman" w:hAnsi="Times New Roman" w:cs="Times New Roman"/>
          <w:sz w:val="24"/>
          <w:szCs w:val="24"/>
        </w:rPr>
        <w:t xml:space="preserve">ме в сфере закупок товаров, работ, услуг для обеспечения государственных и муниципальных нужд» и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</w:t>
      </w:r>
      <w:r>
        <w:rPr>
          <w:rFonts w:ascii="Times New Roman" w:hAnsi="Times New Roman" w:cs="Times New Roman"/>
          <w:sz w:val="24"/>
          <w:szCs w:val="24"/>
        </w:rPr>
        <w:t xml:space="preserve">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N 1042.</w:t>
      </w:r>
      <w:r/>
    </w:p>
    <w:p>
      <w:pPr>
        <w:pStyle w:val="999"/>
        <w:ind w:right="0" w:firstLine="709"/>
        <w:widowControl w:val="off"/>
        <w:tabs>
          <w:tab w:val="left" w:pos="360" w:leader="none"/>
          <w:tab w:val="clear" w:pos="709" w:leader="none"/>
          <w:tab w:val="left" w:pos="1276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4.4.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</w:t>
      </w:r>
      <w:r>
        <w:rPr>
          <w:rFonts w:ascii="Times New Roman" w:hAnsi="Times New Roman" w:cs="Times New Roman"/>
          <w:sz w:val="24"/>
          <w:szCs w:val="24"/>
        </w:rPr>
        <w:t xml:space="preserve">силы или по вине другой стороны. К обстоятельствам непреодолимой силы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средств.</w:t>
      </w:r>
      <w:r/>
    </w:p>
    <w:p>
      <w:pPr>
        <w:pStyle w:val="999"/>
        <w:ind w:right="0" w:firstLine="709"/>
        <w:widowControl w:val="off"/>
        <w:tabs>
          <w:tab w:val="left" w:pos="360" w:leader="none"/>
          <w:tab w:val="clear" w:pos="709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9"/>
        <w:ind w:right="0" w:firstLine="709"/>
        <w:widowControl w:val="off"/>
        <w:tabs>
          <w:tab w:val="left" w:pos="360" w:leader="none"/>
          <w:tab w:val="clear" w:pos="709" w:leader="none"/>
          <w:tab w:val="left" w:pos="1276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4.5. В случае если надлежащее исполнение Стороной предусмотренных Договором обязательств оказалос</w:t>
      </w:r>
      <w:r>
        <w:rPr>
          <w:rFonts w:ascii="Times New Roman" w:hAnsi="Times New Roman" w:cs="Times New Roman"/>
          <w:sz w:val="24"/>
          <w:szCs w:val="24"/>
        </w:rPr>
        <w:t xml:space="preserve">ь невозможным вследствие обстоятельств непреодолимой силы, такая Сторона не позднее 3 (трех) рабочих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/>
    </w:p>
    <w:p>
      <w:pPr>
        <w:pStyle w:val="999"/>
        <w:ind w:right="0" w:firstLine="709"/>
        <w:widowControl w:val="off"/>
        <w:tabs>
          <w:tab w:val="left" w:pos="360" w:leader="none"/>
          <w:tab w:val="clear" w:pos="709" w:leader="none"/>
          <w:tab w:val="left" w:pos="1276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4.6. Уплата санкций не освобождает Стороны от выполнения принятых обязательств, если это не урегулировано дополнительным соглашением.</w:t>
      </w:r>
      <w:r/>
    </w:p>
    <w:p>
      <w:pPr>
        <w:pStyle w:val="999"/>
        <w:ind w:right="0" w:firstLine="709"/>
        <w:widowControl w:val="off"/>
        <w:tabs>
          <w:tab w:val="left" w:pos="360" w:leader="none"/>
          <w:tab w:val="clear" w:pos="709" w:leader="none"/>
          <w:tab w:val="left" w:pos="1276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В случае невозможности исполнения, возникшей по вине Заказчика, услуги подлежат оплате в полном объеме, если иное не предусмотрено законом или настоящим Договором.</w:t>
      </w:r>
      <w:r/>
    </w:p>
    <w:p>
      <w:pPr>
        <w:pStyle w:val="964"/>
        <w:ind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4.7. Общая сумма начисленных неустоек за неисполнение или ненадлежащее исполнение обязательств, предусмотренных Договором, не может превышать стоимости Договора.</w:t>
        <w:tab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right="0" w:firstLine="709"/>
        <w:jc w:val="both"/>
        <w:rPr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64"/>
        <w:ind w:left="360" w:right="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5. </w:t>
      </w:r>
      <w:r>
        <w:rPr>
          <w:b/>
          <w:bCs/>
          <w:sz w:val="24"/>
          <w:szCs w:val="24"/>
        </w:rPr>
        <w:t xml:space="preserve">ОБСТОЯТЕЛЬСТВА НЕПРЕОДОЛИМОЙ СИЛЫ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96"/>
        <w:jc w:val="both"/>
        <w:spacing w:before="0" w:after="0" w:line="0" w:lineRule="atLeast"/>
      </w:pPr>
      <w:r>
        <w:tab/>
        <w:t xml:space="preserve">5.1. Стороны не несут ответственность за полное или частичное неисполнение предусмотренных настоящим Договором обязательств, если такое неисполнение связано с обстоятельствами непреодолимой силы.</w:t>
      </w:r>
      <w:r/>
    </w:p>
    <w:p>
      <w:pPr>
        <w:pStyle w:val="996"/>
        <w:jc w:val="both"/>
        <w:spacing w:before="0" w:after="0" w:line="0" w:lineRule="atLeast"/>
      </w:pPr>
      <w:r>
        <w:tab/>
        <w:t xml:space="preserve">5.2. Сторона, для которой создалась невозможность исполнения обязател</w:t>
      </w:r>
      <w:r>
        <w:t xml:space="preserve">ьств по настоящему Договору вследствие обстоятельств непреодолимой силы, не позднее 3 (трех) рабочих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/>
    </w:p>
    <w:p>
      <w:pPr>
        <w:pStyle w:val="996"/>
        <w:jc w:val="both"/>
        <w:spacing w:before="0" w:after="0" w:line="0" w:lineRule="atLeast"/>
      </w:pPr>
      <w:r>
        <w:tab/>
        <w:t xml:space="preserve">5.3. В случае возникновения обстоятельств непреодолимой силы Стороны вправе расторгнуть настоящий Договор, и в этом случае ни одна из Сторон не вправе требовать возмещения убытков.</w:t>
      </w:r>
      <w:r/>
    </w:p>
    <w:p>
      <w:pPr>
        <w:pStyle w:val="996"/>
        <w:jc w:val="both"/>
        <w:spacing w:before="0" w:after="0" w:line="0" w:lineRule="atLeast"/>
      </w:pPr>
      <w:r>
        <w:tab/>
        <w:t xml:space="preserve">5.4.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  <w:r/>
    </w:p>
    <w:p>
      <w:pPr>
        <w:pStyle w:val="96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64"/>
        <w:ind w:left="360" w:right="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6. </w:t>
      </w:r>
      <w:r>
        <w:rPr>
          <w:b/>
          <w:bCs/>
          <w:sz w:val="24"/>
          <w:szCs w:val="24"/>
        </w:rPr>
        <w:t xml:space="preserve">СРОК ДЕЙСТВИЯ ДОГОВОРА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64"/>
        <w:ind w:right="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6</w:t>
      </w:r>
      <w:r>
        <w:rPr>
          <w:sz w:val="24"/>
          <w:szCs w:val="24"/>
        </w:rPr>
        <w:t xml:space="preserve">.1. Настоящий Договор вступает в силу с момента его подписания и действует до</w:t>
      </w:r>
      <w:r>
        <w:rPr>
          <w:sz w:val="24"/>
          <w:szCs w:val="24"/>
          <w:lang w:val="ru-RU"/>
        </w:rPr>
        <w:t xml:space="preserve"> 30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ноября</w:t>
      </w:r>
      <w:r>
        <w:rPr>
          <w:sz w:val="24"/>
          <w:szCs w:val="24"/>
        </w:rPr>
        <w:t xml:space="preserve"> 2026</w:t>
      </w:r>
      <w:r>
        <w:rPr>
          <w:sz w:val="24"/>
          <w:szCs w:val="24"/>
        </w:rPr>
        <w:t xml:space="preserve"> года, а в части </w:t>
      </w:r>
      <w:r>
        <w:rPr>
          <w:sz w:val="24"/>
          <w:szCs w:val="24"/>
          <w:lang w:val="ru-RU"/>
        </w:rPr>
        <w:t xml:space="preserve">исполнения </w:t>
      </w:r>
      <w:r>
        <w:rPr>
          <w:sz w:val="24"/>
          <w:szCs w:val="24"/>
        </w:rPr>
        <w:t xml:space="preserve">обязательств </w:t>
      </w:r>
      <w:r>
        <w:rPr>
          <w:sz w:val="24"/>
          <w:szCs w:val="24"/>
          <w:lang w:val="ru-RU"/>
        </w:rPr>
        <w:t xml:space="preserve">по Договору </w:t>
      </w:r>
      <w:r>
        <w:rPr>
          <w:sz w:val="24"/>
          <w:szCs w:val="24"/>
        </w:rPr>
        <w:t xml:space="preserve">до </w:t>
      </w:r>
      <w:r>
        <w:rPr>
          <w:sz w:val="24"/>
          <w:szCs w:val="24"/>
          <w:lang w:val="ru-RU"/>
        </w:rPr>
        <w:t xml:space="preserve">30.12.2026г. включительно</w:t>
      </w:r>
      <w:r>
        <w:rPr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ab/>
        <w:t xml:space="preserve">6</w:t>
      </w:r>
      <w:r>
        <w:rPr>
          <w:sz w:val="24"/>
          <w:szCs w:val="24"/>
        </w:rPr>
        <w:t xml:space="preserve">.2. Окончание срока действия настоящего Договора не освобождает Стороны от ответственности за его нарушение, если таковые имели место при исполнении условий настоящего Договора.</w: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Style w:val="964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</w:r>
      <w:r>
        <w:rPr>
          <w:rFonts w:eastAsia="Times New Roman"/>
          <w:b/>
          <w:bCs/>
          <w:sz w:val="24"/>
          <w:szCs w:val="24"/>
        </w:rPr>
      </w:r>
      <w:r>
        <w:rPr>
          <w:rFonts w:eastAsia="Times New Roman"/>
          <w:b/>
          <w:bCs/>
          <w:sz w:val="24"/>
          <w:szCs w:val="24"/>
        </w:rPr>
      </w:r>
    </w:p>
    <w:p>
      <w:pPr>
        <w:pStyle w:val="964"/>
        <w:ind w:left="360" w:right="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7. </w:t>
      </w:r>
      <w:r>
        <w:rPr>
          <w:b/>
          <w:bCs/>
          <w:sz w:val="24"/>
          <w:szCs w:val="24"/>
        </w:rPr>
        <w:t xml:space="preserve">РАЗРЕШЕНИЕ СПОРОВ МЕЖДУ СТОРОНАМИ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64"/>
        <w:ind w:right="0" w:firstLine="709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7.1. 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97"/>
        <w:ind w:right="0" w:firstLine="709"/>
        <w:jc w:val="both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Претензия оформляется в письменной форме. В претензии перечисляются д</w:t>
      </w:r>
      <w:r>
        <w:rPr>
          <w:rFonts w:ascii="Times New Roman" w:hAnsi="Times New Roman" w:cs="Times New Roman"/>
          <w:sz w:val="24"/>
          <w:szCs w:val="24"/>
        </w:rPr>
        <w:t xml:space="preserve">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7"/>
        <w:ind w:right="0" w:firstLine="709"/>
        <w:jc w:val="both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Срок рассмотрения претензии не может превышать 10 рабочих дней. Переписка Сторон может осуществляться в виде писем или телеграмм, а в случаях направления факса, иного электронного сообщения – с последующим предоставлением оригинала документа.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7"/>
        <w:ind w:right="0" w:firstLine="709"/>
        <w:jc w:val="both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 При неурегулировании Сторонами спора в досудебном порядке, спор разрешается в судебном порядке в Арбитражном суде Краснодарского края. 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4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            </w:t>
      </w:r>
      <w:r>
        <w:rPr>
          <w:rFonts w:eastAsia="Times New Roman"/>
          <w:b/>
          <w:bCs/>
          <w:sz w:val="24"/>
          <w:szCs w:val="24"/>
        </w:rPr>
      </w:r>
      <w:r>
        <w:rPr>
          <w:rFonts w:eastAsia="Times New Roman"/>
          <w:b/>
          <w:bCs/>
          <w:sz w:val="24"/>
          <w:szCs w:val="24"/>
        </w:rPr>
      </w:r>
    </w:p>
    <w:p>
      <w:pPr>
        <w:pStyle w:val="964"/>
        <w:ind w:left="360" w:right="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8. </w:t>
      </w:r>
      <w:r>
        <w:rPr>
          <w:b/>
          <w:bCs/>
          <w:sz w:val="24"/>
          <w:szCs w:val="24"/>
        </w:rPr>
        <w:t xml:space="preserve">ПРОЧИЕ УСЛОВИЯ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64"/>
        <w:ind w:right="0" w:firstLine="567"/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8.1.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В случае </w:t>
      </w:r>
      <w:r>
        <w:rPr>
          <w:sz w:val="24"/>
          <w:szCs w:val="24"/>
        </w:rPr>
        <w:t xml:space="preserve">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79"/>
        <w:ind w:right="0" w:firstLine="567"/>
        <w:jc w:val="both"/>
        <w:spacing w:line="0" w:lineRule="atLeast"/>
      </w:pPr>
      <w:r>
        <w:rPr>
          <w:rFonts w:ascii="Times New Roman" w:hAnsi="Times New Roman" w:cs="Times New Roman"/>
          <w:sz w:val="24"/>
          <w:szCs w:val="24"/>
        </w:rPr>
        <w:t xml:space="preserve">8.2. Любые изменения, дополнения и приложения к Договору, выполненные в письменной форме и подписанные каждой из Сторон, являются его неотъемлемой частью.</w:t>
      </w:r>
      <w:r/>
    </w:p>
    <w:p>
      <w:pPr>
        <w:pStyle w:val="979"/>
        <w:ind w:right="0" w:firstLine="567"/>
        <w:jc w:val="both"/>
        <w:spacing w:line="0" w:lineRule="atLeast"/>
      </w:pPr>
      <w:r>
        <w:rPr>
          <w:rFonts w:ascii="Times New Roman" w:hAnsi="Times New Roman" w:cs="Times New Roman"/>
          <w:sz w:val="24"/>
          <w:szCs w:val="24"/>
        </w:rPr>
        <w:t xml:space="preserve">8.3. Изменение условий Договора при его исполнении не допускается за исключением случаев,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предусмотренных </w:t>
      </w:r>
      <w:hyperlink r:id="rId10" w:tooltip="consultantplus://offline/ref=782E9CC4CCC6932545801925E3B536176E50B53C1FD70BD7655CABC93DB89C271041D8CD019EE696393B294E112BD805805FEF4CF4B5672237V6P" w:history="1">
        <w:r>
          <w:rPr>
            <w:rStyle w:val="956"/>
            <w:rFonts w:ascii="Times New Roman" w:hAnsi="Times New Roman" w:cs="Times New Roman"/>
            <w:color w:val="000000"/>
            <w:sz w:val="24"/>
            <w:szCs w:val="24"/>
          </w:rPr>
          <w:t xml:space="preserve">статьей 95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/>
    </w:p>
    <w:p>
      <w:pPr>
        <w:pStyle w:val="979"/>
        <w:ind w:right="0" w:firstLine="567"/>
        <w:jc w:val="both"/>
        <w:spacing w:line="0" w:lineRule="atLeast"/>
      </w:pPr>
      <w:r>
        <w:rPr>
          <w:rFonts w:ascii="Times New Roman" w:hAnsi="Times New Roman" w:cs="Times New Roman"/>
          <w:sz w:val="24"/>
          <w:szCs w:val="24"/>
        </w:rPr>
        <w:t xml:space="preserve">8.4. При исполнении Договора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  <w:r/>
    </w:p>
    <w:p>
      <w:pPr>
        <w:pStyle w:val="979"/>
        <w:ind w:right="0" w:firstLine="567"/>
        <w:jc w:val="both"/>
        <w:spacing w:line="0" w:lineRule="atLeast"/>
      </w:pPr>
      <w:r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Договору правопреемнику Исполнителя осуществляется путем заключения соответствующего дополнительного соглашения к Договору.</w:t>
      </w:r>
      <w:r/>
    </w:p>
    <w:p>
      <w:pPr>
        <w:pStyle w:val="979"/>
        <w:ind w:right="0" w:firstLine="567"/>
        <w:jc w:val="both"/>
        <w:spacing w:line="0" w:lineRule="atLeast"/>
      </w:pPr>
      <w:r>
        <w:rPr>
          <w:rFonts w:ascii="Times New Roman" w:hAnsi="Times New Roman" w:cs="Times New Roman"/>
          <w:sz w:val="24"/>
          <w:szCs w:val="24"/>
        </w:rPr>
        <w:t xml:space="preserve">8.5. Договор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 в порядке,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предусмотренном </w:t>
      </w:r>
      <w:hyperlink r:id="rId11" w:tooltip="consultantplus://offline/ref=782E9CC4CCC6932545801925E3B536176E50B53C1FD70BD7655CABC93DB89C271041D8CD019EE29F343B294E112BD805805FEF4CF4B5672237V6P" w:history="1">
        <w:r>
          <w:rPr>
            <w:rStyle w:val="956"/>
            <w:rFonts w:ascii="Times New Roman" w:hAnsi="Times New Roman" w:cs="Times New Roman"/>
            <w:color w:val="000000"/>
            <w:sz w:val="24"/>
            <w:szCs w:val="24"/>
          </w:rPr>
          <w:t xml:space="preserve">частями 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8 - </w:t>
      </w:r>
      <w:hyperlink r:id="rId12" w:tooltip="consultantplus://offline/ref=782E9CC4CCC6932545801925E3B536176E50B53C1FD70BD7655CABC93DB89C271041D8CD019EE692303B294E112BD805805FEF4CF4B5672237V6P" w:history="1">
        <w:r>
          <w:rPr>
            <w:rStyle w:val="956"/>
            <w:rFonts w:ascii="Times New Roman" w:hAnsi="Times New Roman" w:cs="Times New Roman"/>
            <w:color w:val="000000"/>
            <w:sz w:val="24"/>
            <w:szCs w:val="24"/>
          </w:rPr>
          <w:t xml:space="preserve">23 статьи 95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/>
    </w:p>
    <w:p>
      <w:pPr>
        <w:pStyle w:val="979"/>
        <w:ind w:right="0" w:firstLine="567"/>
        <w:jc w:val="both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8.6. Во всем, что не оговорено в Договоре, Стороны руководствуются действующим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79"/>
        <w:ind w:right="0" w:firstLine="567"/>
        <w:jc w:val="both"/>
        <w:spacing w:line="0" w:lineRule="atLeast"/>
      </w:pPr>
      <w:r>
        <w:rPr>
          <w:rFonts w:ascii="Times New Roman" w:hAnsi="Times New Roman" w:cs="Times New Roman"/>
          <w:sz w:val="24"/>
          <w:szCs w:val="24"/>
        </w:rPr>
        <w:t xml:space="preserve">8.7. Настоящий Договор составлен в двух экземплярах, имеющих одинаковую юридическую силу, по одному экземпляру для каждой из Сторон. </w:t>
      </w:r>
      <w:r/>
    </w:p>
    <w:p>
      <w:pPr>
        <w:pStyle w:val="979"/>
        <w:ind w:right="0" w:firstLine="567"/>
        <w:jc w:val="both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8.8. Техническое задание (Приложение № 1) является неотъемлемой частью Договора.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4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4"/>
        <w:jc w:val="center"/>
        <w:rPr>
          <w:rFonts w:eastAsia="Times New Roman"/>
        </w:rPr>
      </w:pPr>
      <w:r>
        <w:rPr>
          <w:b/>
          <w:sz w:val="24"/>
          <w:szCs w:val="24"/>
        </w:rPr>
        <w:t xml:space="preserve">9. ЮРИДИЧЕСКИЕ АДРЕСА, БАНКОВСКИЕ РЕКВИЗИТЫ И ПОДПИСИ СТОРОН</w:t>
      </w:r>
      <w:r>
        <w:rPr>
          <w:rFonts w:eastAsia="Times New Roman"/>
        </w:rPr>
      </w:r>
      <w:r>
        <w:rPr>
          <w:rFonts w:eastAsia="Times New Roman"/>
        </w:rPr>
      </w:r>
    </w:p>
    <w:p>
      <w:pPr>
        <w:pStyle w:val="846"/>
        <w:jc w:val="both"/>
        <w:rPr>
          <w:rFonts w:eastAsia="Times New Roman"/>
          <w:b/>
        </w:rPr>
      </w:pPr>
      <w:r>
        <w:rPr>
          <w:rFonts w:eastAsia="Times New Roman"/>
          <w:b/>
        </w:rPr>
      </w:r>
      <w:r>
        <w:rPr>
          <w:rFonts w:eastAsia="Times New Roman"/>
          <w:b/>
        </w:rPr>
      </w:r>
      <w:r>
        <w:rPr>
          <w:rFonts w:eastAsia="Times New Roman"/>
          <w:b/>
        </w:rPr>
      </w:r>
    </w:p>
    <w:p>
      <w:pPr>
        <w:sectPr>
          <w:headerReference w:type="default" r:id="rId9"/>
          <w:footnotePr/>
          <w:endnotePr/>
          <w:type w:val="nextPage"/>
          <w:pgSz w:w="11906" w:h="16838" w:orient="portrait"/>
          <w:pgMar w:top="709" w:right="1002" w:bottom="993" w:left="852" w:header="284" w:footer="0" w:gutter="0"/>
          <w:cols w:num="1" w:sep="0" w:space="1701" w:equalWidth="1"/>
          <w:docGrid w:linePitch="360"/>
        </w:sectPr>
      </w:pPr>
      <w:r/>
      <w:r/>
    </w:p>
    <w:p>
      <w:pPr>
        <w:pStyle w:val="9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Заказчик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7"/>
        <w:rPr>
          <w:rFonts w:ascii="Times New Roman" w:hAnsi="Times New Roman" w:cs="Times New Roman"/>
          <w:b/>
          <w:bCs/>
          <w:i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Управление Федеральной службы государственной регистрации, кадастра и картографии по Краснодарскому краю</w:t>
      </w:r>
      <w:r>
        <w:rPr>
          <w:rFonts w:ascii="Times New Roman" w:hAnsi="Times New Roman" w:cs="Times New Roman"/>
          <w:b/>
          <w:bCs/>
          <w:i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i/>
          <w:sz w:val="24"/>
          <w:szCs w:val="24"/>
          <w:highlight w:val="none"/>
        </w:rPr>
      </w:r>
    </w:p>
    <w:p>
      <w:pPr>
        <w:pStyle w:val="997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i/>
          <w:sz w:val="24"/>
          <w:szCs w:val="24"/>
        </w:rPr>
      </w:r>
      <w:r>
        <w:rPr>
          <w:rFonts w:ascii="Times New Roman" w:hAnsi="Times New Roman" w:cs="Times New Roman"/>
          <w:b/>
          <w:bCs/>
          <w:i/>
          <w:sz w:val="24"/>
          <w:szCs w:val="24"/>
        </w:rPr>
      </w:r>
    </w:p>
    <w:p>
      <w:pPr>
        <w:pStyle w:val="97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Юр. адрес: г. Краснодар, ул. Ленина, 28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79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1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Тел.: (861) 250-18-35</w:t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</w:p>
    <w:p>
      <w:pPr>
        <w:pStyle w:val="979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1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ИНН 2309090540 КПП 230801001</w:t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</w:p>
    <w:p>
      <w:pPr>
        <w:pStyle w:val="97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ОКЦ №1 ВОЛГО-ВЯТСКОГО</w:t>
      </w:r>
      <w:r>
        <w:rPr>
          <w:rFonts w:ascii="Times New Roman" w:hAnsi="Times New Roman" w:cs="Times New Roman"/>
          <w:sz w:val="24"/>
          <w:szCs w:val="24"/>
        </w:rPr>
        <w:t xml:space="preserve"> ГУ 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7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Банка России</w:t>
      </w:r>
      <w:r>
        <w:rPr>
          <w:rFonts w:ascii="Times New Roman" w:hAnsi="Times New Roman" w:cs="Times New Roman"/>
          <w:sz w:val="24"/>
          <w:szCs w:val="24"/>
        </w:rPr>
        <w:t xml:space="preserve">//</w:t>
      </w:r>
      <w:r>
        <w:rPr>
          <w:rFonts w:ascii="Times New Roman" w:hAnsi="Times New Roman" w:cs="Times New Roman"/>
          <w:sz w:val="24"/>
          <w:szCs w:val="24"/>
        </w:rPr>
        <w:t xml:space="preserve">УФК по Нижегородской области, г. Нижний Новгород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79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1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к/с 40102810745370000024</w:t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</w:p>
    <w:p>
      <w:pPr>
        <w:pStyle w:val="979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4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БИК 012202102</w:t>
      </w:r>
      <w:r>
        <w:rPr>
          <w:rFonts w:ascii="Times New Roman" w:hAnsi="Times New Roman" w:cs="Times New Roman"/>
          <w:spacing w:val="-4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4"/>
          <w:sz w:val="24"/>
          <w:szCs w:val="24"/>
          <w14:ligatures w14:val="none"/>
        </w:rPr>
      </w:r>
    </w:p>
    <w:p>
      <w:pPr>
        <w:pStyle w:val="979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1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Лицевой счет 03181А28350</w:t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</w:p>
    <w:p>
      <w:pPr>
        <w:pStyle w:val="97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р/с 03211643000000013241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Заместитель руководителя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_____________/______________/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м.п.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4361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361"/>
      </w:tblGrid>
      <w:tr>
        <w:tblPrEx/>
        <w:trPr>
          <w:trHeight w:val="4232"/>
        </w:trPr>
        <w:tc>
          <w:tcPr>
            <w:tcW w:w="4361" w:type="dxa"/>
            <w:textDirection w:val="lrTb"/>
            <w:noWrap w:val="false"/>
          </w:tcPr>
          <w:p>
            <w:pPr>
              <w:pStyle w:val="9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Style w:val="9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Style w:val="9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7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 /_______________/</w:t>
            </w:r>
            <w:r/>
          </w:p>
          <w:p>
            <w:pPr>
              <w:pStyle w:val="9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м.п.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sectPr>
          <w:footnotePr/>
          <w:endnotePr/>
          <w:type w:val="continuous"/>
          <w:pgSz w:w="11906" w:h="16838" w:orient="portrait"/>
          <w:pgMar w:top="709" w:right="1002" w:bottom="993" w:left="852" w:header="284" w:footer="0" w:gutter="0"/>
          <w:cols w:num="2" w:sep="0" w:space="720" w:equalWidth="1"/>
          <w:docGrid w:linePitch="360"/>
        </w:sectPr>
      </w:pPr>
      <w:r/>
      <w:r/>
    </w:p>
    <w:p>
      <w:pPr>
        <w:pStyle w:val="96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4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4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1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Договору № 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jc w:val="right"/>
      </w:pPr>
      <w:r>
        <w:rPr>
          <w:sz w:val="24"/>
          <w:szCs w:val="24"/>
        </w:rPr>
        <w:t xml:space="preserve">«____» _____________ 2026</w:t>
      </w:r>
      <w:r>
        <w:rPr>
          <w:sz w:val="24"/>
          <w:szCs w:val="24"/>
        </w:rPr>
        <w:t xml:space="preserve">г.</w:t>
      </w:r>
      <w:r/>
    </w:p>
    <w:p>
      <w:pPr>
        <w:pStyle w:val="99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cs="Times New Roman"/>
          <w:b/>
          <w:sz w:val="28"/>
          <w:szCs w:val="28"/>
          <w:lang w:eastAsia="ru-RU"/>
        </w:rPr>
      </w:r>
    </w:p>
    <w:p>
      <w:pPr>
        <w:pStyle w:val="9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5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на оказание услуг по </w:t>
      </w:r>
      <w:r>
        <w:rPr>
          <w:b/>
          <w:bCs/>
          <w:sz w:val="27"/>
          <w:szCs w:val="27"/>
        </w:rPr>
        <w:t xml:space="preserve">техническому обслуживанию газопровода</w:t>
      </w:r>
      <w:r>
        <w:rPr>
          <w:b/>
          <w:bCs/>
          <w:sz w:val="27"/>
          <w:szCs w:val="27"/>
        </w:rPr>
        <w:br/>
        <w:t xml:space="preserve"> и газового оборудования (поверка сигнализатора загазованности)</w:t>
      </w:r>
      <w:r>
        <w:rPr>
          <w:b/>
          <w:sz w:val="27"/>
          <w:szCs w:val="27"/>
        </w:rPr>
      </w:r>
      <w:r>
        <w:rPr>
          <w:b/>
          <w:sz w:val="27"/>
          <w:szCs w:val="27"/>
        </w:rPr>
      </w:r>
    </w:p>
    <w:p>
      <w:pPr>
        <w:pStyle w:val="850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>
        <w:rPr>
          <w:b/>
          <w:sz w:val="27"/>
          <w:szCs w:val="27"/>
        </w:rPr>
      </w:r>
    </w:p>
    <w:p>
      <w:pPr>
        <w:pStyle w:val="850"/>
        <w:jc w:val="both"/>
        <w:rPr>
          <w:b/>
        </w:rPr>
      </w:pPr>
      <w:r>
        <w:rPr>
          <w:b/>
        </w:rPr>
        <w:t xml:space="preserve">Наименование, место нахождение</w:t>
      </w:r>
      <w:r>
        <w:rPr>
          <w:b/>
        </w:rPr>
        <w:t xml:space="preserve">, почтовый адрес Заказчика</w:t>
      </w:r>
      <w:r>
        <w:t xml:space="preserve"> </w:t>
      </w:r>
      <w:r>
        <w:rPr>
          <w:b/>
        </w:rPr>
      </w:r>
      <w:r>
        <w:rPr>
          <w:b/>
        </w:rPr>
      </w:r>
    </w:p>
    <w:p>
      <w:pPr>
        <w:pStyle w:val="850"/>
        <w:jc w:val="both"/>
        <w:rPr>
          <w:b/>
        </w:rPr>
      </w:pPr>
      <w:r>
        <w:t xml:space="preserve">Управление Федеральной службы государственной регистрации, кадастра и картографии по Краснодарскому краю </w:t>
      </w:r>
      <w:r>
        <w:rPr>
          <w:b/>
        </w:rPr>
      </w:r>
      <w:r>
        <w:rPr>
          <w:b/>
        </w:rPr>
      </w:r>
    </w:p>
    <w:p>
      <w:pPr>
        <w:pStyle w:val="850"/>
        <w:jc w:val="both"/>
      </w:pPr>
      <w:r>
        <w:t xml:space="preserve">Место нахождения: </w:t>
      </w:r>
      <w:r>
        <w:rPr>
          <w:color w:val="000000"/>
        </w:rPr>
        <w:t xml:space="preserve">350063, г. Краснодар, ул. Ленина, д. 28</w:t>
      </w:r>
      <w:r/>
    </w:p>
    <w:p>
      <w:pPr>
        <w:pStyle w:val="850"/>
        <w:jc w:val="both"/>
      </w:pPr>
      <w:r>
        <w:t xml:space="preserve">Почтовый адрес: </w:t>
      </w:r>
      <w:r>
        <w:rPr>
          <w:color w:val="000000"/>
        </w:rPr>
        <w:t xml:space="preserve">350063, г. Краснодар, ул. Ленина, д. 28</w:t>
      </w:r>
      <w:r/>
    </w:p>
    <w:p>
      <w:pPr>
        <w:pStyle w:val="850"/>
        <w:jc w:val="both"/>
      </w:pPr>
      <w:r/>
      <w:r/>
    </w:p>
    <w:p>
      <w:pPr>
        <w:pStyle w:val="850"/>
        <w:jc w:val="both"/>
        <w:rPr>
          <w:b/>
        </w:rPr>
      </w:pPr>
      <w:r>
        <w:rPr>
          <w:b/>
        </w:rPr>
        <w:t xml:space="preserve">Наименование </w:t>
      </w:r>
      <w:r>
        <w:rPr>
          <w:b/>
        </w:rPr>
        <w:t xml:space="preserve">объекта закупки</w:t>
      </w:r>
      <w:r>
        <w:rPr>
          <w:b/>
        </w:rPr>
      </w:r>
      <w:r>
        <w:rPr>
          <w:b/>
        </w:rPr>
      </w:r>
    </w:p>
    <w:p>
      <w:pPr>
        <w:pStyle w:val="850"/>
        <w:jc w:val="both"/>
      </w:pPr>
      <w:r>
        <w:t xml:space="preserve">Оказание </w:t>
      </w:r>
      <w:r>
        <w:t xml:space="preserve">услуг по </w:t>
      </w:r>
      <w:r>
        <w:t xml:space="preserve">поверке сигнализатора загазованности </w:t>
      </w:r>
      <w:r>
        <w:t xml:space="preserve">в количестве </w:t>
      </w:r>
      <w:r>
        <w:rPr>
          <w:u w:val="single"/>
        </w:rPr>
        <w:t xml:space="preserve">1 (одна)</w:t>
      </w:r>
      <w:r>
        <w:t xml:space="preserve"> штука </w:t>
      </w:r>
      <w:r>
        <w:t xml:space="preserve">с выдачей свидетельства о поверке</w:t>
      </w:r>
      <w:r>
        <w:t xml:space="preserve">.</w:t>
      </w:r>
      <w:r/>
    </w:p>
    <w:p>
      <w:pPr>
        <w:pStyle w:val="850"/>
        <w:jc w:val="both"/>
      </w:pPr>
      <w:r/>
      <w:r/>
    </w:p>
    <w:p>
      <w:pPr>
        <w:pStyle w:val="85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оказания услуги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961"/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ст.  Каневская, ул. Длинная, д. 184</w:t>
      </w:r>
      <w:r>
        <w:rPr>
          <w:rStyle w:val="961"/>
          <w:rFonts w:ascii="Times New Roman" w:hAnsi="Times New Roman" w:eastAsia="Calibri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850"/>
        <w:jc w:val="both"/>
        <w:rPr>
          <w:b/>
        </w:rPr>
      </w:pPr>
      <w:r>
        <w:rPr>
          <w:b/>
        </w:rPr>
        <w:t xml:space="preserve">Сроки оказания услуг</w:t>
      </w:r>
      <w:r>
        <w:rPr>
          <w:b/>
        </w:rPr>
      </w:r>
      <w:r>
        <w:rPr>
          <w:b/>
        </w:rPr>
      </w:r>
    </w:p>
    <w:p>
      <w:pPr>
        <w:pStyle w:val="850"/>
        <w:jc w:val="both"/>
      </w:pPr>
      <w:r>
        <w:t xml:space="preserve">Услуги оказываются с момента заключения Договора до 15.10.202</w:t>
      </w:r>
      <w:r>
        <w:t xml:space="preserve">6</w:t>
      </w:r>
      <w:r>
        <w:t xml:space="preserve"> года.</w:t>
      </w:r>
      <w:r/>
    </w:p>
    <w:p>
      <w:pPr>
        <w:pStyle w:val="850"/>
        <w:jc w:val="both"/>
      </w:pPr>
      <w:r/>
      <w:r/>
    </w:p>
    <w:p>
      <w:pPr>
        <w:pStyle w:val="850"/>
        <w:jc w:val="both"/>
        <w:rPr>
          <w:b/>
        </w:rPr>
      </w:pPr>
      <w:r>
        <w:rPr>
          <w:b/>
        </w:rPr>
        <w:t xml:space="preserve"> </w:t>
      </w:r>
      <w:r>
        <w:rPr>
          <w:b/>
        </w:rPr>
        <w:t xml:space="preserve">Цель закупки </w:t>
      </w:r>
      <w:r>
        <w:rPr>
          <w:b/>
        </w:rPr>
      </w:r>
      <w:r>
        <w:rPr>
          <w:b/>
        </w:rPr>
      </w:r>
    </w:p>
    <w:p>
      <w:pPr>
        <w:pStyle w:val="850"/>
        <w:jc w:val="both"/>
      </w:pPr>
      <w:r>
        <w:t xml:space="preserve">Выдача свидетельства о поверке </w:t>
      </w:r>
      <w:r>
        <w:t xml:space="preserve">сигнализатора в целях подготовки газового оборудования теплоузла к отопительному сезону</w:t>
      </w:r>
      <w:r>
        <w:t xml:space="preserve">.</w:t>
      </w:r>
      <w:r/>
    </w:p>
    <w:p>
      <w:pPr>
        <w:pStyle w:val="850"/>
        <w:jc w:val="both"/>
      </w:pPr>
      <w:r/>
      <w:r/>
    </w:p>
    <w:p>
      <w:pPr>
        <w:pStyle w:val="850"/>
        <w:jc w:val="both"/>
        <w:rPr>
          <w:b/>
        </w:rPr>
      </w:pPr>
      <w:r>
        <w:rPr>
          <w:b/>
        </w:rPr>
        <w:t xml:space="preserve">Требования к функциональным, техническим, качественным и эксплуатационным характеристикам </w:t>
      </w:r>
      <w:r>
        <w:rPr>
          <w:b/>
        </w:rPr>
      </w:r>
      <w:r>
        <w:rPr>
          <w:b/>
        </w:rPr>
      </w:r>
    </w:p>
    <w:p>
      <w:pPr>
        <w:pStyle w:val="850"/>
        <w:jc w:val="both"/>
      </w:pPr>
      <w:r>
        <w:t xml:space="preserve">Услуги по поверке газоанализаторов загазованности выполняются в целях определения соответствия средств измерений заявленным метр</w:t>
      </w:r>
      <w:bookmarkStart w:id="0" w:name="undefined"/>
      <w:r/>
      <w:bookmarkEnd w:id="0"/>
      <w:r>
        <w:t xml:space="preserve">ологическим требованиям. </w:t>
      </w:r>
      <w:r/>
    </w:p>
    <w:p>
      <w:pPr>
        <w:pStyle w:val="850"/>
        <w:jc w:val="both"/>
      </w:pPr>
      <w:r>
        <w:t xml:space="preserve">По результатам поверки средств измерения оформляется свидетельство о поверке государственного образца.</w:t>
      </w:r>
      <w:r/>
    </w:p>
    <w:p>
      <w:pPr>
        <w:pStyle w:val="850"/>
        <w:jc w:val="both"/>
      </w:pPr>
      <w:r>
        <w:t xml:space="preserve">При положительных результатах выдается свидетельство о поверке и вносится открытая запись в информационный фонд. </w:t>
      </w:r>
      <w:r/>
    </w:p>
    <w:p>
      <w:pPr>
        <w:pStyle w:val="850"/>
        <w:jc w:val="both"/>
      </w:pPr>
      <w:r/>
      <w:r/>
    </w:p>
    <w:p>
      <w:pPr>
        <w:pStyle w:val="850"/>
        <w:jc w:val="both"/>
        <w:rPr>
          <w:b/>
        </w:rPr>
      </w:pPr>
      <w:r>
        <w:rPr>
          <w:b/>
        </w:rPr>
        <w:t xml:space="preserve">Требования к количеству или объему закупаемых товаров, работ, услуг</w:t>
      </w:r>
      <w:r>
        <w:rPr>
          <w:b/>
        </w:rPr>
      </w:r>
      <w:r>
        <w:rPr>
          <w:b/>
        </w:rPr>
      </w:r>
    </w:p>
    <w:p>
      <w:pPr>
        <w:pStyle w:val="850"/>
        <w:jc w:val="both"/>
      </w:pPr>
      <w:r>
        <w:t xml:space="preserve">Поверка сигнализатора загазованности с выдачей свидетельства о поверке.</w:t>
      </w:r>
      <w:r/>
    </w:p>
    <w:p>
      <w:pPr>
        <w:pStyle w:val="850"/>
        <w:jc w:val="both"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85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Требования к Исполнителю работ по оперативному и техническому обслуживанию:</w:t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850"/>
        <w:jc w:val="both"/>
      </w:pPr>
      <w:r>
        <w:t xml:space="preserve">1. Исполнитель должен быть аккредитован на право проведения поверки сигнализаторов загазованности и иметь соответствующие допуски и лицензии на право выполнения соответствующих видов работ.</w:t>
      </w:r>
      <w:r/>
    </w:p>
    <w:p>
      <w:pPr>
        <w:pStyle w:val="850"/>
        <w:jc w:val="both"/>
      </w:pPr>
      <w:r>
        <w:t xml:space="preserve">2. Исполнитель должен гарантировать, что персонал, назначенный для оказания услуг, имеет соответствующую квалификацию для безопасного и корректного выполнения возложенных на него задач.</w:t>
      </w:r>
      <w:r/>
    </w:p>
    <w:p>
      <w:pPr>
        <w:pStyle w:val="850"/>
        <w:jc w:val="both"/>
      </w:pPr>
      <w:r>
        <w:t xml:space="preserve">3. Результатом оказания услуг по поверке сигнализаторов загазованности является выдача свидетельства о поверке</w:t>
      </w:r>
      <w:r>
        <w:t xml:space="preserve"> прибора</w:t>
      </w:r>
      <w:r>
        <w:t xml:space="preserve">.</w:t>
      </w:r>
      <w:r/>
    </w:p>
    <w:p>
      <w:pPr>
        <w:pStyle w:val="850"/>
        <w:jc w:val="both"/>
      </w:pPr>
      <w:r/>
      <w:r/>
    </w:p>
    <w:p>
      <w:pPr>
        <w:pStyle w:val="850"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850"/>
        <w:jc w:val="both"/>
        <w:rPr>
          <w:b/>
          <w:bCs/>
        </w:rPr>
      </w:pPr>
      <w:r>
        <w:rPr>
          <w:b/>
          <w:bCs/>
        </w:rPr>
        <w:t xml:space="preserve">Требования к безопасности выполнения работ и безопасности результатов работ:</w:t>
      </w:r>
      <w:r>
        <w:rPr>
          <w:b/>
          <w:bCs/>
        </w:rPr>
      </w:r>
      <w:r>
        <w:rPr>
          <w:b/>
          <w:bCs/>
        </w:rPr>
      </w:r>
    </w:p>
    <w:p>
      <w:pPr>
        <w:pStyle w:val="850"/>
        <w:jc w:val="both"/>
      </w:pPr>
      <w:r>
        <w:t xml:space="preserve">1. Обеспечить состав бригады численностью не менее двух человек при проведении работ.</w:t>
      </w:r>
      <w:r/>
    </w:p>
    <w:p>
      <w:pPr>
        <w:pStyle w:val="850"/>
        <w:jc w:val="both"/>
      </w:pPr>
      <w:r>
        <w:t xml:space="preserve">2. Обеспечить использование всеми членами бригады средств индивидуальной защиты, в соответствии с Правилами обеспечения работников однообразной специальной одеждой, специальной обувью и другими средствами индивидуальной защиты (СИЗ).</w:t>
      </w:r>
      <w:r/>
    </w:p>
    <w:p>
      <w:pPr>
        <w:pStyle w:val="850"/>
        <w:jc w:val="both"/>
      </w:pPr>
      <w:r>
        <w:t xml:space="preserve">3. Обеспечить использование членами бригады исправного инструмента, прошедшего соответствующие проверки (проверка ручного и электроинструмента в соответствии с нормативными требованиями, поверка используемых средств измерений).</w:t>
      </w:r>
      <w:r/>
    </w:p>
    <w:p>
      <w:pPr>
        <w:pStyle w:val="850"/>
        <w:jc w:val="both"/>
      </w:pPr>
      <w:r/>
      <w:r/>
    </w:p>
    <w:p>
      <w:pPr>
        <w:pStyle w:val="850"/>
        <w:jc w:val="both"/>
      </w:pPr>
      <w:r/>
      <w:r/>
    </w:p>
    <w:p>
      <w:pPr>
        <w:pStyle w:val="850"/>
        <w:jc w:val="both"/>
        <w:rPr>
          <w:b/>
        </w:rPr>
      </w:pPr>
      <w:r>
        <w:rPr>
          <w:b/>
        </w:rPr>
        <w:t xml:space="preserve">Порядок сдачи и приемки товара, выполненных работ, оказанных услуг </w:t>
      </w:r>
      <w:r>
        <w:rPr>
          <w:b/>
        </w:rPr>
      </w:r>
      <w:r>
        <w:rPr>
          <w:b/>
        </w:rPr>
      </w:r>
    </w:p>
    <w:p>
      <w:pPr>
        <w:pStyle w:val="850"/>
        <w:jc w:val="both"/>
      </w:pPr>
      <w:r>
        <w:t xml:space="preserve">1. Сдача и приемка оказанных услуг осуществляется на основании акта оказанных услуг.</w:t>
      </w:r>
      <w:r/>
    </w:p>
    <w:p>
      <w:pPr>
        <w:pStyle w:val="850"/>
        <w:jc w:val="both"/>
      </w:pPr>
      <w:r>
        <w:t xml:space="preserve">2. При наличии замечаний по качеству и (или) объему оказанных услуг, Заказчик оформляет соответствующий акт.</w:t>
      </w:r>
      <w:r/>
    </w:p>
    <w:p>
      <w:pPr>
        <w:pStyle w:val="850"/>
        <w:jc w:val="both"/>
      </w:pPr>
      <w:r>
        <w:t xml:space="preserve">3. Услуги считаются оказанными с момента подписания Заказчиком акта оказанных услуг без замечаний.</w:t>
      </w:r>
      <w:r/>
    </w:p>
    <w:p>
      <w:pPr>
        <w:pStyle w:val="850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50"/>
        <w:jc w:val="both"/>
      </w:pPr>
      <w:r>
        <w:rPr>
          <w:b/>
        </w:rPr>
        <w:t xml:space="preserve">Уполномоченный представитель Заказчика:</w:t>
      </w:r>
      <w:r>
        <w:t xml:space="preserve"> главный специалист-эксперт отдела материально-технического обеспечения Управления Федеральной службы государственной регистрации, кадастра и картографии по Краснодарскому краю </w:t>
      </w:r>
      <w:r>
        <w:br/>
      </w:r>
      <w:r>
        <w:t xml:space="preserve">Павлун Антон Анатольевич, тел. (861) 250-18-35 доб. 3775.</w:t>
      </w:r>
      <w:r/>
    </w:p>
    <w:p>
      <w:pPr>
        <w:pStyle w:val="850"/>
      </w:pPr>
      <w:r/>
      <w:r/>
    </w:p>
    <w:p>
      <w:pPr>
        <w:pStyle w:val="997"/>
        <w:jc w:val="both"/>
      </w:pPr>
      <w:r/>
      <w:r/>
    </w:p>
    <w:p>
      <w:pPr>
        <w:sectPr>
          <w:footnotePr/>
          <w:endnotePr/>
          <w:type w:val="continuous"/>
          <w:pgSz w:w="11906" w:h="16838" w:orient="portrait"/>
          <w:pgMar w:top="709" w:right="1002" w:bottom="993" w:left="852" w:header="284" w:footer="0" w:gutter="0"/>
          <w:cols w:num="1" w:sep="0" w:space="1701" w:equalWidth="1"/>
          <w:docGrid w:linePitch="360"/>
        </w:sectPr>
      </w:pPr>
      <w:r/>
      <w:r/>
    </w:p>
    <w:p>
      <w:pPr>
        <w:pStyle w:val="9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руководителя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_____________/______________/</w:t>
      </w:r>
      <w:r/>
    </w:p>
    <w:p>
      <w:pPr>
        <w:pStyle w:val="9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м.п.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7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Исполнитель</w:t>
      </w:r>
      <w:r/>
    </w:p>
    <w:p>
      <w:pPr>
        <w:pStyle w:val="9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7"/>
        <w:jc w:val="both"/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______________ / ____________ /</w:t>
      </w:r>
      <w:r/>
    </w:p>
    <w:p>
      <w:pPr>
        <w:pStyle w:val="997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</w:t>
      </w:r>
      <w:r>
        <w:rPr>
          <w:rFonts w:eastAsia="Times New Roman"/>
        </w:rPr>
        <w:t xml:space="preserve">    </w:t>
      </w:r>
      <w:r>
        <w:t xml:space="preserve">м.п.</w:t>
      </w:r>
      <w:r/>
    </w:p>
    <w:p>
      <w:pPr>
        <w:sectPr>
          <w:footnotePr/>
          <w:endnotePr/>
          <w:type w:val="continuous"/>
          <w:pgSz w:w="11906" w:h="16838" w:orient="portrait"/>
          <w:pgMar w:top="709" w:right="1002" w:bottom="993" w:left="852" w:header="284" w:footer="0" w:gutter="0"/>
          <w:cols w:num="2" w:sep="0" w:space="720" w:equalWidth="1"/>
          <w:docGrid w:linePitch="360"/>
        </w:sectPr>
      </w:pPr>
      <w:r/>
      <w:r/>
    </w:p>
    <w:p>
      <w:pPr>
        <w:pStyle w:val="964"/>
        <w:jc w:val="right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      </w:t>
      </w:r>
      <w:r>
        <w:rPr>
          <w:rFonts w:eastAsia="Times New Roman"/>
          <w:bCs/>
          <w:sz w:val="24"/>
          <w:szCs w:val="24"/>
        </w:rPr>
      </w:r>
      <w:r>
        <w:rPr>
          <w:rFonts w:eastAsia="Times New Roman"/>
          <w:bCs/>
          <w:sz w:val="24"/>
          <w:szCs w:val="24"/>
        </w:rPr>
      </w:r>
    </w:p>
    <w:sectPr>
      <w:footnotePr/>
      <w:endnotePr/>
      <w:type w:val="continuous"/>
      <w:pgSz w:w="11906" w:h="16838" w:orient="portrait"/>
      <w:pgMar w:top="709" w:right="1004" w:bottom="993" w:left="851" w:header="284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Mangal">
    <w:panose1 w:val="02040503050406030204"/>
  </w:font>
  <w:font w:name="Lucida Sans Unicode">
    <w:panose1 w:val="020B0602040504020204"/>
  </w:font>
  <w:font w:name="Verdan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Liberation Sans">
    <w:panose1 w:val="020B0604020202020204"/>
  </w:font>
  <w:font w:name="Nimbus Sans L;Arial">
    <w:panose1 w:val="00000500000000000000"/>
  </w:font>
  <w:font w:name="Tahoma">
    <w:panose1 w:val="020B0604030504040204"/>
  </w:font>
  <w:font w:name="Cambria">
    <w:panose1 w:val="02040503050406030204"/>
  </w:font>
  <w:font w:name="Noto Sans Devanagari">
    <w:panose1 w:val="020B0502040504020204"/>
  </w:font>
  <w:font w:name="Liberation Serif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5"/>
      <w:jc w:val="center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847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pStyle w:val="848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pStyle w:val="849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pStyle w:val="983"/>
      <w:isLgl w:val="false"/>
      <w:suff w:val="tab"/>
      <w:lvlText w:val="%1."/>
      <w:lvlJc w:val="center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2"/>
      <w:lvlJc w:val="left"/>
      <w:pPr>
        <w:ind w:left="513" w:firstLine="567"/>
        <w:tabs>
          <w:tab w:val="num" w:pos="1931" w:leader="none"/>
        </w:tabs>
      </w:pPr>
      <w:rPr>
        <w:rFonts w:ascii="Times New Roman" w:hAnsi="Times New Roman" w:eastAsia="Times New Roman" w:cs="Times New Roman"/>
        <w:i w:val="0"/>
        <w:iCs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567"/>
        <w:tabs>
          <w:tab w:val="num" w:pos="1418" w:leader="none"/>
        </w:tabs>
      </w:pPr>
    </w:lvl>
    <w:lvl w:ilvl="3">
      <w:start w:val="1"/>
      <w:numFmt w:val="decimal"/>
      <w:isLgl w:val="false"/>
      <w:suff w:val="tab"/>
      <w:lvlText w:val="%4)"/>
      <w:lvlJc w:val="left"/>
      <w:pPr>
        <w:ind w:left="567" w:firstLine="567"/>
        <w:tabs>
          <w:tab w:val="num" w:pos="851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43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57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68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7560" w:leader="none"/>
        </w:tabs>
      </w:pPr>
    </w:lvl>
  </w:abstractNum>
  <w:abstractNum w:abstractNumId="2">
    <w:multiLevelType w:val="hybridMultilevel"/>
    <w:lvl w:ilvl="0">
      <w:start w:val="1"/>
      <w:numFmt w:val="decimal"/>
      <w:pStyle w:val="987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  <w:rPr>
        <w:b/>
        <w:i w:val="0"/>
        <w:color w:val="000000"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672" w:hanging="432"/>
        <w:tabs>
          <w:tab w:val="num" w:pos="0" w:leader="none"/>
        </w:tabs>
      </w:pPr>
      <w:rPr>
        <w:b/>
        <w:i w:val="0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decimal"/>
      <w:isLgl/>
      <w:suff w:val="tab"/>
      <w:lvlText w:val="%1.%2."/>
      <w:lvlJc w:val="left"/>
      <w:pPr>
        <w:ind w:left="1140" w:hanging="435"/>
        <w:tabs>
          <w:tab w:val="num" w:pos="0" w:leader="none"/>
        </w:tabs>
      </w:pPr>
    </w:lvl>
    <w:lvl w:ilvl="2">
      <w:start w:val="1"/>
      <w:numFmt w:val="decimal"/>
      <w:isLgl/>
      <w:suff w:val="tab"/>
      <w:lvlText w:val="%1.%2.%3."/>
      <w:lvlJc w:val="left"/>
      <w:pPr>
        <w:ind w:left="1770" w:hanging="720"/>
        <w:tabs>
          <w:tab w:val="num" w:pos="0" w:leader="none"/>
        </w:tabs>
      </w:pPr>
    </w:lvl>
    <w:lvl w:ilvl="3">
      <w:start w:val="1"/>
      <w:numFmt w:val="decimal"/>
      <w:isLgl/>
      <w:suff w:val="tab"/>
      <w:lvlText w:val="%1.%2.%3.%4."/>
      <w:lvlJc w:val="left"/>
      <w:pPr>
        <w:ind w:left="2115" w:hanging="720"/>
        <w:tabs>
          <w:tab w:val="num" w:pos="0" w:leader="none"/>
        </w:tabs>
      </w:pPr>
    </w:lvl>
    <w:lvl w:ilvl="4">
      <w:start w:val="1"/>
      <w:numFmt w:val="decimal"/>
      <w:isLgl/>
      <w:suff w:val="tab"/>
      <w:lvlText w:val="%1.%2.%3.%4.%5."/>
      <w:lvlJc w:val="left"/>
      <w:pPr>
        <w:ind w:left="2820" w:hanging="1080"/>
        <w:tabs>
          <w:tab w:val="num" w:pos="0" w:leader="none"/>
        </w:tabs>
      </w:pPr>
    </w:lvl>
    <w:lvl w:ilvl="5">
      <w:start w:val="1"/>
      <w:numFmt w:val="decimal"/>
      <w:isLgl/>
      <w:suff w:val="tab"/>
      <w:lvlText w:val="%1.%2.%3.%4.%5.%6."/>
      <w:lvlJc w:val="left"/>
      <w:pPr>
        <w:ind w:left="3165" w:hanging="1080"/>
        <w:tabs>
          <w:tab w:val="num" w:pos="0" w:leader="none"/>
        </w:tabs>
      </w:pPr>
    </w:lvl>
    <w:lvl w:ilvl="6">
      <w:start w:val="1"/>
      <w:numFmt w:val="decimal"/>
      <w:isLgl/>
      <w:suff w:val="tab"/>
      <w:lvlText w:val="%1.%2.%3.%4.%5.%6.%7."/>
      <w:lvlJc w:val="left"/>
      <w:pPr>
        <w:ind w:left="3870" w:hanging="1440"/>
        <w:tabs>
          <w:tab w:val="num" w:pos="0" w:leader="none"/>
        </w:tabs>
      </w:pPr>
    </w:lvl>
    <w:lvl w:ilvl="7">
      <w:start w:val="1"/>
      <w:numFmt w:val="decimal"/>
      <w:isLgl/>
      <w:suff w:val="tab"/>
      <w:lvlText w:val="%1.%2.%3.%4.%5.%6.%7.%8."/>
      <w:lvlJc w:val="left"/>
      <w:pPr>
        <w:ind w:left="4215" w:hanging="1440"/>
        <w:tabs>
          <w:tab w:val="num" w:pos="0" w:leader="none"/>
        </w:tabs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4920" w:hanging="1800"/>
        <w:tabs>
          <w:tab w:val="num" w:pos="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decimal"/>
      <w:isLgl/>
      <w:suff w:val="tab"/>
      <w:lvlText w:val="%1.%2."/>
      <w:lvlJc w:val="left"/>
      <w:pPr>
        <w:ind w:left="1140" w:hanging="435"/>
        <w:tabs>
          <w:tab w:val="num" w:pos="0" w:leader="none"/>
        </w:tabs>
      </w:pPr>
    </w:lvl>
    <w:lvl w:ilvl="2">
      <w:start w:val="1"/>
      <w:numFmt w:val="decimal"/>
      <w:isLgl/>
      <w:suff w:val="tab"/>
      <w:lvlText w:val="%1.%2.%3."/>
      <w:lvlJc w:val="left"/>
      <w:pPr>
        <w:ind w:left="1770" w:hanging="720"/>
        <w:tabs>
          <w:tab w:val="num" w:pos="0" w:leader="none"/>
        </w:tabs>
      </w:pPr>
    </w:lvl>
    <w:lvl w:ilvl="3">
      <w:start w:val="1"/>
      <w:numFmt w:val="decimal"/>
      <w:isLgl/>
      <w:suff w:val="tab"/>
      <w:lvlText w:val="%1.%2.%3.%4."/>
      <w:lvlJc w:val="left"/>
      <w:pPr>
        <w:ind w:left="2115" w:hanging="720"/>
        <w:tabs>
          <w:tab w:val="num" w:pos="0" w:leader="none"/>
        </w:tabs>
      </w:pPr>
    </w:lvl>
    <w:lvl w:ilvl="4">
      <w:start w:val="1"/>
      <w:numFmt w:val="decimal"/>
      <w:isLgl/>
      <w:suff w:val="tab"/>
      <w:lvlText w:val="%1.%2.%3.%4.%5."/>
      <w:lvlJc w:val="left"/>
      <w:pPr>
        <w:ind w:left="2820" w:hanging="1080"/>
        <w:tabs>
          <w:tab w:val="num" w:pos="0" w:leader="none"/>
        </w:tabs>
      </w:pPr>
    </w:lvl>
    <w:lvl w:ilvl="5">
      <w:start w:val="1"/>
      <w:numFmt w:val="decimal"/>
      <w:isLgl/>
      <w:suff w:val="tab"/>
      <w:lvlText w:val="%1.%2.%3.%4.%5.%6."/>
      <w:lvlJc w:val="left"/>
      <w:pPr>
        <w:ind w:left="3165" w:hanging="1080"/>
        <w:tabs>
          <w:tab w:val="num" w:pos="0" w:leader="none"/>
        </w:tabs>
      </w:pPr>
    </w:lvl>
    <w:lvl w:ilvl="6">
      <w:start w:val="1"/>
      <w:numFmt w:val="decimal"/>
      <w:isLgl/>
      <w:suff w:val="tab"/>
      <w:lvlText w:val="%1.%2.%3.%4.%5.%6.%7."/>
      <w:lvlJc w:val="left"/>
      <w:pPr>
        <w:ind w:left="3870" w:hanging="1440"/>
        <w:tabs>
          <w:tab w:val="num" w:pos="0" w:leader="none"/>
        </w:tabs>
      </w:pPr>
    </w:lvl>
    <w:lvl w:ilvl="7">
      <w:start w:val="1"/>
      <w:numFmt w:val="decimal"/>
      <w:isLgl/>
      <w:suff w:val="tab"/>
      <w:lvlText w:val="%1.%2.%3.%4.%5.%6.%7.%8."/>
      <w:lvlJc w:val="left"/>
      <w:pPr>
        <w:ind w:left="4215" w:hanging="1440"/>
        <w:tabs>
          <w:tab w:val="num" w:pos="0" w:leader="none"/>
        </w:tabs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4920" w:hanging="180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 w:val="true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Tahoma" w:cs="Noto Sans Devanagari"/>
        <w:sz w:val="24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5">
    <w:name w:val="Heading 1 Char"/>
    <w:link w:val="847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76">
    <w:name w:val="Heading 2 Char"/>
    <w:link w:val="848"/>
    <w:uiPriority w:val="9"/>
    <w:rPr>
      <w:rFonts w:ascii="Liberation Sans" w:hAnsi="Liberation Sans" w:eastAsia="Liberation Sans" w:cs="Liberation Sans"/>
      <w:sz w:val="34"/>
    </w:rPr>
  </w:style>
  <w:style w:type="paragraph" w:styleId="677">
    <w:name w:val="Heading 3"/>
    <w:basedOn w:val="846"/>
    <w:next w:val="846"/>
    <w:link w:val="678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78">
    <w:name w:val="Heading 3 Char"/>
    <w:link w:val="67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79">
    <w:name w:val="Heading 4 Char"/>
    <w:link w:val="84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0">
    <w:name w:val="Heading 5"/>
    <w:basedOn w:val="846"/>
    <w:next w:val="846"/>
    <w:link w:val="681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1">
    <w:name w:val="Heading 5 Char"/>
    <w:link w:val="680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82">
    <w:name w:val="Heading 6"/>
    <w:basedOn w:val="846"/>
    <w:next w:val="846"/>
    <w:link w:val="683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3">
    <w:name w:val="Heading 6 Char"/>
    <w:link w:val="68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84">
    <w:name w:val="Heading 7"/>
    <w:basedOn w:val="846"/>
    <w:next w:val="846"/>
    <w:link w:val="685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5">
    <w:name w:val="Heading 7 Char"/>
    <w:link w:val="68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6">
    <w:name w:val="Heading 8"/>
    <w:basedOn w:val="846"/>
    <w:next w:val="846"/>
    <w:link w:val="687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7">
    <w:name w:val="Heading 8 Char"/>
    <w:link w:val="68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8">
    <w:name w:val="Heading 9"/>
    <w:basedOn w:val="846"/>
    <w:next w:val="846"/>
    <w:link w:val="689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9">
    <w:name w:val="Heading 9 Char"/>
    <w:link w:val="688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0">
    <w:name w:val="List Paragraph"/>
    <w:basedOn w:val="846"/>
    <w:uiPriority w:val="34"/>
    <w:qFormat/>
    <w:pPr>
      <w:contextualSpacing/>
      <w:ind w:left="720"/>
    </w:pPr>
  </w:style>
  <w:style w:type="paragraph" w:styleId="691">
    <w:name w:val="No Spacing"/>
    <w:uiPriority w:val="1"/>
    <w:qFormat/>
    <w:pPr>
      <w:spacing w:before="0" w:after="0" w:line="240" w:lineRule="auto"/>
    </w:pPr>
  </w:style>
  <w:style w:type="paragraph" w:styleId="692">
    <w:name w:val="Title"/>
    <w:basedOn w:val="846"/>
    <w:next w:val="846"/>
    <w:link w:val="69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3">
    <w:name w:val="Title Char"/>
    <w:link w:val="692"/>
    <w:uiPriority w:val="10"/>
    <w:rPr>
      <w:sz w:val="48"/>
      <w:szCs w:val="48"/>
    </w:rPr>
  </w:style>
  <w:style w:type="paragraph" w:styleId="694">
    <w:name w:val="Subtitle"/>
    <w:basedOn w:val="846"/>
    <w:next w:val="846"/>
    <w:link w:val="695"/>
    <w:uiPriority w:val="11"/>
    <w:qFormat/>
    <w:pPr>
      <w:spacing w:before="200" w:after="200"/>
    </w:pPr>
    <w:rPr>
      <w:sz w:val="24"/>
      <w:szCs w:val="24"/>
    </w:rPr>
  </w:style>
  <w:style w:type="character" w:styleId="695">
    <w:name w:val="Subtitle Char"/>
    <w:link w:val="694"/>
    <w:uiPriority w:val="11"/>
    <w:rPr>
      <w:sz w:val="24"/>
      <w:szCs w:val="24"/>
    </w:rPr>
  </w:style>
  <w:style w:type="paragraph" w:styleId="696">
    <w:name w:val="Quote"/>
    <w:basedOn w:val="846"/>
    <w:next w:val="846"/>
    <w:link w:val="697"/>
    <w:uiPriority w:val="29"/>
    <w:qFormat/>
    <w:pPr>
      <w:ind w:left="720" w:right="720"/>
    </w:pPr>
    <w:rPr>
      <w:i/>
    </w:rPr>
  </w:style>
  <w:style w:type="character" w:styleId="697">
    <w:name w:val="Quote Char"/>
    <w:link w:val="696"/>
    <w:uiPriority w:val="29"/>
    <w:rPr>
      <w:i/>
    </w:rPr>
  </w:style>
  <w:style w:type="paragraph" w:styleId="698">
    <w:name w:val="Intense Quote"/>
    <w:basedOn w:val="846"/>
    <w:next w:val="846"/>
    <w:link w:val="69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9">
    <w:name w:val="Intense Quote Char"/>
    <w:link w:val="698"/>
    <w:uiPriority w:val="30"/>
    <w:rPr>
      <w:i/>
    </w:rPr>
  </w:style>
  <w:style w:type="character" w:styleId="700">
    <w:name w:val="Header Char"/>
    <w:link w:val="975"/>
    <w:uiPriority w:val="99"/>
  </w:style>
  <w:style w:type="character" w:styleId="701">
    <w:name w:val="Footer Char"/>
    <w:link w:val="994"/>
    <w:uiPriority w:val="99"/>
  </w:style>
  <w:style w:type="character" w:styleId="702">
    <w:name w:val="Caption Char"/>
    <w:link w:val="966"/>
    <w:uiPriority w:val="35"/>
    <w:rPr>
      <w:b/>
      <w:bCs/>
      <w:color w:val="4f81bd" w:themeColor="accent1"/>
      <w:sz w:val="18"/>
      <w:szCs w:val="18"/>
    </w:rPr>
  </w:style>
  <w:style w:type="table" w:styleId="70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1ebe03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43c0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3fdba" w:themeFill="accent1" w:themeFillTint="34"/>
    </w:tblPr>
    <w:tblStylePr w:type="band1Horz">
      <w:tcPr>
        <w:shd w:val="clear" w:color="ffffff" w:themeColor="accent1" w:themeTint="75" w:fill="79fb64" w:themeFill="accent1" w:themeFillTint="75"/>
      </w:tcPr>
    </w:tblStylePr>
    <w:tblStylePr w:type="band1Vert">
      <w:tcPr>
        <w:shd w:val="clear" w:color="ffffff" w:themeColor="accent1" w:themeTint="75" w:fill="79fb64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bce7fd" w:themeFill="accent2" w:themeFillTint="32"/>
    </w:tblPr>
    <w:tblStylePr w:type="band1Horz">
      <w:tcPr>
        <w:shd w:val="clear" w:color="ffffff" w:themeColor="accent2" w:themeTint="75" w:fill="64c8fb" w:themeFill="accent2" w:themeFillTint="75"/>
      </w:tcPr>
    </w:tblStylePr>
    <w:tblStylePr w:type="band1Vert">
      <w:tcPr>
        <w:shd w:val="clear" w:color="ffffff" w:themeColor="accent2" w:themeTint="75" w:fill="64c8fb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dd2ba" w:themeFill="accent3" w:themeFillTint="34"/>
    </w:tblPr>
    <w:tblStylePr w:type="band1Horz">
      <w:tcPr>
        <w:shd w:val="clear" w:color="ffffff" w:themeColor="accent3" w:themeTint="75" w:fill="fb9964" w:themeFill="accent3" w:themeFillTint="75"/>
      </w:tcPr>
    </w:tblStylePr>
    <w:tblStylePr w:type="band1Vert">
      <w:tcPr>
        <w:shd w:val="clear" w:color="ffffff" w:themeColor="accent3" w:themeTint="75" w:fill="fb9964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  <w:tcBorders>
          <w:top w:val="single" w:color="000000" w:themeColor="light1" w:sz="4" w:space="0"/>
        </w:tcBorders>
      </w:tcPr>
    </w:tblStylePr>
  </w:style>
  <w:style w:type="table" w:styleId="74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3bafd" w:themeFill="accent4" w:themeFillTint="34"/>
    </w:tblPr>
    <w:tblStylePr w:type="band1Horz">
      <w:tcPr>
        <w:shd w:val="clear" w:color="ffffff" w:themeColor="accent4" w:themeTint="75" w:fill="e464fb" w:themeFill="accent4" w:themeFillTint="75"/>
      </w:tcPr>
    </w:tblStylePr>
    <w:tblStylePr w:type="band1Vert">
      <w:tcPr>
        <w:shd w:val="clear" w:color="ffffff" w:themeColor="accent4" w:themeTint="75" w:fill="e464fb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fefbf" w:themeFill="accent5" w:themeFillTint="34"/>
    </w:tblPr>
    <w:tblStylePr w:type="band1Horz">
      <w:tcPr>
        <w:shd w:val="clear" w:color="ffffff" w:themeColor="accent5" w:themeTint="75" w:fill="ffdb71" w:themeFill="accent5" w:themeFillTint="75"/>
      </w:tcPr>
    </w:tblStylePr>
    <w:tblStylePr w:type="band1Vert">
      <w:tcPr>
        <w:shd w:val="clear" w:color="ffffff" w:themeColor="accent5" w:themeTint="75" w:fill="ffdb71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7cccc" w:themeFill="accent6" w:themeFillTint="34"/>
    </w:tblPr>
    <w:tblStylePr w:type="band1Horz">
      <w:tcPr>
        <w:shd w:val="clear" w:color="ffffff" w:themeColor="accent6" w:themeTint="75" w:fill="ee8f8f" w:themeFill="accent6" w:themeFillTint="75"/>
      </w:tcPr>
    </w:tblStylePr>
    <w:tblStylePr w:type="band1Vert">
      <w:tcPr>
        <w:shd w:val="clear" w:color="ffffff" w:themeColor="accent6" w:themeTint="75" w:fill="ee8f8f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light1" w:sz="4" w:space="0"/>
        </w:tcBorders>
      </w:tcPr>
    </w:tblStylePr>
  </w:style>
  <w:style w:type="table" w:styleId="74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4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1ebf04" w:themeColor="accent1" w:themeTint="80" w:themeShade="95"/>
      </w:rPr>
    </w:tblStylePr>
    <w:tblStylePr w:type="firstRow">
      <w:rPr>
        <w:b/>
        <w:color w:val="1ebf0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ebf04" w:themeColor="accent1" w:themeTint="80" w:themeShade="95"/>
      </w:rPr>
    </w:tblStylePr>
    <w:tblStylePr w:type="lastRow">
      <w:rPr>
        <w:b/>
        <w:color w:val="1ebf04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4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4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e2201" w:themeColor="accent3" w:themeTint="FE" w:themeShade="95"/>
      </w:rPr>
    </w:tblStylePr>
    <w:tblStylePr w:type="firstRow">
      <w:rPr>
        <w:b/>
        <w:color w:val="5e2201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e2201" w:themeColor="accent3" w:themeTint="FE" w:themeShade="95"/>
      </w:rPr>
    </w:tblStylePr>
    <w:tblStylePr w:type="lastRow">
      <w:rPr>
        <w:b/>
        <w:color w:val="5e2201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4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5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1ebf04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Liberation Sans" w:hAnsi="Liberation Sans"/>
        <w:color w:val="1ebf04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1ebf04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1ebf04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0378ae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Liberation Sans" w:hAnsi="Liberation Sans"/>
        <w:color w:val="0378ae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0378ae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e2201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Liberation Sans" w:hAnsi="Liberation Sans"/>
        <w:color w:val="5e2201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e2201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e2201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9104ab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Liberation Sans" w:hAnsi="Liberation Sans"/>
        <w:color w:val="9104ab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9104ab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74570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Liberation Sans" w:hAnsi="Liberation Sans"/>
        <w:color w:val="745700" w:themeColor="accent5" w:themeShade="95"/>
        <w:sz w:val="22"/>
      </w:rPr>
    </w:tblStylePr>
    <w:tblStylePr w:type="firstCol">
      <w:rPr>
        <w:rFonts w:ascii="Liberation Sans" w:hAnsi="Liberation Sans"/>
        <w:i/>
        <w:color w:val="745700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45700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741111" w:themeColor="accent6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Liberation Sans" w:hAnsi="Liberation Sans"/>
        <w:color w:val="741111" w:themeColor="accent6" w:themeShade="95"/>
        <w:sz w:val="22"/>
      </w:rPr>
    </w:tblStylePr>
    <w:tblStylePr w:type="firstCol">
      <w:rPr>
        <w:rFonts w:ascii="Liberation Sans" w:hAnsi="Liberation Sans"/>
        <w:i/>
        <w:color w:val="741111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41111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fa7a35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ffd042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e96e6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8a303" w:themeFill="accent1"/>
    </w:tblPr>
    <w:tblStylePr w:type="band1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8a303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18a303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36b8fb" w:themeFill="accent2" w:themeFillTint="97"/>
    </w:tblPr>
    <w:tblStylePr w:type="band1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36b8fb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a7a35" w:themeFill="accent3" w:themeFillTint="98"/>
    </w:tblPr>
    <w:tblStylePr w:type="band1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fa7a35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fa7a35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dc33fa" w:themeFill="accent4" w:themeFillTint="9A"/>
    </w:tblPr>
    <w:tblStylePr w:type="band1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dc33fa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ffd042" w:themeFill="accent5" w:themeFillTint="9A"/>
    </w:tblPr>
    <w:tblStylePr w:type="band1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ffd042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ffd042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96e6e" w:themeFill="accent6" w:themeFillTint="98"/>
    </w:tblPr>
    <w:tblStylePr w:type="band1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e96e6e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e96e6e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0e5e01" w:themeColor="accent1" w:themeShade="95"/>
      </w:rPr>
    </w:tblStylePr>
    <w:tblStylePr w:type="firstRow">
      <w:rPr>
        <w:b/>
        <w:color w:val="0e5e0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e5e01" w:themeColor="accent1" w:themeShade="95"/>
      </w:rPr>
    </w:tblStylePr>
    <w:tblStylePr w:type="lastRow">
      <w:rPr>
        <w:b/>
        <w:color w:val="0e5e0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ab3b04" w:themeColor="accent3" w:themeTint="98" w:themeShade="95"/>
      </w:rPr>
    </w:tblStylePr>
    <w:tblStylePr w:type="firstRow">
      <w:rPr>
        <w:b/>
        <w:color w:val="ab3b04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ab3b04" w:themeColor="accent3" w:themeTint="98" w:themeShade="95"/>
      </w:rPr>
    </w:tblStylePr>
    <w:tblStylePr w:type="lastRow">
      <w:rPr>
        <w:b/>
        <w:color w:val="ab3b04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ba8700" w:themeColor="accent5" w:themeTint="9A" w:themeShade="95"/>
      </w:rPr>
    </w:tblStylePr>
    <w:tblStylePr w:type="firstRow">
      <w:rPr>
        <w:b/>
        <w:color w:val="ba870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ba8700" w:themeColor="accent5" w:themeTint="9A" w:themeShade="95"/>
      </w:rPr>
    </w:tblStylePr>
    <w:tblStylePr w:type="lastRow">
      <w:rPr>
        <w:b/>
        <w:color w:val="ba870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ad1a1a" w:themeColor="accent6" w:themeTint="98" w:themeShade="95"/>
      </w:rPr>
    </w:tblStylePr>
    <w:tblStylePr w:type="firstRow">
      <w:rPr>
        <w:b/>
        <w:color w:val="ad1a1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ad1a1a" w:themeColor="accent6" w:themeTint="98" w:themeShade="95"/>
      </w:rPr>
    </w:tblStylePr>
    <w:tblStylePr w:type="lastRow">
      <w:rPr>
        <w:b/>
        <w:color w:val="ad1a1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0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0e5e01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Liberation Sans" w:hAnsi="Liberation Sans"/>
        <w:color w:val="0e5e01" w:themeColor="accent1" w:themeShade="95"/>
        <w:sz w:val="22"/>
      </w:rPr>
    </w:tblStylePr>
    <w:tblStylePr w:type="firstCol">
      <w:rPr>
        <w:rFonts w:ascii="Liberation Sans" w:hAnsi="Liberation Sans"/>
        <w:i/>
        <w:color w:val="0e5e0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0e5e0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0e5e01" w:themeColor="accent1" w:themeShade="95"/>
        <w:sz w:val="22"/>
      </w:rPr>
    </w:tblStylePr>
  </w:style>
  <w:style w:type="table" w:styleId="80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0378ae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Liberation Sans" w:hAnsi="Liberation Sans"/>
        <w:color w:val="0378ae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0378ae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0378ae" w:themeColor="accent2" w:themeTint="97" w:themeShade="95"/>
        <w:sz w:val="22"/>
      </w:rPr>
    </w:tblStylePr>
  </w:style>
  <w:style w:type="table" w:styleId="80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ab3b04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Liberation Sans" w:hAnsi="Liberation Sans"/>
        <w:color w:val="ab3b04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ab3b04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b3b04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ab3b04" w:themeColor="accent3" w:themeTint="98" w:themeShade="95"/>
        <w:sz w:val="22"/>
      </w:rPr>
    </w:tblStylePr>
  </w:style>
  <w:style w:type="table" w:styleId="80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9104ab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Liberation Sans" w:hAnsi="Liberation Sans"/>
        <w:color w:val="9104ab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9104ab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104ab" w:themeColor="accent4" w:themeTint="9A" w:themeShade="95"/>
        <w:sz w:val="22"/>
      </w:rPr>
    </w:tblStylePr>
  </w:style>
  <w:style w:type="table" w:styleId="80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ba870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Liberation Sans" w:hAnsi="Liberation Sans"/>
        <w:color w:val="ba870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ba870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a870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ba8700" w:themeColor="accent5" w:themeTint="9A" w:themeShade="95"/>
        <w:sz w:val="22"/>
      </w:rPr>
    </w:tblStylePr>
  </w:style>
  <w:style w:type="table" w:styleId="80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ad1a1a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Liberation Sans" w:hAnsi="Liberation Sans"/>
        <w:color w:val="ad1a1a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ad1a1a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d1a1a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ad1a1a" w:themeColor="accent6" w:themeTint="98" w:themeShade="95"/>
        <w:sz w:val="22"/>
      </w:rPr>
    </w:tblStylePr>
  </w:style>
  <w:style w:type="table" w:styleId="80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81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81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81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81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81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81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81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81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81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82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82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82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9">
    <w:name w:val="footnote text"/>
    <w:basedOn w:val="846"/>
    <w:link w:val="830"/>
    <w:uiPriority w:val="99"/>
    <w:semiHidden/>
    <w:unhideWhenUsed/>
    <w:pPr>
      <w:spacing w:after="40" w:line="240" w:lineRule="auto"/>
    </w:pPr>
    <w:rPr>
      <w:sz w:val="18"/>
    </w:rPr>
  </w:style>
  <w:style w:type="character" w:styleId="830">
    <w:name w:val="Footnote Text Char"/>
    <w:link w:val="829"/>
    <w:uiPriority w:val="99"/>
    <w:rPr>
      <w:sz w:val="18"/>
    </w:rPr>
  </w:style>
  <w:style w:type="character" w:styleId="831">
    <w:name w:val="footnote reference"/>
    <w:uiPriority w:val="99"/>
    <w:unhideWhenUsed/>
    <w:rPr>
      <w:vertAlign w:val="superscript"/>
    </w:rPr>
  </w:style>
  <w:style w:type="paragraph" w:styleId="832">
    <w:name w:val="endnote text"/>
    <w:basedOn w:val="846"/>
    <w:link w:val="833"/>
    <w:uiPriority w:val="99"/>
    <w:semiHidden/>
    <w:unhideWhenUsed/>
    <w:pPr>
      <w:spacing w:after="0" w:line="240" w:lineRule="auto"/>
    </w:pPr>
    <w:rPr>
      <w:sz w:val="20"/>
    </w:rPr>
  </w:style>
  <w:style w:type="character" w:styleId="833">
    <w:name w:val="Endnote Text Char"/>
    <w:link w:val="832"/>
    <w:uiPriority w:val="99"/>
    <w:rPr>
      <w:sz w:val="20"/>
    </w:rPr>
  </w:style>
  <w:style w:type="character" w:styleId="834">
    <w:name w:val="endnote reference"/>
    <w:uiPriority w:val="99"/>
    <w:semiHidden/>
    <w:unhideWhenUsed/>
    <w:rPr>
      <w:vertAlign w:val="superscript"/>
    </w:rPr>
  </w:style>
  <w:style w:type="paragraph" w:styleId="835">
    <w:name w:val="toc 1"/>
    <w:basedOn w:val="846"/>
    <w:next w:val="846"/>
    <w:uiPriority w:val="39"/>
    <w:unhideWhenUsed/>
    <w:pPr>
      <w:ind w:left="0" w:right="0" w:firstLine="0"/>
      <w:spacing w:after="57"/>
    </w:pPr>
  </w:style>
  <w:style w:type="paragraph" w:styleId="836">
    <w:name w:val="toc 2"/>
    <w:basedOn w:val="846"/>
    <w:next w:val="846"/>
    <w:uiPriority w:val="39"/>
    <w:unhideWhenUsed/>
    <w:pPr>
      <w:ind w:left="283" w:right="0" w:firstLine="0"/>
      <w:spacing w:after="57"/>
    </w:pPr>
  </w:style>
  <w:style w:type="paragraph" w:styleId="837">
    <w:name w:val="toc 3"/>
    <w:basedOn w:val="846"/>
    <w:next w:val="846"/>
    <w:uiPriority w:val="39"/>
    <w:unhideWhenUsed/>
    <w:pPr>
      <w:ind w:left="567" w:right="0" w:firstLine="0"/>
      <w:spacing w:after="57"/>
    </w:pPr>
  </w:style>
  <w:style w:type="paragraph" w:styleId="838">
    <w:name w:val="toc 4"/>
    <w:basedOn w:val="846"/>
    <w:next w:val="846"/>
    <w:uiPriority w:val="39"/>
    <w:unhideWhenUsed/>
    <w:pPr>
      <w:ind w:left="850" w:right="0" w:firstLine="0"/>
      <w:spacing w:after="57"/>
    </w:pPr>
  </w:style>
  <w:style w:type="paragraph" w:styleId="839">
    <w:name w:val="toc 5"/>
    <w:basedOn w:val="846"/>
    <w:next w:val="846"/>
    <w:uiPriority w:val="39"/>
    <w:unhideWhenUsed/>
    <w:pPr>
      <w:ind w:left="1134" w:right="0" w:firstLine="0"/>
      <w:spacing w:after="57"/>
    </w:pPr>
  </w:style>
  <w:style w:type="paragraph" w:styleId="840">
    <w:name w:val="toc 6"/>
    <w:basedOn w:val="846"/>
    <w:next w:val="846"/>
    <w:uiPriority w:val="39"/>
    <w:unhideWhenUsed/>
    <w:pPr>
      <w:ind w:left="1417" w:right="0" w:firstLine="0"/>
      <w:spacing w:after="57"/>
    </w:pPr>
  </w:style>
  <w:style w:type="paragraph" w:styleId="841">
    <w:name w:val="toc 7"/>
    <w:basedOn w:val="846"/>
    <w:next w:val="846"/>
    <w:uiPriority w:val="39"/>
    <w:unhideWhenUsed/>
    <w:pPr>
      <w:ind w:left="1701" w:right="0" w:firstLine="0"/>
      <w:spacing w:after="57"/>
    </w:pPr>
  </w:style>
  <w:style w:type="paragraph" w:styleId="842">
    <w:name w:val="toc 8"/>
    <w:basedOn w:val="846"/>
    <w:next w:val="846"/>
    <w:uiPriority w:val="39"/>
    <w:unhideWhenUsed/>
    <w:pPr>
      <w:ind w:left="1984" w:right="0" w:firstLine="0"/>
      <w:spacing w:after="57"/>
    </w:pPr>
  </w:style>
  <w:style w:type="paragraph" w:styleId="843">
    <w:name w:val="toc 9"/>
    <w:basedOn w:val="846"/>
    <w:next w:val="846"/>
    <w:uiPriority w:val="39"/>
    <w:unhideWhenUsed/>
    <w:pPr>
      <w:ind w:left="2268" w:right="0" w:firstLine="0"/>
      <w:spacing w:after="57"/>
    </w:pPr>
  </w:style>
  <w:style w:type="paragraph" w:styleId="844">
    <w:name w:val="TOC Heading"/>
    <w:uiPriority w:val="39"/>
    <w:unhideWhenUsed/>
  </w:style>
  <w:style w:type="paragraph" w:styleId="845">
    <w:name w:val="table of figures"/>
    <w:basedOn w:val="846"/>
    <w:next w:val="846"/>
    <w:uiPriority w:val="99"/>
    <w:unhideWhenUsed/>
    <w:pPr>
      <w:spacing w:after="0" w:afterAutospacing="0"/>
    </w:pPr>
  </w:style>
  <w:style w:type="paragraph" w:styleId="846" w:default="1">
    <w:name w:val="Normal"/>
    <w:qFormat/>
    <w:pPr>
      <w:widowControl/>
    </w:pPr>
    <w:rPr>
      <w:rFonts w:ascii="Times New Roman" w:hAnsi="Times New Roman" w:eastAsia="Calibri" w:cs="Times New Roman"/>
      <w:color w:val="000000"/>
      <w:spacing w:val="-20"/>
      <w:sz w:val="24"/>
      <w:szCs w:val="24"/>
      <w:lang w:val="ru-RU" w:eastAsia="zh-CN" w:bidi="ar-SA"/>
    </w:rPr>
  </w:style>
  <w:style w:type="paragraph" w:styleId="847">
    <w:name w:val="Heading 1"/>
    <w:basedOn w:val="846"/>
    <w:next w:val="846"/>
    <w:qFormat/>
    <w:pPr>
      <w:numPr>
        <w:ilvl w:val="0"/>
        <w:numId w:val="1"/>
      </w:numPr>
      <w:ind w:left="720" w:right="0" w:hanging="360"/>
      <w:jc w:val="right"/>
      <w:keepNext/>
      <w:tabs>
        <w:tab w:val="clear" w:pos="709" w:leader="none"/>
        <w:tab w:val="left" w:pos="720" w:leader="none"/>
      </w:tabs>
      <w:outlineLvl w:val="0"/>
    </w:pPr>
    <w:rPr>
      <w:color w:val="000000"/>
      <w:spacing w:val="0"/>
      <w:sz w:val="28"/>
      <w:szCs w:val="28"/>
    </w:rPr>
  </w:style>
  <w:style w:type="paragraph" w:styleId="848">
    <w:name w:val="Heading 2"/>
    <w:basedOn w:val="846"/>
    <w:next w:val="846"/>
    <w:qFormat/>
    <w:pPr>
      <w:numPr>
        <w:ilvl w:val="1"/>
        <w:numId w:val="1"/>
      </w:numPr>
      <w:keepNext/>
      <w:spacing w:before="240" w:after="60"/>
      <w:outlineLvl w:val="1"/>
    </w:pPr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849">
    <w:name w:val="Heading 4"/>
    <w:basedOn w:val="846"/>
    <w:next w:val="846"/>
    <w:qFormat/>
    <w:pPr>
      <w:numPr>
        <w:ilvl w:val="3"/>
        <w:numId w:val="1"/>
      </w:numPr>
      <w:keepNext/>
      <w:spacing w:before="240" w:after="60"/>
      <w:outlineLvl w:val="3"/>
    </w:pPr>
    <w:rPr>
      <w:rFonts w:ascii="Calibri" w:hAnsi="Calibri" w:eastAsia="Times New Roman" w:cs="Calibri"/>
      <w:b/>
      <w:bCs/>
      <w:color w:val="000000"/>
      <w:spacing w:val="0"/>
      <w:sz w:val="28"/>
      <w:szCs w:val="28"/>
    </w:rPr>
  </w:style>
  <w:style w:type="character" w:styleId="850">
    <w:name w:val="WW8Num2z1"/>
    <w:qFormat/>
    <w:rPr>
      <w:rFonts w:ascii="Times New Roman" w:hAnsi="Times New Roman" w:eastAsia="Times New Roman" w:cs="Times New Roman"/>
      <w:i w:val="0"/>
      <w:iCs/>
    </w:rPr>
  </w:style>
  <w:style w:type="character" w:styleId="851">
    <w:name w:val="WW8Num3z0"/>
    <w:qFormat/>
    <w:rPr>
      <w:b/>
      <w:i w:val="0"/>
      <w:color w:val="000000"/>
      <w:sz w:val="24"/>
    </w:rPr>
  </w:style>
  <w:style w:type="character" w:styleId="852">
    <w:name w:val="WW8Num3z1"/>
    <w:qFormat/>
    <w:rPr>
      <w:b/>
      <w:i w:val="0"/>
      <w:color w:val="000000"/>
    </w:rPr>
  </w:style>
  <w:style w:type="character" w:styleId="853">
    <w:name w:val="WW8Num4z1"/>
    <w:qFormat/>
  </w:style>
  <w:style w:type="character" w:styleId="854">
    <w:name w:val="WW8Num5z0"/>
    <w:qFormat/>
    <w:rPr>
      <w:rFonts w:ascii="Times New Roman" w:hAnsi="Times New Roman" w:cs="Times New Roman"/>
      <w:b/>
      <w:i w:val="0"/>
      <w:color w:val="000000"/>
      <w:sz w:val="24"/>
      <w:szCs w:val="24"/>
    </w:rPr>
  </w:style>
  <w:style w:type="character" w:styleId="855">
    <w:name w:val="WW8Num6z0"/>
    <w:qFormat/>
    <w:rPr>
      <w:rFonts w:ascii="Arial" w:hAnsi="Arial" w:cs="Arial"/>
    </w:rPr>
  </w:style>
  <w:style w:type="character" w:styleId="856">
    <w:name w:val="WW8Num7z0"/>
    <w:qFormat/>
    <w:rPr>
      <w:rFonts w:eastAsia="Calibri"/>
    </w:rPr>
  </w:style>
  <w:style w:type="character" w:styleId="857">
    <w:name w:val="WW8Num8z0"/>
    <w:qFormat/>
  </w:style>
  <w:style w:type="character" w:styleId="858">
    <w:name w:val="WW8Num9z0"/>
    <w:qFormat/>
  </w:style>
  <w:style w:type="character" w:styleId="859">
    <w:name w:val="WW8Num10z0"/>
    <w:qFormat/>
  </w:style>
  <w:style w:type="character" w:styleId="860">
    <w:name w:val="WW8Num11z0"/>
    <w:qFormat/>
  </w:style>
  <w:style w:type="character" w:styleId="861">
    <w:name w:val="Основной шрифт абзаца"/>
    <w:qFormat/>
  </w:style>
  <w:style w:type="character" w:styleId="862">
    <w:name w:val="WW8Num1zfalse"/>
    <w:qFormat/>
  </w:style>
  <w:style w:type="character" w:styleId="863">
    <w:name w:val="WW8Num1ztrue"/>
    <w:qFormat/>
  </w:style>
  <w:style w:type="character" w:styleId="864">
    <w:name w:val="WW-WW8Num1ztrue"/>
    <w:qFormat/>
  </w:style>
  <w:style w:type="character" w:styleId="865">
    <w:name w:val="WW-WW8Num1ztrue1"/>
    <w:qFormat/>
  </w:style>
  <w:style w:type="character" w:styleId="866">
    <w:name w:val="WW-WW8Num1ztrue2"/>
    <w:qFormat/>
  </w:style>
  <w:style w:type="character" w:styleId="867">
    <w:name w:val="WW-WW8Num1ztrue3"/>
    <w:qFormat/>
  </w:style>
  <w:style w:type="character" w:styleId="868">
    <w:name w:val="WW-WW8Num1ztrue4"/>
    <w:qFormat/>
  </w:style>
  <w:style w:type="character" w:styleId="869">
    <w:name w:val="WW-WW8Num1ztrue5"/>
    <w:qFormat/>
  </w:style>
  <w:style w:type="character" w:styleId="870">
    <w:name w:val="WW-WW8Num1ztrue6"/>
    <w:qFormat/>
  </w:style>
  <w:style w:type="character" w:styleId="871">
    <w:name w:val="WW8Num2zfalse"/>
    <w:qFormat/>
  </w:style>
  <w:style w:type="character" w:styleId="872">
    <w:name w:val="WW8Num2ztrue"/>
    <w:qFormat/>
  </w:style>
  <w:style w:type="character" w:styleId="873">
    <w:name w:val="WW-WW8Num2ztrue"/>
    <w:qFormat/>
  </w:style>
  <w:style w:type="character" w:styleId="874">
    <w:name w:val="WW-WW8Num2ztrue1"/>
    <w:qFormat/>
  </w:style>
  <w:style w:type="character" w:styleId="875">
    <w:name w:val="WW-WW8Num2ztrue2"/>
    <w:qFormat/>
  </w:style>
  <w:style w:type="character" w:styleId="876">
    <w:name w:val="WW-WW8Num2ztrue3"/>
    <w:qFormat/>
  </w:style>
  <w:style w:type="character" w:styleId="877">
    <w:name w:val="WW-WW8Num2ztrue4"/>
    <w:qFormat/>
  </w:style>
  <w:style w:type="character" w:styleId="878">
    <w:name w:val="WW-WW8Num2ztrue5"/>
    <w:qFormat/>
  </w:style>
  <w:style w:type="character" w:styleId="879">
    <w:name w:val="WW8Num3ztrue"/>
    <w:qFormat/>
  </w:style>
  <w:style w:type="character" w:styleId="880">
    <w:name w:val="WW-WW8Num3ztrue"/>
    <w:qFormat/>
  </w:style>
  <w:style w:type="character" w:styleId="881">
    <w:name w:val="WW-WW8Num3ztrue1"/>
    <w:qFormat/>
  </w:style>
  <w:style w:type="character" w:styleId="882">
    <w:name w:val="WW-WW8Num3ztrue2"/>
    <w:qFormat/>
  </w:style>
  <w:style w:type="character" w:styleId="883">
    <w:name w:val="WW-WW8Num3ztrue3"/>
    <w:qFormat/>
  </w:style>
  <w:style w:type="character" w:styleId="884">
    <w:name w:val="WW-WW8Num3ztrue4"/>
    <w:qFormat/>
  </w:style>
  <w:style w:type="character" w:styleId="885">
    <w:name w:val="WW-WW8Num3ztrue5"/>
    <w:qFormat/>
  </w:style>
  <w:style w:type="character" w:styleId="886">
    <w:name w:val="WW8Num4zfalse"/>
    <w:qFormat/>
  </w:style>
  <w:style w:type="character" w:styleId="887">
    <w:name w:val="WW8Num4ztrue"/>
    <w:qFormat/>
  </w:style>
  <w:style w:type="character" w:styleId="888">
    <w:name w:val="WW-WW8Num4ztrue"/>
    <w:qFormat/>
  </w:style>
  <w:style w:type="character" w:styleId="889">
    <w:name w:val="WW-WW8Num4ztrue1"/>
    <w:qFormat/>
  </w:style>
  <w:style w:type="character" w:styleId="890">
    <w:name w:val="WW-WW8Num4ztrue2"/>
    <w:qFormat/>
  </w:style>
  <w:style w:type="character" w:styleId="891">
    <w:name w:val="WW-WW8Num4ztrue3"/>
    <w:qFormat/>
  </w:style>
  <w:style w:type="character" w:styleId="892">
    <w:name w:val="WW-WW8Num4ztrue4"/>
    <w:qFormat/>
  </w:style>
  <w:style w:type="character" w:styleId="893">
    <w:name w:val="WW-WW8Num4ztrue5"/>
    <w:qFormat/>
  </w:style>
  <w:style w:type="character" w:styleId="894">
    <w:name w:val="WW-WW8Num4ztrue6"/>
    <w:qFormat/>
  </w:style>
  <w:style w:type="character" w:styleId="895">
    <w:name w:val="WW8Num5ztrue"/>
    <w:qFormat/>
  </w:style>
  <w:style w:type="character" w:styleId="896">
    <w:name w:val="WW-WW8Num5ztrue"/>
    <w:qFormat/>
  </w:style>
  <w:style w:type="character" w:styleId="897">
    <w:name w:val="WW-WW8Num5ztrue1"/>
    <w:qFormat/>
  </w:style>
  <w:style w:type="character" w:styleId="898">
    <w:name w:val="WW-WW8Num5ztrue2"/>
    <w:qFormat/>
  </w:style>
  <w:style w:type="character" w:styleId="899">
    <w:name w:val="WW-WW8Num5ztrue3"/>
    <w:qFormat/>
  </w:style>
  <w:style w:type="character" w:styleId="900">
    <w:name w:val="WW-WW8Num5ztrue4"/>
    <w:qFormat/>
  </w:style>
  <w:style w:type="character" w:styleId="901">
    <w:name w:val="WW-WW8Num5ztrue5"/>
    <w:qFormat/>
  </w:style>
  <w:style w:type="character" w:styleId="902">
    <w:name w:val="WW-WW8Num5ztrue6"/>
    <w:qFormat/>
  </w:style>
  <w:style w:type="character" w:styleId="903">
    <w:name w:val="Основной шрифт абзаца2"/>
    <w:qFormat/>
  </w:style>
  <w:style w:type="character" w:styleId="904">
    <w:name w:val="Absatz-Standardschriftart"/>
    <w:qFormat/>
  </w:style>
  <w:style w:type="character" w:styleId="905">
    <w:name w:val="WW-Absatz-Standardschriftart"/>
    <w:qFormat/>
  </w:style>
  <w:style w:type="character" w:styleId="906">
    <w:name w:val="WW8Num1z0"/>
    <w:qFormat/>
  </w:style>
  <w:style w:type="character" w:styleId="907">
    <w:name w:val="WW8Num1z1"/>
    <w:qFormat/>
  </w:style>
  <w:style w:type="character" w:styleId="908">
    <w:name w:val="WW8Num1z2"/>
    <w:qFormat/>
  </w:style>
  <w:style w:type="character" w:styleId="909">
    <w:name w:val="WW8Num1z3"/>
    <w:qFormat/>
  </w:style>
  <w:style w:type="character" w:styleId="910">
    <w:name w:val="WW8Num1z4"/>
    <w:qFormat/>
  </w:style>
  <w:style w:type="character" w:styleId="911">
    <w:name w:val="WW8Num1z5"/>
    <w:qFormat/>
  </w:style>
  <w:style w:type="character" w:styleId="912">
    <w:name w:val="WW8Num1z6"/>
    <w:qFormat/>
  </w:style>
  <w:style w:type="character" w:styleId="913">
    <w:name w:val="WW8Num1z7"/>
    <w:qFormat/>
  </w:style>
  <w:style w:type="character" w:styleId="914">
    <w:name w:val="WW8Num1z8"/>
    <w:qFormat/>
  </w:style>
  <w:style w:type="character" w:styleId="915">
    <w:name w:val="WW8Num2z0"/>
    <w:qFormat/>
  </w:style>
  <w:style w:type="character" w:styleId="916">
    <w:name w:val="WW8Num3z2"/>
    <w:qFormat/>
  </w:style>
  <w:style w:type="character" w:styleId="917">
    <w:name w:val="WW8Num3z3"/>
    <w:qFormat/>
  </w:style>
  <w:style w:type="character" w:styleId="918">
    <w:name w:val="WW8Num3z4"/>
    <w:qFormat/>
  </w:style>
  <w:style w:type="character" w:styleId="919">
    <w:name w:val="WW8Num3z5"/>
    <w:qFormat/>
  </w:style>
  <w:style w:type="character" w:styleId="920">
    <w:name w:val="WW8Num3z6"/>
    <w:qFormat/>
  </w:style>
  <w:style w:type="character" w:styleId="921">
    <w:name w:val="WW8Num3z7"/>
    <w:qFormat/>
  </w:style>
  <w:style w:type="character" w:styleId="922">
    <w:name w:val="WW8Num3z8"/>
    <w:qFormat/>
  </w:style>
  <w:style w:type="character" w:styleId="923">
    <w:name w:val="WW8Num4z0"/>
    <w:qFormat/>
    <w:rPr>
      <w:rFonts w:ascii="Times New Roman" w:hAnsi="Times New Roman" w:cs="Times New Roman"/>
      <w:i w:val="0"/>
    </w:rPr>
  </w:style>
  <w:style w:type="character" w:styleId="924">
    <w:name w:val="WW8Num5z1"/>
    <w:qFormat/>
    <w:rPr>
      <w:b/>
      <w:i w:val="0"/>
      <w:color w:val="000000"/>
    </w:rPr>
  </w:style>
  <w:style w:type="character" w:styleId="925">
    <w:name w:val="WW8Num5z2"/>
    <w:qFormat/>
  </w:style>
  <w:style w:type="character" w:styleId="926">
    <w:name w:val="WW8Num5z3"/>
    <w:qFormat/>
  </w:style>
  <w:style w:type="character" w:styleId="927">
    <w:name w:val="WW8Num5z4"/>
    <w:qFormat/>
  </w:style>
  <w:style w:type="character" w:styleId="928">
    <w:name w:val="WW8Num5z5"/>
    <w:qFormat/>
  </w:style>
  <w:style w:type="character" w:styleId="929">
    <w:name w:val="WW8Num5z6"/>
    <w:qFormat/>
  </w:style>
  <w:style w:type="character" w:styleId="930">
    <w:name w:val="WW8Num5z7"/>
    <w:qFormat/>
  </w:style>
  <w:style w:type="character" w:styleId="931">
    <w:name w:val="WW8Num5z8"/>
    <w:qFormat/>
  </w:style>
  <w:style w:type="character" w:styleId="932">
    <w:name w:val="WW8Num6z1"/>
    <w:qFormat/>
  </w:style>
  <w:style w:type="character" w:styleId="933">
    <w:name w:val="WW8Num6z2"/>
    <w:qFormat/>
  </w:style>
  <w:style w:type="character" w:styleId="934">
    <w:name w:val="WW8Num6z3"/>
    <w:qFormat/>
  </w:style>
  <w:style w:type="character" w:styleId="935">
    <w:name w:val="WW8Num6z4"/>
    <w:qFormat/>
  </w:style>
  <w:style w:type="character" w:styleId="936">
    <w:name w:val="WW8Num6z5"/>
    <w:qFormat/>
  </w:style>
  <w:style w:type="character" w:styleId="937">
    <w:name w:val="WW8Num6z6"/>
    <w:qFormat/>
  </w:style>
  <w:style w:type="character" w:styleId="938">
    <w:name w:val="WW8Num6z7"/>
    <w:qFormat/>
  </w:style>
  <w:style w:type="character" w:styleId="939">
    <w:name w:val="WW8Num6z8"/>
    <w:qFormat/>
  </w:style>
  <w:style w:type="character" w:styleId="940">
    <w:name w:val="Основной шрифт абзаца1"/>
    <w:qFormat/>
  </w:style>
  <w:style w:type="character" w:styleId="941">
    <w:name w:val=" Знак Знак9"/>
    <w:qFormat/>
    <w:rPr>
      <w:rFonts w:eastAsia="Calibri"/>
      <w:sz w:val="28"/>
      <w:szCs w:val="28"/>
      <w:lang w:val="ru-RU" w:bidi="ar-SA"/>
    </w:rPr>
  </w:style>
  <w:style w:type="character" w:styleId="942">
    <w:name w:val=" Знак Знак6"/>
    <w:qFormat/>
    <w:rPr>
      <w:rFonts w:eastAsia="Calibri"/>
      <w:sz w:val="28"/>
      <w:szCs w:val="28"/>
      <w:lang w:val="ru-RU" w:bidi="ar-SA"/>
    </w:rPr>
  </w:style>
  <w:style w:type="character" w:styleId="943">
    <w:name w:val=" Знак Знак5"/>
    <w:qFormat/>
    <w:rPr>
      <w:rFonts w:eastAsia="Calibri"/>
      <w:color w:val="000000"/>
      <w:spacing w:val="-20"/>
      <w:sz w:val="24"/>
      <w:szCs w:val="24"/>
      <w:lang w:val="ru-RU" w:bidi="ar-SA"/>
    </w:rPr>
  </w:style>
  <w:style w:type="character" w:styleId="944">
    <w:name w:val=" Знак Знак4"/>
    <w:qFormat/>
    <w:rPr>
      <w:rFonts w:eastAsia="Calibri"/>
      <w:sz w:val="24"/>
      <w:szCs w:val="24"/>
      <w:lang w:val="ru-RU" w:bidi="ar-SA"/>
    </w:rPr>
  </w:style>
  <w:style w:type="character" w:styleId="945">
    <w:name w:val="Strong"/>
    <w:qFormat/>
    <w:rPr>
      <w:b/>
      <w:bCs/>
    </w:rPr>
  </w:style>
  <w:style w:type="character" w:styleId="946">
    <w:name w:val=" Знак Знак3"/>
    <w:qFormat/>
    <w:rPr>
      <w:rFonts w:eastAsia="Calibri"/>
      <w:color w:val="000000"/>
      <w:spacing w:val="-20"/>
      <w:sz w:val="24"/>
      <w:szCs w:val="24"/>
    </w:rPr>
  </w:style>
  <w:style w:type="character" w:styleId="947">
    <w:name w:val=" Знак Знак2"/>
    <w:qFormat/>
    <w:rPr>
      <w:sz w:val="16"/>
      <w:szCs w:val="16"/>
    </w:rPr>
  </w:style>
  <w:style w:type="character" w:styleId="948">
    <w:name w:val=" Знак Знак1"/>
    <w:qFormat/>
    <w:rPr>
      <w:rFonts w:eastAsia="Calibri"/>
      <w:color w:val="000000"/>
      <w:spacing w:val="-20"/>
      <w:sz w:val="24"/>
      <w:lang w:val="ru-RU" w:bidi="ar-SA"/>
    </w:rPr>
  </w:style>
  <w:style w:type="character" w:styleId="949">
    <w:name w:val=" Знак Знак7"/>
    <w:qFormat/>
    <w:rPr>
      <w:rFonts w:ascii="Calibri" w:hAnsi="Calibri" w:cs="Calibri"/>
      <w:b/>
      <w:bCs/>
      <w:sz w:val="28"/>
      <w:szCs w:val="28"/>
    </w:rPr>
  </w:style>
  <w:style w:type="character" w:styleId="950">
    <w:name w:val="Текст ТД Знак"/>
    <w:qFormat/>
    <w:rPr>
      <w:rFonts w:eastAsia="Calibri"/>
      <w:sz w:val="24"/>
      <w:szCs w:val="24"/>
    </w:rPr>
  </w:style>
  <w:style w:type="character" w:styleId="951">
    <w:name w:val=" Знак Знак"/>
    <w:qFormat/>
    <w:rPr>
      <w:rFonts w:ascii="Tahoma" w:hAnsi="Tahoma" w:eastAsia="Calibri" w:cs="Tahoma"/>
      <w:color w:val="000000"/>
      <w:spacing w:val="-20"/>
      <w:sz w:val="16"/>
      <w:szCs w:val="16"/>
    </w:rPr>
  </w:style>
  <w:style w:type="character" w:styleId="952">
    <w:name w:val="apple-converted-space"/>
    <w:basedOn w:val="940"/>
    <w:qFormat/>
  </w:style>
  <w:style w:type="character" w:styleId="953">
    <w:name w:val="ConsPlusNormal Знак"/>
    <w:qFormat/>
    <w:rPr>
      <w:rFonts w:ascii="Arial" w:hAnsi="Arial" w:cs="Arial"/>
      <w:lang w:val="ru-RU" w:bidi="ar-SA"/>
    </w:rPr>
  </w:style>
  <w:style w:type="character" w:styleId="954">
    <w:name w:val=" Знак Знак8"/>
    <w:qFormat/>
    <w:rPr>
      <w:rFonts w:ascii="Cambria" w:hAnsi="Cambria" w:eastAsia="Times New Roman" w:cs="Times New Roman"/>
      <w:b/>
      <w:bCs/>
      <w:i/>
      <w:iCs/>
      <w:color w:val="000000"/>
      <w:spacing w:val="-20"/>
      <w:sz w:val="28"/>
      <w:szCs w:val="28"/>
    </w:rPr>
  </w:style>
  <w:style w:type="character" w:styleId="955">
    <w:name w:val="Font Style27"/>
    <w:qFormat/>
    <w:rPr>
      <w:rFonts w:ascii="Times New Roman" w:hAnsi="Times New Roman" w:cs="Times New Roman"/>
      <w:sz w:val="22"/>
      <w:szCs w:val="22"/>
    </w:rPr>
  </w:style>
  <w:style w:type="character" w:styleId="956">
    <w:name w:val="Hyperlink"/>
    <w:rPr>
      <w:color w:val="0000ff"/>
      <w:u w:val="single"/>
    </w:rPr>
  </w:style>
  <w:style w:type="character" w:styleId="957">
    <w:name w:val="Character Style 1"/>
    <w:qFormat/>
    <w:rPr>
      <w:rFonts w:ascii="Verdana" w:hAnsi="Verdana" w:cs="Verdana"/>
      <w:sz w:val="20"/>
    </w:rPr>
  </w:style>
  <w:style w:type="character" w:styleId="958">
    <w:name w:val="Основной текст Знак"/>
    <w:qFormat/>
    <w:rPr>
      <w:rFonts w:eastAsia="Calibri"/>
      <w:sz w:val="28"/>
      <w:szCs w:val="28"/>
      <w:lang w:eastAsia="zh-CN"/>
    </w:rPr>
  </w:style>
  <w:style w:type="character" w:styleId="959">
    <w:name w:val="Font Style20"/>
    <w:qFormat/>
    <w:rPr>
      <w:rFonts w:ascii="Times New Roman" w:hAnsi="Times New Roman" w:cs="Times New Roman"/>
      <w:sz w:val="22"/>
      <w:szCs w:val="22"/>
    </w:rPr>
  </w:style>
  <w:style w:type="character" w:styleId="960">
    <w:name w:val="fontstyle01"/>
    <w:qFormat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character" w:styleId="961">
    <w:name w:val="Font Style12"/>
    <w:qFormat/>
    <w:rPr>
      <w:rFonts w:ascii="Calibri" w:hAnsi="Calibri" w:cs="Calibri"/>
      <w:sz w:val="26"/>
      <w:szCs w:val="26"/>
    </w:rPr>
  </w:style>
  <w:style w:type="character" w:styleId="962">
    <w:name w:val="Абзац списка Знак"/>
    <w:qFormat/>
    <w:rPr>
      <w:rFonts w:ascii="Calibri" w:hAnsi="Calibri" w:cs="Calibri"/>
      <w:sz w:val="22"/>
      <w:szCs w:val="22"/>
      <w:lang w:eastAsia="zh-CN"/>
    </w:rPr>
  </w:style>
  <w:style w:type="paragraph" w:styleId="963">
    <w:name w:val="Заголовок"/>
    <w:basedOn w:val="846"/>
    <w:next w:val="964"/>
    <w:qFormat/>
    <w:pPr>
      <w:keepNext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964">
    <w:name w:val="Body Text"/>
    <w:basedOn w:val="846"/>
    <w:rPr>
      <w:color w:val="000000"/>
      <w:spacing w:val="0"/>
      <w:sz w:val="28"/>
      <w:szCs w:val="28"/>
      <w:lang w:val="ru-RU"/>
    </w:rPr>
  </w:style>
  <w:style w:type="paragraph" w:styleId="965">
    <w:name w:val="List"/>
    <w:basedOn w:val="964"/>
    <w:rPr>
      <w:rFonts w:cs="Mangal"/>
    </w:rPr>
  </w:style>
  <w:style w:type="paragraph" w:styleId="966">
    <w:name w:val="Caption"/>
    <w:basedOn w:val="846"/>
    <w:link w:val="702"/>
    <w:qFormat/>
    <w:pPr>
      <w:spacing w:before="120" w:after="120"/>
      <w:suppressLineNumbers/>
    </w:pPr>
    <w:rPr>
      <w:rFonts w:cs="Noto Sans Devanagari"/>
      <w:i/>
      <w:iCs/>
      <w:sz w:val="24"/>
      <w:szCs w:val="24"/>
    </w:rPr>
  </w:style>
  <w:style w:type="paragraph" w:styleId="967">
    <w:name w:val="Указатель"/>
    <w:basedOn w:val="846"/>
    <w:qFormat/>
    <w:pPr>
      <w:suppressLineNumbers/>
    </w:pPr>
    <w:rPr>
      <w:rFonts w:cs="Noto Sans Devanagari"/>
    </w:rPr>
  </w:style>
  <w:style w:type="paragraph" w:styleId="968">
    <w:name w:val="Заголовок1"/>
    <w:basedOn w:val="846"/>
    <w:next w:val="964"/>
    <w:qFormat/>
    <w:pPr>
      <w:keepNext/>
      <w:spacing w:before="240" w:after="120" w:line="276" w:lineRule="auto"/>
    </w:pPr>
    <w:rPr>
      <w:rFonts w:ascii="Nimbus Sans L;Arial" w:hAnsi="Nimbus Sans L;Arial" w:eastAsia="Times New Roman" w:cs="Nimbus Sans L;Arial"/>
      <w:color w:val="000000"/>
      <w:spacing w:val="0"/>
      <w:sz w:val="28"/>
      <w:szCs w:val="28"/>
    </w:rPr>
  </w:style>
  <w:style w:type="paragraph" w:styleId="969">
    <w:name w:val="Название объекта"/>
    <w:basedOn w:val="846"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970">
    <w:name w:val="Указатель2"/>
    <w:basedOn w:val="846"/>
    <w:qFormat/>
    <w:pPr>
      <w:suppressLineNumbers/>
    </w:pPr>
    <w:rPr>
      <w:rFonts w:cs="Mangal"/>
    </w:rPr>
  </w:style>
  <w:style w:type="paragraph" w:styleId="971">
    <w:name w:val="Название объекта1"/>
    <w:basedOn w:val="846"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972">
    <w:name w:val="Указатель1"/>
    <w:basedOn w:val="846"/>
    <w:qFormat/>
    <w:pPr>
      <w:suppressLineNumbers/>
    </w:pPr>
    <w:rPr>
      <w:rFonts w:cs="Mangal"/>
    </w:rPr>
  </w:style>
  <w:style w:type="paragraph" w:styleId="973">
    <w:name w:val="Body Text Indent"/>
    <w:basedOn w:val="846"/>
    <w:pPr>
      <w:ind w:left="283" w:right="0" w:firstLine="0"/>
      <w:spacing w:before="0" w:after="120"/>
    </w:pPr>
  </w:style>
  <w:style w:type="paragraph" w:styleId="974">
    <w:name w:val="Колонтитулы"/>
    <w:basedOn w:val="846"/>
    <w:qFormat/>
    <w:pPr>
      <w:tabs>
        <w:tab w:val="clear" w:pos="709" w:leader="none"/>
        <w:tab w:val="center" w:pos="4819" w:leader="none"/>
        <w:tab w:val="right" w:pos="9638" w:leader="none"/>
      </w:tabs>
      <w:suppressLineNumbers/>
    </w:pPr>
  </w:style>
  <w:style w:type="paragraph" w:styleId="975">
    <w:name w:val="Header"/>
    <w:basedOn w:val="846"/>
    <w:pPr>
      <w:tabs>
        <w:tab w:val="clear" w:pos="709" w:leader="none"/>
        <w:tab w:val="center" w:pos="4677" w:leader="none"/>
        <w:tab w:val="right" w:pos="9355" w:leader="none"/>
      </w:tabs>
    </w:pPr>
    <w:rPr>
      <w:color w:val="000000"/>
      <w:spacing w:val="0"/>
    </w:rPr>
  </w:style>
  <w:style w:type="paragraph" w:styleId="976">
    <w:name w:val="Noeeu"/>
    <w:qFormat/>
    <w:pPr>
      <w:widowControl w:val="off"/>
    </w:pPr>
    <w:rPr>
      <w:rFonts w:ascii="Times New Roman" w:hAnsi="Times New Roman" w:eastAsia="Times New Roman" w:cs="Times New Roman"/>
      <w:color w:val="auto"/>
      <w:spacing w:val="-1"/>
      <w:sz w:val="24"/>
      <w:szCs w:val="24"/>
      <w:vertAlign w:val="superscript"/>
      <w:lang w:val="en-US" w:eastAsia="zh-CN" w:bidi="ar-SA"/>
    </w:rPr>
  </w:style>
  <w:style w:type="paragraph" w:styleId="977">
    <w:name w:val="ConsNormal"/>
    <w:qFormat/>
    <w:pPr>
      <w:ind w:left="0" w:right="19772" w:firstLine="720"/>
      <w:widowControl w:val="off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978">
    <w:name w:val="ConsNonformat"/>
    <w:qFormat/>
    <w:pPr>
      <w:ind w:left="0" w:right="19772" w:firstLine="0"/>
      <w:widowControl w:val="off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979">
    <w:name w:val="ConsPlusNormal"/>
    <w:qFormat/>
    <w:pPr>
      <w:ind w:left="0" w:right="0" w:firstLine="720"/>
      <w:widowControl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980">
    <w:name w:val="Основной текст с отступом 21"/>
    <w:basedOn w:val="846"/>
    <w:qFormat/>
    <w:pPr>
      <w:ind w:left="283" w:right="0" w:firstLine="0"/>
      <w:spacing w:before="0" w:after="120" w:line="480" w:lineRule="auto"/>
    </w:pPr>
  </w:style>
  <w:style w:type="paragraph" w:styleId="981">
    <w:name w:val="Основной текст с отступом 31"/>
    <w:basedOn w:val="846"/>
    <w:qFormat/>
    <w:pPr>
      <w:ind w:left="283" w:right="0" w:firstLine="0"/>
      <w:spacing w:before="0" w:after="120"/>
    </w:pPr>
    <w:rPr>
      <w:rFonts w:eastAsia="Times New Roman"/>
      <w:color w:val="000000"/>
      <w:spacing w:val="0"/>
      <w:sz w:val="16"/>
      <w:szCs w:val="16"/>
    </w:rPr>
  </w:style>
  <w:style w:type="paragraph" w:styleId="982">
    <w:name w:val="Основной текст 21"/>
    <w:basedOn w:val="846"/>
    <w:qFormat/>
    <w:pPr>
      <w:spacing w:before="0" w:after="120" w:line="480" w:lineRule="auto"/>
    </w:pPr>
    <w:rPr>
      <w:szCs w:val="20"/>
    </w:rPr>
  </w:style>
  <w:style w:type="paragraph" w:styleId="983">
    <w:name w:val="Контракт-раздел"/>
    <w:basedOn w:val="846"/>
    <w:next w:val="984"/>
    <w:qFormat/>
    <w:pPr>
      <w:numPr>
        <w:ilvl w:val="0"/>
        <w:numId w:val="2"/>
      </w:numPr>
      <w:jc w:val="center"/>
      <w:keepNext/>
      <w:spacing w:before="360" w:after="120"/>
      <w:tabs>
        <w:tab w:val="left" w:pos="540" w:leader="none"/>
        <w:tab w:val="clear" w:pos="709" w:leader="none"/>
      </w:tabs>
    </w:pPr>
    <w:rPr>
      <w:rFonts w:eastAsia="Times New Roman"/>
      <w:b/>
      <w:bCs/>
      <w:caps/>
      <w:color w:val="000000"/>
      <w:spacing w:val="0"/>
    </w:rPr>
  </w:style>
  <w:style w:type="paragraph" w:styleId="984">
    <w:name w:val="Контракт-пункт"/>
    <w:basedOn w:val="846"/>
    <w:qFormat/>
    <w:pPr>
      <w:numPr>
        <w:ilvl w:val="0"/>
        <w:numId w:val="2"/>
      </w:numPr>
      <w:jc w:val="both"/>
    </w:pPr>
    <w:rPr>
      <w:rFonts w:eastAsia="Times New Roman"/>
      <w:color w:val="000000"/>
      <w:spacing w:val="0"/>
    </w:rPr>
  </w:style>
  <w:style w:type="paragraph" w:styleId="985">
    <w:name w:val="Контракт-подпункт"/>
    <w:basedOn w:val="846"/>
    <w:qFormat/>
    <w:pPr>
      <w:numPr>
        <w:ilvl w:val="0"/>
        <w:numId w:val="2"/>
      </w:numPr>
      <w:jc w:val="both"/>
    </w:pPr>
    <w:rPr>
      <w:rFonts w:eastAsia="Times New Roman"/>
      <w:color w:val="000000"/>
      <w:spacing w:val="0"/>
    </w:rPr>
  </w:style>
  <w:style w:type="paragraph" w:styleId="986">
    <w:name w:val="Контракт-подподпункт"/>
    <w:basedOn w:val="846"/>
    <w:qFormat/>
    <w:pPr>
      <w:numPr>
        <w:ilvl w:val="0"/>
        <w:numId w:val="2"/>
      </w:numPr>
      <w:jc w:val="both"/>
    </w:pPr>
    <w:rPr>
      <w:rFonts w:eastAsia="Times New Roman"/>
      <w:color w:val="000000"/>
      <w:spacing w:val="0"/>
    </w:rPr>
  </w:style>
  <w:style w:type="paragraph" w:styleId="987">
    <w:name w:val="Текст ТД"/>
    <w:basedOn w:val="846"/>
    <w:qFormat/>
    <w:pPr>
      <w:numPr>
        <w:ilvl w:val="0"/>
        <w:numId w:val="3"/>
      </w:numPr>
      <w:jc w:val="both"/>
      <w:spacing w:before="0" w:after="200"/>
    </w:pPr>
    <w:rPr>
      <w:color w:val="000000"/>
      <w:spacing w:val="0"/>
    </w:rPr>
  </w:style>
  <w:style w:type="paragraph" w:styleId="988">
    <w:name w:val="Текст выноски"/>
    <w:basedOn w:val="846"/>
    <w:qFormat/>
    <w:rPr>
      <w:rFonts w:ascii="Tahoma" w:hAnsi="Tahoma" w:cs="Tahoma"/>
      <w:sz w:val="16"/>
      <w:szCs w:val="16"/>
    </w:rPr>
  </w:style>
  <w:style w:type="paragraph" w:styleId="989">
    <w:name w:val="Цитаты"/>
    <w:basedOn w:val="846"/>
    <w:qFormat/>
    <w:pPr>
      <w:ind w:left="360" w:right="360" w:firstLine="0"/>
      <w:spacing w:before="100" w:after="100"/>
    </w:pPr>
    <w:rPr>
      <w:rFonts w:eastAsia="Times New Roman"/>
      <w:color w:val="000000"/>
      <w:spacing w:val="0"/>
      <w:sz w:val="20"/>
    </w:rPr>
  </w:style>
  <w:style w:type="paragraph" w:styleId="990">
    <w:name w:val="s_3"/>
    <w:basedOn w:val="846"/>
    <w:qFormat/>
    <w:pPr>
      <w:spacing w:before="280" w:after="280"/>
    </w:pPr>
    <w:rPr>
      <w:rFonts w:eastAsia="Times New Roman"/>
      <w:color w:val="000000"/>
      <w:spacing w:val="0"/>
    </w:rPr>
  </w:style>
  <w:style w:type="paragraph" w:styleId="991">
    <w:name w:val="ConsPlusTitle"/>
    <w:qFormat/>
    <w:pPr>
      <w:widowControl w:val="off"/>
    </w:pPr>
    <w:rPr>
      <w:rFonts w:ascii="Arial" w:hAnsi="Arial" w:eastAsia="Times New Roman" w:cs="Arial"/>
      <w:b/>
      <w:bCs/>
      <w:color w:val="auto"/>
      <w:sz w:val="16"/>
      <w:szCs w:val="16"/>
      <w:lang w:val="ru-RU" w:eastAsia="zh-CN" w:bidi="ar-SA"/>
    </w:rPr>
  </w:style>
  <w:style w:type="paragraph" w:styleId="992">
    <w:name w:val="Содержимое таблицы"/>
    <w:basedOn w:val="846"/>
    <w:qFormat/>
    <w:pPr>
      <w:suppressLineNumbers/>
    </w:pPr>
  </w:style>
  <w:style w:type="paragraph" w:styleId="993">
    <w:name w:val="Заголовок таблицы"/>
    <w:basedOn w:val="992"/>
    <w:qFormat/>
    <w:pPr>
      <w:jc w:val="center"/>
      <w:suppressLineNumbers/>
    </w:pPr>
    <w:rPr>
      <w:b/>
      <w:bCs/>
    </w:rPr>
  </w:style>
  <w:style w:type="paragraph" w:styleId="994">
    <w:name w:val="Footer"/>
    <w:basedOn w:val="846"/>
    <w:pPr>
      <w:tabs>
        <w:tab w:val="clear" w:pos="709" w:leader="none"/>
        <w:tab w:val="center" w:pos="4819" w:leader="none"/>
        <w:tab w:val="right" w:pos="9638" w:leader="none"/>
      </w:tabs>
      <w:suppressLineNumbers/>
    </w:pPr>
  </w:style>
  <w:style w:type="paragraph" w:styleId="995">
    <w:name w:val="Абзац списка"/>
    <w:basedOn w:val="846"/>
    <w:qFormat/>
    <w:pPr>
      <w:contextualSpacing/>
      <w:ind w:left="720" w:right="0" w:firstLine="0"/>
      <w:spacing w:before="0" w:after="200" w:line="276" w:lineRule="auto"/>
    </w:pPr>
    <w:rPr>
      <w:rFonts w:ascii="Calibri" w:hAnsi="Calibri" w:eastAsia="Times New Roman" w:cs="Times New Roman"/>
      <w:color w:val="000000"/>
      <w:spacing w:val="0"/>
      <w:sz w:val="22"/>
      <w:szCs w:val="22"/>
    </w:rPr>
  </w:style>
  <w:style w:type="paragraph" w:styleId="996">
    <w:name w:val="Обычный (веб)"/>
    <w:basedOn w:val="846"/>
    <w:qFormat/>
    <w:pPr>
      <w:spacing w:before="280" w:after="280"/>
    </w:pPr>
    <w:rPr>
      <w:rFonts w:eastAsia="Times New Roman"/>
      <w:color w:val="000000"/>
      <w:spacing w:val="0"/>
    </w:rPr>
  </w:style>
  <w:style w:type="paragraph" w:styleId="997">
    <w:name w:val="Без интервала"/>
    <w:qFormat/>
    <w:pPr>
      <w:widowControl/>
    </w:pPr>
    <w:rPr>
      <w:rFonts w:ascii="Calibri" w:hAnsi="Calibri" w:eastAsia="Calibri" w:cs="Calibri"/>
      <w:color w:val="auto"/>
      <w:sz w:val="22"/>
      <w:szCs w:val="22"/>
      <w:lang w:val="ru-RU" w:eastAsia="zh-CN" w:bidi="ar-SA"/>
    </w:rPr>
  </w:style>
  <w:style w:type="paragraph" w:styleId="998">
    <w:name w:val="Standard"/>
    <w:qFormat/>
    <w:pPr>
      <w:widowControl w:val="off"/>
    </w:pPr>
    <w:rPr>
      <w:rFonts w:ascii="Times New Roman" w:hAnsi="Times New Roman" w:eastAsia="Lucida Sans Unicode" w:cs="Times New Roman"/>
      <w:color w:val="auto"/>
      <w:sz w:val="24"/>
      <w:szCs w:val="24"/>
      <w:lang w:val="ru-RU" w:eastAsia="zh-CN" w:bidi="hi-IN"/>
    </w:rPr>
  </w:style>
  <w:style w:type="paragraph" w:styleId="999">
    <w:name w:val="s_1"/>
    <w:basedOn w:val="846"/>
    <w:qFormat/>
    <w:pPr>
      <w:ind w:left="0" w:right="0" w:firstLine="720"/>
      <w:jc w:val="both"/>
    </w:pPr>
    <w:rPr>
      <w:rFonts w:ascii="Arial" w:hAnsi="Arial" w:eastAsia="Times New Roman" w:cs="Arial"/>
      <w:color w:val="000000"/>
      <w:spacing w:val="0"/>
      <w:sz w:val="26"/>
      <w:szCs w:val="26"/>
    </w:rPr>
  </w:style>
  <w:style w:type="numbering" w:styleId="1000">
    <w:name w:val="WW8Num1"/>
    <w:qFormat/>
  </w:style>
  <w:style w:type="numbering" w:styleId="1001">
    <w:name w:val="WW8Num2"/>
    <w:qFormat/>
  </w:style>
  <w:style w:type="numbering" w:styleId="1002">
    <w:name w:val="WW8Num3"/>
    <w:qFormat/>
  </w:style>
  <w:style w:type="numbering" w:styleId="1003">
    <w:name w:val="WW8Num4"/>
    <w:qFormat/>
  </w:style>
  <w:style w:type="numbering" w:styleId="1004">
    <w:name w:val="WW8Num5"/>
    <w:qFormat/>
  </w:style>
  <w:style w:type="numbering" w:styleId="1005">
    <w:name w:val="WW8Num6"/>
    <w:qFormat/>
  </w:style>
  <w:style w:type="numbering" w:styleId="1006">
    <w:name w:val="WW8Num7"/>
    <w:qFormat/>
  </w:style>
  <w:style w:type="numbering" w:styleId="1007">
    <w:name w:val="WW8Num8"/>
    <w:qFormat/>
  </w:style>
  <w:style w:type="numbering" w:styleId="1008">
    <w:name w:val="WW8Num9"/>
    <w:qFormat/>
  </w:style>
  <w:style w:type="numbering" w:styleId="1009">
    <w:name w:val="WW8Num10"/>
    <w:qFormat/>
  </w:style>
  <w:style w:type="numbering" w:styleId="1010">
    <w:name w:val="WW8Num11"/>
    <w:qFormat/>
  </w:style>
  <w:style w:type="character" w:styleId="1011" w:default="1">
    <w:name w:val="Default Paragraph Font"/>
    <w:uiPriority w:val="1"/>
    <w:semiHidden/>
    <w:unhideWhenUsed/>
  </w:style>
  <w:style w:type="numbering" w:styleId="1012" w:default="1">
    <w:name w:val="No List"/>
    <w:uiPriority w:val="99"/>
    <w:semiHidden/>
    <w:unhideWhenUsed/>
  </w:style>
  <w:style w:type="table" w:styleId="1013" w:default="1">
    <w:name w:val="Normal Table"/>
    <w:uiPriority w:val="99"/>
    <w:semiHidden/>
    <w:unhideWhenUsed/>
    <w:tblPr/>
  </w:style>
  <w:style w:type="paragraph" w:styleId="1014" w:customStyle="1">
    <w:name w:val="Абзац списка,ТЗ список,Bullet List,FooterText,numbered,Paragraphe de liste1,lp1,Bulletr List Paragraph,Bullet 1,Use Case List Paragraph,Маркер,Абзац списка нумерованный,Абзац списка литеральный,Булет1,1Булет,фото,Рисунок,Абзац списка с маркерами"/>
    <w:basedOn w:val="885"/>
    <w:next w:val="987"/>
    <w:link w:val="999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character" w:styleId="1015" w:customStyle="1">
    <w:name w:val="Гиперссылка"/>
    <w:next w:val="958"/>
    <w:link w:val="885"/>
    <w:rPr>
      <w:color w:val="0000ff"/>
      <w:u w:val="single"/>
    </w:rPr>
  </w:style>
  <w:style w:type="paragraph" w:styleId="1016" w:customStyle="1">
    <w:name w:val="Основной текст"/>
    <w:basedOn w:val="885"/>
    <w:next w:val="960"/>
    <w:link w:val="992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Calibri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en-US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consultantplus://offline/ref=782E9CC4CCC6932545801925E3B536176E50B53C1FD70BD7655CABC93DB89C271041D8CD019EE696393B294E112BD805805FEF4CF4B5672237V6P" TargetMode="External"/><Relationship Id="rId11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12" Type="http://schemas.openxmlformats.org/officeDocument/2006/relationships/hyperlink" Target="consultantplus://offline/ref=782E9CC4CCC6932545801925E3B536176E50B53C1FD70BD7655CABC93DB89C271041D8CD019EE692303B294E112BD805805FEF4CF4B5672237V6P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Normal_x0000_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                              ГОСУДАРСТВЕННЫЙ КОНТРАКТ №__</dc:title>
  <dc:subject/>
  <dc:creator>User</dc:creator>
  <cp:keywords/>
  <dc:description/>
  <dc:language>ru-RU</dc:language>
  <cp:lastModifiedBy>a.nadtochij</cp:lastModifiedBy>
  <cp:revision>52</cp:revision>
  <dcterms:created xsi:type="dcterms:W3CDTF">2021-09-13T12:23:00Z</dcterms:created>
  <dcterms:modified xsi:type="dcterms:W3CDTF">2026-08-12T09:19:55Z</dcterms:modified>
</cp:coreProperties>
</file>