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0628" w:rsidRPr="00A80628" w:rsidRDefault="00A80628" w:rsidP="00A80628">
      <w:pPr>
        <w:spacing w:line="240" w:lineRule="atLeast"/>
        <w:jc w:val="right"/>
        <w:rPr>
          <w:b/>
          <w:bCs/>
        </w:rPr>
      </w:pPr>
    </w:p>
    <w:p w:rsidR="00454F12" w:rsidRPr="00A80628" w:rsidRDefault="00454F12" w:rsidP="00454F12">
      <w:pPr>
        <w:jc w:val="center"/>
        <w:rPr>
          <w:b/>
          <w:bCs/>
        </w:rPr>
      </w:pPr>
      <w:r w:rsidRPr="00A80628">
        <w:rPr>
          <w:b/>
          <w:bCs/>
        </w:rPr>
        <w:t>ОБОСНОВАНИЕ ЦЕНЫ КОНТРАКТА, ЗАКЛЮЧАЕМОГО С ЕДИНСТВЕННЫМ ПОСТАВЩИКОМ</w:t>
      </w:r>
    </w:p>
    <w:p w:rsidR="00454F12" w:rsidRPr="00266BF9" w:rsidRDefault="00A16EAB" w:rsidP="00EC50CD">
      <w:pPr>
        <w:jc w:val="center"/>
      </w:pPr>
      <w:r>
        <w:rPr>
          <w:b/>
          <w:bCs/>
          <w:sz w:val="28"/>
          <w:szCs w:val="28"/>
        </w:rPr>
        <w:t xml:space="preserve">Поставка </w:t>
      </w:r>
      <w:r w:rsidR="00D02885">
        <w:rPr>
          <w:b/>
          <w:bCs/>
          <w:sz w:val="28"/>
          <w:szCs w:val="28"/>
        </w:rPr>
        <w:t>химических реактивов</w:t>
      </w:r>
      <w:r w:rsidR="00314F76">
        <w:rPr>
          <w:b/>
          <w:bCs/>
          <w:sz w:val="28"/>
          <w:szCs w:val="28"/>
        </w:rPr>
        <w:t xml:space="preserve"> и расходных материалов</w:t>
      </w:r>
    </w:p>
    <w:tbl>
      <w:tblPr>
        <w:tblW w:w="159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5131"/>
        <w:gridCol w:w="297"/>
        <w:gridCol w:w="267"/>
        <w:gridCol w:w="1887"/>
        <w:gridCol w:w="141"/>
        <w:gridCol w:w="1944"/>
        <w:gridCol w:w="567"/>
        <w:gridCol w:w="567"/>
        <w:gridCol w:w="1274"/>
        <w:gridCol w:w="184"/>
        <w:gridCol w:w="88"/>
        <w:gridCol w:w="919"/>
        <w:gridCol w:w="347"/>
        <w:gridCol w:w="1071"/>
        <w:gridCol w:w="1220"/>
        <w:gridCol w:w="79"/>
      </w:tblGrid>
      <w:tr w:rsidR="00C34B43" w:rsidRPr="00A80628" w:rsidTr="00CD38D2">
        <w:trPr>
          <w:gridAfter w:val="1"/>
          <w:wAfter w:w="79" w:type="dxa"/>
        </w:trPr>
        <w:tc>
          <w:tcPr>
            <w:tcW w:w="5131" w:type="dxa"/>
          </w:tcPr>
          <w:p w:rsidR="00C34B43" w:rsidRPr="00A80628" w:rsidRDefault="00C34B43" w:rsidP="00454F12">
            <w:pPr>
              <w:ind w:left="57" w:right="57"/>
              <w:rPr>
                <w:b/>
              </w:rPr>
            </w:pPr>
            <w:r w:rsidRPr="00A80628">
              <w:rPr>
                <w:b/>
              </w:rPr>
              <w:t>Наименование товара</w:t>
            </w:r>
          </w:p>
        </w:tc>
        <w:tc>
          <w:tcPr>
            <w:tcW w:w="10773" w:type="dxa"/>
            <w:gridSpan w:val="14"/>
          </w:tcPr>
          <w:p w:rsidR="00C34B43" w:rsidRPr="00EC50CD" w:rsidRDefault="00D02885" w:rsidP="00314F76">
            <w:r>
              <w:t>Поставка химических реактивов</w:t>
            </w:r>
            <w:r w:rsidR="00314F76">
              <w:t xml:space="preserve"> и расходных материалов</w:t>
            </w:r>
          </w:p>
        </w:tc>
      </w:tr>
      <w:tr w:rsidR="00C34B43" w:rsidRPr="00A80628" w:rsidTr="00CD38D2">
        <w:trPr>
          <w:gridAfter w:val="1"/>
          <w:wAfter w:w="79" w:type="dxa"/>
          <w:trHeight w:val="270"/>
        </w:trPr>
        <w:tc>
          <w:tcPr>
            <w:tcW w:w="5131" w:type="dxa"/>
            <w:vAlign w:val="center"/>
          </w:tcPr>
          <w:p w:rsidR="00C34B43" w:rsidRPr="00BE6494" w:rsidRDefault="006E0349" w:rsidP="00264AE4">
            <w:pPr>
              <w:ind w:left="57" w:right="57"/>
            </w:pPr>
            <w:r w:rsidRPr="00BE6494">
              <w:t>ОКПД 2</w:t>
            </w:r>
          </w:p>
        </w:tc>
        <w:tc>
          <w:tcPr>
            <w:tcW w:w="10773" w:type="dxa"/>
            <w:gridSpan w:val="14"/>
            <w:vAlign w:val="center"/>
          </w:tcPr>
          <w:p w:rsidR="00C34B43" w:rsidRPr="00DE6E7A" w:rsidRDefault="00266BF9" w:rsidP="00BE6494">
            <w:r w:rsidRPr="007101E7">
              <w:t> </w:t>
            </w:r>
            <w:proofErr w:type="gramStart"/>
            <w:r w:rsidR="00D02885" w:rsidRPr="00D02885">
              <w:t>20.59.52.19</w:t>
            </w:r>
            <w:r w:rsidR="00BE6494">
              <w:t>0</w:t>
            </w:r>
            <w:r w:rsidR="00D02885" w:rsidRPr="00D02885">
              <w:t> </w:t>
            </w:r>
            <w:r w:rsidR="00BE6494" w:rsidRPr="00BE6494">
              <w:t>Реагенты сложные диагностические или лабораторные, не включенные в другие группировки)</w:t>
            </w:r>
            <w:proofErr w:type="gramEnd"/>
          </w:p>
        </w:tc>
      </w:tr>
      <w:tr w:rsidR="0034095C" w:rsidRPr="00A80628" w:rsidTr="00CD38D2">
        <w:tc>
          <w:tcPr>
            <w:tcW w:w="5131" w:type="dxa"/>
          </w:tcPr>
          <w:p w:rsidR="0034095C" w:rsidRPr="00A80628" w:rsidRDefault="0034095C" w:rsidP="00034574">
            <w:pPr>
              <w:ind w:left="57" w:right="57"/>
              <w:jc w:val="both"/>
              <w:rPr>
                <w:b/>
                <w:bCs/>
              </w:rPr>
            </w:pPr>
            <w:r w:rsidRPr="00A80628">
              <w:rPr>
                <w:b/>
                <w:bCs/>
              </w:rPr>
              <w:t>Используемый метод определения цены контракта, заключаемого с единственным поставщиком</w:t>
            </w:r>
            <w:r>
              <w:rPr>
                <w:b/>
                <w:bCs/>
              </w:rPr>
              <w:t>:</w:t>
            </w:r>
          </w:p>
        </w:tc>
        <w:tc>
          <w:tcPr>
            <w:tcW w:w="10773" w:type="dxa"/>
            <w:gridSpan w:val="14"/>
          </w:tcPr>
          <w:p w:rsidR="0034095C" w:rsidRPr="00A80628" w:rsidRDefault="0034095C" w:rsidP="00034574">
            <w:pPr>
              <w:tabs>
                <w:tab w:val="left" w:pos="582"/>
              </w:tabs>
              <w:snapToGrid w:val="0"/>
              <w:ind w:left="57" w:right="57"/>
              <w:jc w:val="both"/>
            </w:pPr>
            <w:r w:rsidRPr="00A80628">
              <w:t>Метод сопоставимых рыночных цен (анализа рынка). Метод является приоритетным.</w:t>
            </w:r>
          </w:p>
        </w:tc>
        <w:tc>
          <w:tcPr>
            <w:tcW w:w="79" w:type="dxa"/>
            <w:tcBorders>
              <w:right w:val="nil"/>
            </w:tcBorders>
          </w:tcPr>
          <w:p w:rsidR="0034095C" w:rsidRPr="00A80628" w:rsidRDefault="0034095C" w:rsidP="00EE6E5E">
            <w:pPr>
              <w:tabs>
                <w:tab w:val="left" w:pos="0"/>
              </w:tabs>
              <w:ind w:right="57"/>
              <w:jc w:val="center"/>
              <w:rPr>
                <w:noProof/>
              </w:rPr>
            </w:pPr>
          </w:p>
        </w:tc>
      </w:tr>
      <w:tr w:rsidR="00DE74F7" w:rsidRPr="00A80628" w:rsidTr="0025110E">
        <w:trPr>
          <w:gridAfter w:val="1"/>
          <w:wAfter w:w="79" w:type="dxa"/>
          <w:trHeight w:val="540"/>
        </w:trPr>
        <w:tc>
          <w:tcPr>
            <w:tcW w:w="5131" w:type="dxa"/>
            <w:vMerge w:val="restart"/>
          </w:tcPr>
          <w:p w:rsidR="00DE74F7" w:rsidRPr="00A80628" w:rsidRDefault="00DE74F7" w:rsidP="009E39DE">
            <w:pPr>
              <w:tabs>
                <w:tab w:val="left" w:pos="582"/>
              </w:tabs>
              <w:snapToGrid w:val="0"/>
              <w:ind w:left="57" w:right="57"/>
              <w:rPr>
                <w:b/>
              </w:rPr>
            </w:pPr>
          </w:p>
        </w:tc>
        <w:tc>
          <w:tcPr>
            <w:tcW w:w="4536" w:type="dxa"/>
            <w:gridSpan w:val="5"/>
            <w:vMerge w:val="restart"/>
          </w:tcPr>
          <w:p w:rsidR="00DE74F7" w:rsidRPr="00DC56C8" w:rsidRDefault="00DE74F7" w:rsidP="00515098">
            <w:pPr>
              <w:widowControl w:val="0"/>
              <w:adjustRightInd w:val="0"/>
              <w:ind w:left="57" w:right="57"/>
              <w:rPr>
                <w:lang w:val="en-US"/>
              </w:rPr>
            </w:pPr>
          </w:p>
        </w:tc>
        <w:tc>
          <w:tcPr>
            <w:tcW w:w="567" w:type="dxa"/>
            <w:vMerge w:val="restart"/>
          </w:tcPr>
          <w:p w:rsidR="00DE74F7" w:rsidRPr="00A80628" w:rsidRDefault="00DE74F7" w:rsidP="00DE74F7">
            <w:pPr>
              <w:widowControl w:val="0"/>
              <w:adjustRightInd w:val="0"/>
              <w:ind w:left="57" w:right="57"/>
            </w:pPr>
            <w:r>
              <w:t xml:space="preserve">Ед. </w:t>
            </w:r>
            <w:proofErr w:type="spellStart"/>
            <w:r>
              <w:t>изм</w:t>
            </w:r>
            <w:proofErr w:type="spellEnd"/>
            <w:r>
              <w:t>.</w:t>
            </w:r>
          </w:p>
        </w:tc>
        <w:tc>
          <w:tcPr>
            <w:tcW w:w="567" w:type="dxa"/>
            <w:vMerge w:val="restart"/>
          </w:tcPr>
          <w:p w:rsidR="00DE74F7" w:rsidRPr="00A80628" w:rsidRDefault="00DE74F7" w:rsidP="00515098">
            <w:pPr>
              <w:widowControl w:val="0"/>
              <w:adjustRightInd w:val="0"/>
              <w:ind w:left="57" w:right="57"/>
            </w:pPr>
            <w:r>
              <w:t>Кол-во</w:t>
            </w:r>
          </w:p>
        </w:tc>
        <w:tc>
          <w:tcPr>
            <w:tcW w:w="1274" w:type="dxa"/>
            <w:vAlign w:val="center"/>
          </w:tcPr>
          <w:p w:rsidR="00DE74F7" w:rsidRDefault="00DE74F7" w:rsidP="00FF468A">
            <w:pPr>
              <w:tabs>
                <w:tab w:val="left" w:pos="0"/>
              </w:tabs>
              <w:ind w:right="57"/>
              <w:jc w:val="center"/>
            </w:pPr>
            <w:r>
              <w:t>Поставщик 1</w:t>
            </w:r>
          </w:p>
        </w:tc>
        <w:tc>
          <w:tcPr>
            <w:tcW w:w="1191" w:type="dxa"/>
            <w:gridSpan w:val="3"/>
            <w:vAlign w:val="center"/>
          </w:tcPr>
          <w:p w:rsidR="00DE74F7" w:rsidRDefault="00DE74F7" w:rsidP="00FF468A">
            <w:pPr>
              <w:tabs>
                <w:tab w:val="left" w:pos="0"/>
              </w:tabs>
              <w:ind w:right="57"/>
              <w:jc w:val="center"/>
            </w:pPr>
            <w:r>
              <w:t>Поставщик 2</w:t>
            </w:r>
          </w:p>
        </w:tc>
        <w:tc>
          <w:tcPr>
            <w:tcW w:w="1418" w:type="dxa"/>
            <w:gridSpan w:val="2"/>
            <w:vAlign w:val="center"/>
          </w:tcPr>
          <w:p w:rsidR="00DE74F7" w:rsidRDefault="00DE74F7" w:rsidP="00FF468A">
            <w:pPr>
              <w:tabs>
                <w:tab w:val="left" w:pos="0"/>
              </w:tabs>
              <w:snapToGrid w:val="0"/>
              <w:ind w:left="57" w:right="57"/>
              <w:jc w:val="center"/>
            </w:pPr>
            <w:r>
              <w:t>Поставщик 3</w:t>
            </w:r>
          </w:p>
        </w:tc>
        <w:tc>
          <w:tcPr>
            <w:tcW w:w="1220" w:type="dxa"/>
            <w:vAlign w:val="center"/>
          </w:tcPr>
          <w:p w:rsidR="00DE74F7" w:rsidRDefault="00DE74F7" w:rsidP="00DE74F7">
            <w:pPr>
              <w:tabs>
                <w:tab w:val="left" w:pos="0"/>
              </w:tabs>
              <w:snapToGrid w:val="0"/>
              <w:ind w:right="57"/>
              <w:jc w:val="center"/>
            </w:pPr>
            <w:r>
              <w:t>ИТОГО НМЦК</w:t>
            </w:r>
          </w:p>
        </w:tc>
      </w:tr>
      <w:tr w:rsidR="00DE74F7" w:rsidRPr="00A80628" w:rsidTr="0025110E">
        <w:trPr>
          <w:gridAfter w:val="1"/>
          <w:wAfter w:w="79" w:type="dxa"/>
          <w:trHeight w:val="306"/>
        </w:trPr>
        <w:tc>
          <w:tcPr>
            <w:tcW w:w="5131" w:type="dxa"/>
            <w:vMerge/>
          </w:tcPr>
          <w:p w:rsidR="00DE74F7" w:rsidRPr="00A80628" w:rsidRDefault="00DE74F7" w:rsidP="009E39DE">
            <w:pPr>
              <w:tabs>
                <w:tab w:val="left" w:pos="582"/>
              </w:tabs>
              <w:snapToGrid w:val="0"/>
              <w:ind w:left="57" w:right="57"/>
              <w:rPr>
                <w:b/>
              </w:rPr>
            </w:pPr>
          </w:p>
        </w:tc>
        <w:tc>
          <w:tcPr>
            <w:tcW w:w="4536" w:type="dxa"/>
            <w:gridSpan w:val="5"/>
            <w:vMerge/>
          </w:tcPr>
          <w:p w:rsidR="00DE74F7" w:rsidRPr="00A80628" w:rsidRDefault="00DE74F7" w:rsidP="00515098">
            <w:pPr>
              <w:widowControl w:val="0"/>
              <w:adjustRightInd w:val="0"/>
              <w:ind w:left="57" w:right="57"/>
            </w:pPr>
          </w:p>
        </w:tc>
        <w:tc>
          <w:tcPr>
            <w:tcW w:w="567" w:type="dxa"/>
            <w:vMerge/>
          </w:tcPr>
          <w:p w:rsidR="00DE74F7" w:rsidRPr="00A80628" w:rsidRDefault="00DE74F7" w:rsidP="00515098">
            <w:pPr>
              <w:widowControl w:val="0"/>
              <w:adjustRightInd w:val="0"/>
              <w:ind w:left="57" w:right="57"/>
            </w:pPr>
          </w:p>
        </w:tc>
        <w:tc>
          <w:tcPr>
            <w:tcW w:w="567" w:type="dxa"/>
            <w:vMerge/>
          </w:tcPr>
          <w:p w:rsidR="00DE74F7" w:rsidRPr="00A80628" w:rsidRDefault="00DE74F7" w:rsidP="00515098">
            <w:pPr>
              <w:widowControl w:val="0"/>
              <w:adjustRightInd w:val="0"/>
              <w:ind w:left="57" w:right="57"/>
            </w:pPr>
          </w:p>
        </w:tc>
        <w:tc>
          <w:tcPr>
            <w:tcW w:w="1274" w:type="dxa"/>
            <w:vAlign w:val="center"/>
          </w:tcPr>
          <w:p w:rsidR="00DE74F7" w:rsidRDefault="0025110E" w:rsidP="0025110E">
            <w:pPr>
              <w:tabs>
                <w:tab w:val="left" w:pos="0"/>
              </w:tabs>
              <w:snapToGrid w:val="0"/>
              <w:ind w:left="57" w:right="57" w:firstLine="2"/>
              <w:jc w:val="both"/>
            </w:pPr>
            <w:r>
              <w:t>Цена за е</w:t>
            </w:r>
            <w:r w:rsidR="00DE74F7">
              <w:t xml:space="preserve">д., включая НДС </w:t>
            </w:r>
          </w:p>
        </w:tc>
        <w:tc>
          <w:tcPr>
            <w:tcW w:w="1191" w:type="dxa"/>
            <w:gridSpan w:val="3"/>
            <w:vAlign w:val="center"/>
          </w:tcPr>
          <w:p w:rsidR="00DE74F7" w:rsidRDefault="00DE74F7" w:rsidP="002E2A5F">
            <w:pPr>
              <w:tabs>
                <w:tab w:val="left" w:pos="0"/>
              </w:tabs>
              <w:snapToGrid w:val="0"/>
              <w:ind w:left="57" w:right="57"/>
              <w:jc w:val="center"/>
            </w:pPr>
            <w:r>
              <w:t xml:space="preserve">Цена за ед., включая НДС </w:t>
            </w:r>
          </w:p>
        </w:tc>
        <w:tc>
          <w:tcPr>
            <w:tcW w:w="1418" w:type="dxa"/>
            <w:gridSpan w:val="2"/>
            <w:vAlign w:val="center"/>
          </w:tcPr>
          <w:p w:rsidR="00DE74F7" w:rsidRDefault="00DE74F7" w:rsidP="006F6945">
            <w:pPr>
              <w:tabs>
                <w:tab w:val="left" w:pos="0"/>
              </w:tabs>
              <w:snapToGrid w:val="0"/>
              <w:ind w:left="57" w:right="57"/>
              <w:jc w:val="center"/>
            </w:pPr>
            <w:r>
              <w:t xml:space="preserve">Цена за ед., включая НДС </w:t>
            </w:r>
          </w:p>
        </w:tc>
        <w:tc>
          <w:tcPr>
            <w:tcW w:w="1220" w:type="dxa"/>
            <w:vAlign w:val="center"/>
          </w:tcPr>
          <w:p w:rsidR="00DE74F7" w:rsidRDefault="00091BC3" w:rsidP="006F6945">
            <w:pPr>
              <w:tabs>
                <w:tab w:val="left" w:pos="0"/>
              </w:tabs>
              <w:snapToGrid w:val="0"/>
              <w:ind w:left="57" w:right="57"/>
              <w:jc w:val="center"/>
            </w:pPr>
            <w:r>
              <w:t xml:space="preserve">включая НДС </w:t>
            </w:r>
          </w:p>
        </w:tc>
      </w:tr>
      <w:tr w:rsidR="00CD38D2" w:rsidRPr="00A80628" w:rsidTr="0025110E">
        <w:trPr>
          <w:gridAfter w:val="1"/>
          <w:wAfter w:w="79" w:type="dxa"/>
          <w:trHeight w:val="90"/>
        </w:trPr>
        <w:tc>
          <w:tcPr>
            <w:tcW w:w="5131" w:type="dxa"/>
            <w:vMerge w:val="restart"/>
          </w:tcPr>
          <w:p w:rsidR="00CD38D2" w:rsidRPr="00A80628" w:rsidRDefault="00CD38D2" w:rsidP="009E39DE">
            <w:pPr>
              <w:tabs>
                <w:tab w:val="left" w:pos="582"/>
              </w:tabs>
              <w:snapToGrid w:val="0"/>
              <w:ind w:left="57" w:right="57"/>
              <w:rPr>
                <w:b/>
              </w:rPr>
            </w:pPr>
            <w:r w:rsidRPr="00A80628">
              <w:rPr>
                <w:b/>
              </w:rPr>
              <w:t xml:space="preserve">Обоснование </w:t>
            </w:r>
            <w:r w:rsidRPr="00A80628">
              <w:rPr>
                <w:b/>
                <w:bCs/>
              </w:rPr>
              <w:t>цены контракта, заключаемого с единственным поставщиком</w:t>
            </w:r>
            <w:r w:rsidRPr="00A80628">
              <w:rPr>
                <w:b/>
              </w:rPr>
              <w:t xml:space="preserve"> (справочная информация</w:t>
            </w:r>
            <w:r w:rsidRPr="00A80628">
              <w:rPr>
                <w:rStyle w:val="a5"/>
                <w:b/>
              </w:rPr>
              <w:footnoteReference w:id="1"/>
            </w:r>
            <w:r w:rsidRPr="00A80628">
              <w:rPr>
                <w:b/>
              </w:rPr>
              <w:t>)</w:t>
            </w:r>
          </w:p>
        </w:tc>
        <w:tc>
          <w:tcPr>
            <w:tcW w:w="4536" w:type="dxa"/>
            <w:gridSpan w:val="5"/>
          </w:tcPr>
          <w:p w:rsidR="00CD38D2" w:rsidRPr="00D02885" w:rsidRDefault="00DC56C8" w:rsidP="00FC70CE">
            <w:pPr>
              <w:tabs>
                <w:tab w:val="left" w:pos="582"/>
              </w:tabs>
              <w:snapToGrid w:val="0"/>
              <w:ind w:left="57" w:right="57"/>
            </w:pPr>
            <w:r w:rsidRPr="0005230E">
              <w:rPr>
                <w:szCs w:val="24"/>
              </w:rPr>
              <w:t>Буфер для электрофореза 50х ТАЕ, 100 мл</w:t>
            </w:r>
          </w:p>
        </w:tc>
        <w:tc>
          <w:tcPr>
            <w:tcW w:w="567" w:type="dxa"/>
          </w:tcPr>
          <w:p w:rsidR="00CD38D2" w:rsidRPr="006E0349" w:rsidRDefault="00CD38D2" w:rsidP="00860F04">
            <w:pPr>
              <w:tabs>
                <w:tab w:val="left" w:pos="582"/>
              </w:tabs>
              <w:snapToGrid w:val="0"/>
              <w:jc w:val="center"/>
            </w:pPr>
            <w:r>
              <w:t>Шт.</w:t>
            </w:r>
          </w:p>
        </w:tc>
        <w:tc>
          <w:tcPr>
            <w:tcW w:w="567" w:type="dxa"/>
          </w:tcPr>
          <w:p w:rsidR="00CD38D2" w:rsidRPr="00D02885" w:rsidRDefault="00DC56C8" w:rsidP="00860F04">
            <w:pPr>
              <w:tabs>
                <w:tab w:val="left" w:pos="582"/>
              </w:tabs>
              <w:snapToGrid w:val="0"/>
              <w:jc w:val="center"/>
              <w:rPr>
                <w:lang w:val="en-US"/>
              </w:rPr>
            </w:pPr>
            <w:r>
              <w:t>5</w:t>
            </w:r>
          </w:p>
        </w:tc>
        <w:tc>
          <w:tcPr>
            <w:tcW w:w="1274" w:type="dxa"/>
            <w:vAlign w:val="center"/>
          </w:tcPr>
          <w:p w:rsidR="00CD38D2" w:rsidRPr="00D02885" w:rsidRDefault="00DC56C8" w:rsidP="00266BF9">
            <w:pPr>
              <w:tabs>
                <w:tab w:val="left" w:pos="582"/>
              </w:tabs>
              <w:snapToGrid w:val="0"/>
              <w:jc w:val="center"/>
            </w:pPr>
            <w:r>
              <w:t>1 298,00</w:t>
            </w:r>
          </w:p>
        </w:tc>
        <w:tc>
          <w:tcPr>
            <w:tcW w:w="1191" w:type="dxa"/>
            <w:gridSpan w:val="3"/>
            <w:vAlign w:val="center"/>
          </w:tcPr>
          <w:p w:rsidR="00CD38D2" w:rsidRDefault="00DC56C8" w:rsidP="00DE74F7">
            <w:pPr>
              <w:tabs>
                <w:tab w:val="left" w:pos="0"/>
              </w:tabs>
              <w:ind w:right="57"/>
              <w:jc w:val="center"/>
            </w:pPr>
            <w:r>
              <w:t>1 428,00</w:t>
            </w:r>
          </w:p>
        </w:tc>
        <w:tc>
          <w:tcPr>
            <w:tcW w:w="1418" w:type="dxa"/>
            <w:gridSpan w:val="2"/>
            <w:vAlign w:val="center"/>
          </w:tcPr>
          <w:p w:rsidR="00CD38D2" w:rsidRPr="00A80628" w:rsidRDefault="00DC56C8" w:rsidP="00DE74F7">
            <w:pPr>
              <w:tabs>
                <w:tab w:val="left" w:pos="0"/>
              </w:tabs>
              <w:snapToGrid w:val="0"/>
              <w:ind w:right="57"/>
              <w:jc w:val="center"/>
            </w:pPr>
            <w:r>
              <w:t>1 402,00</w:t>
            </w:r>
          </w:p>
        </w:tc>
        <w:tc>
          <w:tcPr>
            <w:tcW w:w="1220" w:type="dxa"/>
            <w:vAlign w:val="center"/>
          </w:tcPr>
          <w:p w:rsidR="00CD38D2" w:rsidRPr="00A80628" w:rsidRDefault="00DC56C8" w:rsidP="00240AC1">
            <w:pPr>
              <w:tabs>
                <w:tab w:val="left" w:pos="0"/>
              </w:tabs>
              <w:snapToGrid w:val="0"/>
              <w:ind w:right="57"/>
              <w:jc w:val="center"/>
            </w:pPr>
            <w:r>
              <w:t>6 490,00</w:t>
            </w:r>
          </w:p>
        </w:tc>
      </w:tr>
      <w:tr w:rsidR="00CD38D2" w:rsidRPr="00A80628" w:rsidTr="0025110E">
        <w:trPr>
          <w:gridAfter w:val="1"/>
          <w:wAfter w:w="79" w:type="dxa"/>
          <w:trHeight w:val="90"/>
        </w:trPr>
        <w:tc>
          <w:tcPr>
            <w:tcW w:w="5131" w:type="dxa"/>
            <w:vMerge/>
          </w:tcPr>
          <w:p w:rsidR="00CD38D2" w:rsidRPr="00A80628" w:rsidRDefault="00CD38D2" w:rsidP="009E39DE">
            <w:pPr>
              <w:tabs>
                <w:tab w:val="left" w:pos="582"/>
              </w:tabs>
              <w:snapToGrid w:val="0"/>
              <w:ind w:left="57" w:right="57"/>
              <w:rPr>
                <w:b/>
              </w:rPr>
            </w:pPr>
          </w:p>
        </w:tc>
        <w:tc>
          <w:tcPr>
            <w:tcW w:w="4536" w:type="dxa"/>
            <w:gridSpan w:val="5"/>
          </w:tcPr>
          <w:p w:rsidR="00CD38D2" w:rsidRPr="00D02885" w:rsidRDefault="00DC56C8" w:rsidP="00FC70CE">
            <w:pPr>
              <w:tabs>
                <w:tab w:val="left" w:pos="582"/>
              </w:tabs>
              <w:snapToGrid w:val="0"/>
              <w:ind w:left="57" w:right="57"/>
            </w:pPr>
            <w:r w:rsidRPr="0005230E">
              <w:rPr>
                <w:szCs w:val="24"/>
              </w:rPr>
              <w:t xml:space="preserve">Готовая смесь для ПЦР 5X </w:t>
            </w:r>
            <w:proofErr w:type="spellStart"/>
            <w:r w:rsidRPr="0005230E">
              <w:rPr>
                <w:szCs w:val="24"/>
              </w:rPr>
              <w:t>ScreenMix</w:t>
            </w:r>
            <w:proofErr w:type="spellEnd"/>
          </w:p>
        </w:tc>
        <w:tc>
          <w:tcPr>
            <w:tcW w:w="567" w:type="dxa"/>
          </w:tcPr>
          <w:p w:rsidR="00CD38D2" w:rsidRPr="006E0349" w:rsidRDefault="00CD38D2" w:rsidP="00D42ED0">
            <w:pPr>
              <w:tabs>
                <w:tab w:val="left" w:pos="582"/>
              </w:tabs>
              <w:snapToGrid w:val="0"/>
              <w:jc w:val="center"/>
            </w:pPr>
            <w:r>
              <w:t>Шт.</w:t>
            </w:r>
          </w:p>
        </w:tc>
        <w:tc>
          <w:tcPr>
            <w:tcW w:w="567" w:type="dxa"/>
          </w:tcPr>
          <w:p w:rsidR="00CD38D2" w:rsidRPr="00D02885" w:rsidRDefault="00CD38D2" w:rsidP="00D42ED0">
            <w:pPr>
              <w:tabs>
                <w:tab w:val="left" w:pos="582"/>
              </w:tabs>
              <w:snapToGrid w:val="0"/>
              <w:jc w:val="center"/>
              <w:rPr>
                <w:lang w:val="en-US"/>
              </w:rPr>
            </w:pPr>
            <w:r>
              <w:t>1</w:t>
            </w:r>
            <w:r w:rsidR="00DC56C8">
              <w:t>4</w:t>
            </w:r>
          </w:p>
        </w:tc>
        <w:tc>
          <w:tcPr>
            <w:tcW w:w="1274" w:type="dxa"/>
            <w:vAlign w:val="center"/>
          </w:tcPr>
          <w:p w:rsidR="00CD38D2" w:rsidRDefault="00DC56C8" w:rsidP="00266BF9">
            <w:pPr>
              <w:tabs>
                <w:tab w:val="left" w:pos="582"/>
              </w:tabs>
              <w:snapToGrid w:val="0"/>
              <w:jc w:val="center"/>
            </w:pPr>
            <w:r>
              <w:t>1 600,00</w:t>
            </w:r>
          </w:p>
        </w:tc>
        <w:tc>
          <w:tcPr>
            <w:tcW w:w="1191" w:type="dxa"/>
            <w:gridSpan w:val="3"/>
            <w:vAlign w:val="center"/>
          </w:tcPr>
          <w:p w:rsidR="00CD38D2" w:rsidRDefault="00DC56C8" w:rsidP="00DE74F7">
            <w:pPr>
              <w:tabs>
                <w:tab w:val="left" w:pos="0"/>
              </w:tabs>
              <w:ind w:right="57"/>
              <w:jc w:val="center"/>
            </w:pPr>
            <w:r>
              <w:t>1 760,00</w:t>
            </w:r>
          </w:p>
        </w:tc>
        <w:tc>
          <w:tcPr>
            <w:tcW w:w="1418" w:type="dxa"/>
            <w:gridSpan w:val="2"/>
            <w:vAlign w:val="center"/>
          </w:tcPr>
          <w:p w:rsidR="00CD38D2" w:rsidRDefault="00DC56C8" w:rsidP="00DE74F7">
            <w:pPr>
              <w:tabs>
                <w:tab w:val="left" w:pos="0"/>
              </w:tabs>
              <w:snapToGrid w:val="0"/>
              <w:ind w:right="57"/>
              <w:jc w:val="center"/>
            </w:pPr>
            <w:r>
              <w:t>1 728,00</w:t>
            </w:r>
          </w:p>
        </w:tc>
        <w:tc>
          <w:tcPr>
            <w:tcW w:w="1220" w:type="dxa"/>
            <w:vAlign w:val="center"/>
          </w:tcPr>
          <w:p w:rsidR="00CD38D2" w:rsidRDefault="00DC56C8" w:rsidP="00240AC1">
            <w:pPr>
              <w:tabs>
                <w:tab w:val="left" w:pos="0"/>
              </w:tabs>
              <w:snapToGrid w:val="0"/>
              <w:ind w:right="57"/>
              <w:jc w:val="center"/>
            </w:pPr>
            <w:r>
              <w:t>22 400,00</w:t>
            </w:r>
          </w:p>
        </w:tc>
      </w:tr>
      <w:tr w:rsidR="00CD38D2" w:rsidRPr="00A80628" w:rsidTr="0025110E">
        <w:trPr>
          <w:gridAfter w:val="1"/>
          <w:wAfter w:w="79" w:type="dxa"/>
          <w:trHeight w:val="90"/>
        </w:trPr>
        <w:tc>
          <w:tcPr>
            <w:tcW w:w="5131" w:type="dxa"/>
            <w:vMerge/>
          </w:tcPr>
          <w:p w:rsidR="00CD38D2" w:rsidRPr="00A80628" w:rsidRDefault="00CD38D2" w:rsidP="009E39DE">
            <w:pPr>
              <w:tabs>
                <w:tab w:val="left" w:pos="582"/>
              </w:tabs>
              <w:snapToGrid w:val="0"/>
              <w:ind w:left="57" w:right="57"/>
              <w:rPr>
                <w:b/>
              </w:rPr>
            </w:pPr>
          </w:p>
        </w:tc>
        <w:tc>
          <w:tcPr>
            <w:tcW w:w="4536" w:type="dxa"/>
            <w:gridSpan w:val="5"/>
          </w:tcPr>
          <w:p w:rsidR="00CD38D2" w:rsidRPr="00D02885" w:rsidRDefault="00DC56C8" w:rsidP="00FC70CE">
            <w:pPr>
              <w:tabs>
                <w:tab w:val="left" w:pos="582"/>
              </w:tabs>
              <w:snapToGrid w:val="0"/>
              <w:ind w:left="57" w:right="57"/>
            </w:pPr>
            <w:r w:rsidRPr="0005230E">
              <w:rPr>
                <w:szCs w:val="24"/>
              </w:rPr>
              <w:t>Наборы для очистки ДНК</w:t>
            </w:r>
            <w:r>
              <w:rPr>
                <w:szCs w:val="24"/>
              </w:rPr>
              <w:t>,</w:t>
            </w:r>
            <w:r w:rsidRPr="0005230E">
              <w:rPr>
                <w:szCs w:val="24"/>
              </w:rPr>
              <w:t xml:space="preserve"> </w:t>
            </w:r>
            <w:proofErr w:type="spellStart"/>
            <w:r w:rsidRPr="0005230E">
              <w:rPr>
                <w:szCs w:val="24"/>
              </w:rPr>
              <w:t>Cleanup</w:t>
            </w:r>
            <w:proofErr w:type="spellEnd"/>
            <w:r w:rsidRPr="0005230E">
              <w:rPr>
                <w:szCs w:val="24"/>
              </w:rPr>
              <w:t xml:space="preserve"> </w:t>
            </w:r>
            <w:proofErr w:type="spellStart"/>
            <w:r w:rsidRPr="0005230E">
              <w:rPr>
                <w:szCs w:val="24"/>
              </w:rPr>
              <w:t>S-Cap</w:t>
            </w:r>
            <w:proofErr w:type="spellEnd"/>
            <w:r w:rsidRPr="0005230E">
              <w:rPr>
                <w:szCs w:val="24"/>
              </w:rPr>
              <w:t>, 50 реакций</w:t>
            </w:r>
          </w:p>
        </w:tc>
        <w:tc>
          <w:tcPr>
            <w:tcW w:w="567" w:type="dxa"/>
          </w:tcPr>
          <w:p w:rsidR="00CD38D2" w:rsidRPr="006E0349" w:rsidRDefault="00CD38D2" w:rsidP="00D42ED0">
            <w:pPr>
              <w:tabs>
                <w:tab w:val="left" w:pos="582"/>
              </w:tabs>
              <w:snapToGrid w:val="0"/>
              <w:jc w:val="center"/>
            </w:pPr>
            <w:r>
              <w:t>Шт.</w:t>
            </w:r>
          </w:p>
        </w:tc>
        <w:tc>
          <w:tcPr>
            <w:tcW w:w="567" w:type="dxa"/>
          </w:tcPr>
          <w:p w:rsidR="00CD38D2" w:rsidRPr="00D02885" w:rsidRDefault="00DC56C8" w:rsidP="00D42ED0">
            <w:pPr>
              <w:tabs>
                <w:tab w:val="left" w:pos="582"/>
              </w:tabs>
              <w:snapToGrid w:val="0"/>
              <w:jc w:val="center"/>
              <w:rPr>
                <w:lang w:val="en-US"/>
              </w:rPr>
            </w:pPr>
            <w:r>
              <w:t>2</w:t>
            </w:r>
          </w:p>
        </w:tc>
        <w:tc>
          <w:tcPr>
            <w:tcW w:w="1274" w:type="dxa"/>
            <w:vAlign w:val="center"/>
          </w:tcPr>
          <w:p w:rsidR="00CD38D2" w:rsidRDefault="00DC56C8" w:rsidP="00266BF9">
            <w:pPr>
              <w:tabs>
                <w:tab w:val="left" w:pos="582"/>
              </w:tabs>
              <w:snapToGrid w:val="0"/>
              <w:jc w:val="center"/>
            </w:pPr>
            <w:r>
              <w:t>8 300,00</w:t>
            </w:r>
          </w:p>
        </w:tc>
        <w:tc>
          <w:tcPr>
            <w:tcW w:w="1191" w:type="dxa"/>
            <w:gridSpan w:val="3"/>
            <w:vAlign w:val="center"/>
          </w:tcPr>
          <w:p w:rsidR="00CD38D2" w:rsidRDefault="00DC56C8" w:rsidP="00DE74F7">
            <w:pPr>
              <w:tabs>
                <w:tab w:val="left" w:pos="0"/>
              </w:tabs>
              <w:ind w:right="57"/>
              <w:jc w:val="center"/>
            </w:pPr>
            <w:r>
              <w:t>9 130,00</w:t>
            </w:r>
          </w:p>
        </w:tc>
        <w:tc>
          <w:tcPr>
            <w:tcW w:w="1418" w:type="dxa"/>
            <w:gridSpan w:val="2"/>
            <w:vAlign w:val="center"/>
          </w:tcPr>
          <w:p w:rsidR="00CD38D2" w:rsidRDefault="00DC56C8" w:rsidP="00DE74F7">
            <w:pPr>
              <w:tabs>
                <w:tab w:val="left" w:pos="0"/>
              </w:tabs>
              <w:snapToGrid w:val="0"/>
              <w:ind w:right="57"/>
              <w:jc w:val="center"/>
            </w:pPr>
            <w:r>
              <w:t>8 964,00</w:t>
            </w:r>
          </w:p>
        </w:tc>
        <w:tc>
          <w:tcPr>
            <w:tcW w:w="1220" w:type="dxa"/>
            <w:vAlign w:val="center"/>
          </w:tcPr>
          <w:p w:rsidR="00CD38D2" w:rsidRDefault="00DC56C8" w:rsidP="00240AC1">
            <w:pPr>
              <w:tabs>
                <w:tab w:val="left" w:pos="0"/>
              </w:tabs>
              <w:snapToGrid w:val="0"/>
              <w:ind w:right="57"/>
              <w:jc w:val="center"/>
            </w:pPr>
            <w:r>
              <w:t>16 600,00</w:t>
            </w:r>
          </w:p>
        </w:tc>
      </w:tr>
      <w:tr w:rsidR="00026A56" w:rsidRPr="00A80628" w:rsidTr="00CD38D2">
        <w:trPr>
          <w:gridAfter w:val="1"/>
          <w:wAfter w:w="79" w:type="dxa"/>
        </w:trPr>
        <w:tc>
          <w:tcPr>
            <w:tcW w:w="5131" w:type="dxa"/>
          </w:tcPr>
          <w:p w:rsidR="00026A56" w:rsidRPr="00A80628" w:rsidRDefault="00026A56" w:rsidP="00D45CF2">
            <w:pPr>
              <w:ind w:left="57" w:right="57"/>
              <w:jc w:val="both"/>
              <w:rPr>
                <w:b/>
                <w:bCs/>
              </w:rPr>
            </w:pPr>
            <w:r w:rsidRPr="00A80628">
              <w:rPr>
                <w:b/>
                <w:bCs/>
              </w:rPr>
              <w:t>Расчет цены контракта, заключаемого с единственным поставщиком</w:t>
            </w:r>
          </w:p>
        </w:tc>
        <w:tc>
          <w:tcPr>
            <w:tcW w:w="10773" w:type="dxa"/>
            <w:gridSpan w:val="14"/>
          </w:tcPr>
          <w:p w:rsidR="00CD38D2" w:rsidRDefault="00CD38D2" w:rsidP="00CD38D2">
            <w:pPr>
              <w:ind w:left="57"/>
              <w:rPr>
                <w:b/>
              </w:rPr>
            </w:pPr>
            <w:r w:rsidRPr="00A80628">
              <w:t xml:space="preserve">Для расчета цены контракта, заключаемого с единственным поставщиком, используется </w:t>
            </w:r>
            <w:r w:rsidRPr="00A80628">
              <w:rPr>
                <w:b/>
                <w:i/>
              </w:rPr>
              <w:t>наименьшее</w:t>
            </w:r>
            <w:r w:rsidRPr="00A80628">
              <w:t xml:space="preserve"> значение цены единицы товара</w:t>
            </w:r>
            <w:r>
              <w:t xml:space="preserve"> </w:t>
            </w:r>
          </w:p>
          <w:p w:rsidR="00026A56" w:rsidRPr="00EC50CD" w:rsidRDefault="00CD38D2" w:rsidP="00DC56C8">
            <w:pPr>
              <w:ind w:left="57"/>
              <w:rPr>
                <w:b/>
              </w:rPr>
            </w:pPr>
            <w:r>
              <w:rPr>
                <w:b/>
              </w:rPr>
              <w:t xml:space="preserve">Цена контракта составляет  </w:t>
            </w:r>
            <w:r w:rsidR="00DC56C8">
              <w:rPr>
                <w:b/>
              </w:rPr>
              <w:t>45 490</w:t>
            </w:r>
            <w:r>
              <w:rPr>
                <w:b/>
              </w:rPr>
              <w:t>,00 рублей.</w:t>
            </w:r>
          </w:p>
        </w:tc>
      </w:tr>
      <w:tr w:rsidR="00026A56" w:rsidRPr="00A80628" w:rsidTr="00CD38D2">
        <w:trPr>
          <w:gridAfter w:val="1"/>
          <w:wAfter w:w="79" w:type="dxa"/>
          <w:trHeight w:val="564"/>
        </w:trPr>
        <w:tc>
          <w:tcPr>
            <w:tcW w:w="5131" w:type="dxa"/>
          </w:tcPr>
          <w:p w:rsidR="00026A56" w:rsidRPr="00A80628" w:rsidRDefault="00026A56" w:rsidP="00515098">
            <w:pPr>
              <w:spacing w:line="240" w:lineRule="atLeast"/>
              <w:ind w:left="57" w:right="57"/>
              <w:jc w:val="both"/>
              <w:rPr>
                <w:b/>
              </w:rPr>
            </w:pPr>
            <w:r w:rsidRPr="00A80628">
              <w:rPr>
                <w:b/>
              </w:rPr>
              <w:t>Информация о валюте, используемой для формирования цены контракта и расчетов с поставщиком</w:t>
            </w:r>
          </w:p>
        </w:tc>
        <w:tc>
          <w:tcPr>
            <w:tcW w:w="10773" w:type="dxa"/>
            <w:gridSpan w:val="14"/>
          </w:tcPr>
          <w:p w:rsidR="00026A56" w:rsidRPr="00A80628" w:rsidRDefault="00026A56" w:rsidP="00034574">
            <w:pPr>
              <w:widowControl w:val="0"/>
              <w:adjustRightInd w:val="0"/>
              <w:ind w:left="57" w:right="57"/>
            </w:pPr>
            <w:r w:rsidRPr="00A80628">
              <w:t>Рубль Российской Федерации</w:t>
            </w:r>
          </w:p>
        </w:tc>
      </w:tr>
      <w:tr w:rsidR="00026A56" w:rsidRPr="00A80628" w:rsidTr="00CD38D2">
        <w:trPr>
          <w:gridAfter w:val="1"/>
          <w:wAfter w:w="79" w:type="dxa"/>
        </w:trPr>
        <w:tc>
          <w:tcPr>
            <w:tcW w:w="5131" w:type="dxa"/>
          </w:tcPr>
          <w:p w:rsidR="00026A56" w:rsidRPr="00A80628" w:rsidRDefault="00026A56" w:rsidP="00515098">
            <w:pPr>
              <w:spacing w:line="240" w:lineRule="atLeast"/>
              <w:ind w:left="57" w:right="57"/>
              <w:jc w:val="both"/>
              <w:rPr>
                <w:b/>
              </w:rPr>
            </w:pPr>
            <w:r w:rsidRPr="00A80628">
              <w:rPr>
                <w:b/>
              </w:rPr>
              <w:t xml:space="preserve">Порядок применения </w:t>
            </w:r>
            <w:hyperlink r:id="rId6" w:anchor="/document/107917/entry/0" w:history="1">
              <w:r w:rsidRPr="00A80628">
                <w:rPr>
                  <w:rStyle w:val="a6"/>
                  <w:b/>
                  <w:color w:val="auto"/>
                  <w:u w:val="none"/>
                </w:rPr>
                <w:t>официального курса</w:t>
              </w:r>
            </w:hyperlink>
            <w:r w:rsidRPr="00A80628">
              <w:rPr>
                <w:b/>
              </w:rPr>
              <w:t xml:space="preserve"> иностранной валюты к рублю Российской Федерации, установленного Центральным банком Российской Федерации и используемого при оплате контракта</w:t>
            </w:r>
          </w:p>
        </w:tc>
        <w:tc>
          <w:tcPr>
            <w:tcW w:w="10773" w:type="dxa"/>
            <w:gridSpan w:val="14"/>
          </w:tcPr>
          <w:p w:rsidR="00026A56" w:rsidRPr="00A80628" w:rsidRDefault="00026A56" w:rsidP="00034574">
            <w:pPr>
              <w:widowControl w:val="0"/>
              <w:adjustRightInd w:val="0"/>
              <w:ind w:left="57" w:right="57"/>
            </w:pPr>
            <w:r w:rsidRPr="00A80628">
              <w:t>Не предусмотрен</w:t>
            </w:r>
          </w:p>
        </w:tc>
      </w:tr>
      <w:tr w:rsidR="00026A56" w:rsidRPr="00A80628" w:rsidTr="00EC50CD">
        <w:trPr>
          <w:gridAfter w:val="1"/>
          <w:wAfter w:w="79" w:type="dxa"/>
          <w:cantSplit/>
        </w:trPr>
        <w:tc>
          <w:tcPr>
            <w:tcW w:w="15904" w:type="dxa"/>
            <w:gridSpan w:val="15"/>
          </w:tcPr>
          <w:p w:rsidR="00026A56" w:rsidRPr="00A80628" w:rsidRDefault="00026A56" w:rsidP="00DC56C8">
            <w:pPr>
              <w:rPr>
                <w:b/>
                <w:bCs/>
              </w:rPr>
            </w:pPr>
            <w:r w:rsidRPr="00A80628">
              <w:rPr>
                <w:b/>
                <w:bCs/>
              </w:rPr>
              <w:t>Дата подготовки обоснования цены контракта, заключаемого с единственным поставщиком:</w:t>
            </w:r>
            <w:r>
              <w:rPr>
                <w:b/>
                <w:bCs/>
              </w:rPr>
              <w:t xml:space="preserve"> </w:t>
            </w:r>
            <w:r w:rsidR="00CD38D2">
              <w:rPr>
                <w:b/>
                <w:bCs/>
              </w:rPr>
              <w:t>1</w:t>
            </w:r>
            <w:r w:rsidR="00DC56C8">
              <w:rPr>
                <w:b/>
                <w:bCs/>
              </w:rPr>
              <w:t>8</w:t>
            </w:r>
            <w:r w:rsidR="00CD38D2">
              <w:rPr>
                <w:b/>
                <w:bCs/>
              </w:rPr>
              <w:t>.0</w:t>
            </w:r>
            <w:r w:rsidR="00DC56C8">
              <w:rPr>
                <w:b/>
                <w:bCs/>
              </w:rPr>
              <w:t>6</w:t>
            </w:r>
            <w:r>
              <w:rPr>
                <w:b/>
                <w:bCs/>
              </w:rPr>
              <w:t>.202</w:t>
            </w:r>
            <w:r w:rsidR="00CD38D2">
              <w:rPr>
                <w:b/>
                <w:bCs/>
              </w:rPr>
              <w:t>6</w:t>
            </w:r>
          </w:p>
        </w:tc>
      </w:tr>
      <w:tr w:rsidR="00026A56" w:rsidRPr="00A80628" w:rsidTr="00EC50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3"/>
          <w:gridAfter w:val="3"/>
          <w:wBefore w:w="5695" w:type="dxa"/>
          <w:wAfter w:w="2370" w:type="dxa"/>
        </w:trPr>
        <w:tc>
          <w:tcPr>
            <w:tcW w:w="7918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26A56" w:rsidRDefault="00026A56" w:rsidP="006B04DA"/>
          <w:p w:rsidR="00026A56" w:rsidRPr="00A80628" w:rsidRDefault="00A41116" w:rsidP="006B04DA">
            <w:r>
              <w:t>Главный экономист</w:t>
            </w:r>
          </w:p>
        </w:tc>
      </w:tr>
      <w:tr w:rsidR="00026A56" w:rsidRPr="00A80628" w:rsidTr="00EC50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3"/>
          <w:gridAfter w:val="3"/>
          <w:wBefore w:w="5695" w:type="dxa"/>
          <w:wAfter w:w="2370" w:type="dxa"/>
        </w:trPr>
        <w:tc>
          <w:tcPr>
            <w:tcW w:w="7918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026A56" w:rsidRPr="00A80628" w:rsidRDefault="00026A56" w:rsidP="00D45CF2">
            <w:pPr>
              <w:jc w:val="center"/>
            </w:pPr>
            <w:r w:rsidRPr="00A80628">
              <w:t>(должность)</w:t>
            </w:r>
          </w:p>
        </w:tc>
      </w:tr>
      <w:tr w:rsidR="00454F12" w:rsidRPr="00A80628" w:rsidTr="00EC50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2"/>
          <w:gridAfter w:val="5"/>
          <w:wBefore w:w="5428" w:type="dxa"/>
          <w:wAfter w:w="3636" w:type="dxa"/>
        </w:trPr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54F12" w:rsidRPr="00A80628" w:rsidRDefault="00454F12" w:rsidP="00D45CF2">
            <w:pPr>
              <w:jc w:val="center"/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54F12" w:rsidRPr="00A80628" w:rsidRDefault="00454F12" w:rsidP="00D45CF2">
            <w:pPr>
              <w:jc w:val="right"/>
            </w:pPr>
            <w:r w:rsidRPr="00A80628">
              <w:t>/</w:t>
            </w:r>
          </w:p>
        </w:tc>
        <w:tc>
          <w:tcPr>
            <w:tcW w:w="453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54F12" w:rsidRPr="00A80628" w:rsidRDefault="006B04DA" w:rsidP="006B04DA">
            <w:r>
              <w:t>Маринина Т.Н./</w:t>
            </w:r>
          </w:p>
        </w:tc>
        <w:tc>
          <w:tcPr>
            <w:tcW w:w="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54F12" w:rsidRPr="00A80628" w:rsidRDefault="00454F12" w:rsidP="00D45CF2">
            <w:r w:rsidRPr="00A80628">
              <w:t>/</w:t>
            </w:r>
          </w:p>
        </w:tc>
      </w:tr>
      <w:tr w:rsidR="00454F12" w:rsidRPr="00A80628" w:rsidTr="00EC50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2"/>
          <w:gridAfter w:val="5"/>
          <w:wBefore w:w="5428" w:type="dxa"/>
          <w:wAfter w:w="3636" w:type="dxa"/>
        </w:trPr>
        <w:tc>
          <w:tcPr>
            <w:tcW w:w="6919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454F12" w:rsidRPr="00A80628" w:rsidRDefault="00454F12" w:rsidP="00B40DBD">
            <w:pPr>
              <w:ind w:firstLine="1418"/>
            </w:pPr>
            <w:r w:rsidRPr="00A80628">
              <w:t>(подпись/расшифровка подписи)</w:t>
            </w:r>
          </w:p>
        </w:tc>
      </w:tr>
    </w:tbl>
    <w:p w:rsidR="00F37E23" w:rsidRPr="00A80628" w:rsidRDefault="00F37E23" w:rsidP="0025110E"/>
    <w:sectPr w:rsidR="00F37E23" w:rsidRPr="00A80628" w:rsidSect="00E63706">
      <w:headerReference w:type="default" r:id="rId7"/>
      <w:pgSz w:w="16838" w:h="11906" w:orient="landscape"/>
      <w:pgMar w:top="568" w:right="1134" w:bottom="568" w:left="67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82C1A" w:rsidRDefault="00E82C1A" w:rsidP="009E39DE">
      <w:r>
        <w:separator/>
      </w:r>
    </w:p>
  </w:endnote>
  <w:endnote w:type="continuationSeparator" w:id="0">
    <w:p w:rsidR="00E82C1A" w:rsidRDefault="00E82C1A" w:rsidP="009E39D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82C1A" w:rsidRDefault="00E82C1A" w:rsidP="009E39DE">
      <w:r>
        <w:separator/>
      </w:r>
    </w:p>
  </w:footnote>
  <w:footnote w:type="continuationSeparator" w:id="0">
    <w:p w:rsidR="00E82C1A" w:rsidRDefault="00E82C1A" w:rsidP="009E39DE">
      <w:r>
        <w:continuationSeparator/>
      </w:r>
    </w:p>
  </w:footnote>
  <w:footnote w:id="1">
    <w:p w:rsidR="00CD38D2" w:rsidRDefault="00CD38D2" w:rsidP="007101E7">
      <w:pPr>
        <w:pStyle w:val="a3"/>
        <w:jc w:val="left"/>
      </w:pPr>
      <w:r>
        <w:rPr>
          <w:rStyle w:val="a5"/>
        </w:rPr>
        <w:footnoteRef/>
      </w:r>
      <w:r>
        <w:t xml:space="preserve"> Оригиналы использованных при определении и обосновании начальной (максимальной) цены документов хранятся у заказчика. 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21521704"/>
      <w:docPartObj>
        <w:docPartGallery w:val="Page Numbers (Top of Page)"/>
        <w:docPartUnique/>
      </w:docPartObj>
    </w:sdtPr>
    <w:sdtContent>
      <w:p w:rsidR="00E63706" w:rsidRDefault="00B532F4">
        <w:pPr>
          <w:pStyle w:val="a8"/>
          <w:jc w:val="center"/>
        </w:pPr>
        <w:fldSimple w:instr=" PAGE   \* MERGEFORMAT ">
          <w:r w:rsidR="00BE6494">
            <w:rPr>
              <w:noProof/>
            </w:rPr>
            <w:t>2</w:t>
          </w:r>
        </w:fldSimple>
      </w:p>
    </w:sdtContent>
  </w:sdt>
  <w:p w:rsidR="00E63706" w:rsidRDefault="00E63706">
    <w:pPr>
      <w:pStyle w:val="a8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54F12"/>
    <w:rsid w:val="00026A56"/>
    <w:rsid w:val="00032069"/>
    <w:rsid w:val="000578E3"/>
    <w:rsid w:val="00091BC3"/>
    <w:rsid w:val="000C4F97"/>
    <w:rsid w:val="001029EA"/>
    <w:rsid w:val="00137742"/>
    <w:rsid w:val="0025110E"/>
    <w:rsid w:val="00264AE4"/>
    <w:rsid w:val="00265A45"/>
    <w:rsid w:val="00266BF9"/>
    <w:rsid w:val="00271EF7"/>
    <w:rsid w:val="00282C90"/>
    <w:rsid w:val="002C0A08"/>
    <w:rsid w:val="002C40D7"/>
    <w:rsid w:val="002E411E"/>
    <w:rsid w:val="002E43FE"/>
    <w:rsid w:val="00314E0A"/>
    <w:rsid w:val="00314F76"/>
    <w:rsid w:val="0034095C"/>
    <w:rsid w:val="003B00BE"/>
    <w:rsid w:val="003B2E80"/>
    <w:rsid w:val="00453F28"/>
    <w:rsid w:val="00454F12"/>
    <w:rsid w:val="004B65DE"/>
    <w:rsid w:val="004C0353"/>
    <w:rsid w:val="004C232B"/>
    <w:rsid w:val="004C4424"/>
    <w:rsid w:val="00510380"/>
    <w:rsid w:val="00515098"/>
    <w:rsid w:val="00520CC8"/>
    <w:rsid w:val="00536DB2"/>
    <w:rsid w:val="00561738"/>
    <w:rsid w:val="005923C3"/>
    <w:rsid w:val="005938BD"/>
    <w:rsid w:val="005A4422"/>
    <w:rsid w:val="005A7B89"/>
    <w:rsid w:val="005C04A4"/>
    <w:rsid w:val="00634452"/>
    <w:rsid w:val="006A330B"/>
    <w:rsid w:val="006B04DA"/>
    <w:rsid w:val="006E0349"/>
    <w:rsid w:val="006E57CB"/>
    <w:rsid w:val="006F0513"/>
    <w:rsid w:val="006F6945"/>
    <w:rsid w:val="007101E7"/>
    <w:rsid w:val="0072000A"/>
    <w:rsid w:val="007336BF"/>
    <w:rsid w:val="00747527"/>
    <w:rsid w:val="00765DAD"/>
    <w:rsid w:val="00792380"/>
    <w:rsid w:val="00805BF0"/>
    <w:rsid w:val="00830301"/>
    <w:rsid w:val="008601F3"/>
    <w:rsid w:val="008609E3"/>
    <w:rsid w:val="00874715"/>
    <w:rsid w:val="00912618"/>
    <w:rsid w:val="00924211"/>
    <w:rsid w:val="0098378A"/>
    <w:rsid w:val="00984E10"/>
    <w:rsid w:val="009E39DE"/>
    <w:rsid w:val="009F36C3"/>
    <w:rsid w:val="00A16EAB"/>
    <w:rsid w:val="00A41116"/>
    <w:rsid w:val="00A572BA"/>
    <w:rsid w:val="00A73AC3"/>
    <w:rsid w:val="00A80628"/>
    <w:rsid w:val="00AC0769"/>
    <w:rsid w:val="00B3010E"/>
    <w:rsid w:val="00B40DBD"/>
    <w:rsid w:val="00B44528"/>
    <w:rsid w:val="00B46494"/>
    <w:rsid w:val="00B517FE"/>
    <w:rsid w:val="00B532F4"/>
    <w:rsid w:val="00B64ECE"/>
    <w:rsid w:val="00B71FAA"/>
    <w:rsid w:val="00BE6494"/>
    <w:rsid w:val="00C04EAA"/>
    <w:rsid w:val="00C07A2B"/>
    <w:rsid w:val="00C16D7D"/>
    <w:rsid w:val="00C34B43"/>
    <w:rsid w:val="00C42EE4"/>
    <w:rsid w:val="00C97A02"/>
    <w:rsid w:val="00CB3355"/>
    <w:rsid w:val="00CB5C2D"/>
    <w:rsid w:val="00CD38D2"/>
    <w:rsid w:val="00D02885"/>
    <w:rsid w:val="00D14EED"/>
    <w:rsid w:val="00D34E41"/>
    <w:rsid w:val="00D71B87"/>
    <w:rsid w:val="00DC56C8"/>
    <w:rsid w:val="00DD77E0"/>
    <w:rsid w:val="00DE3693"/>
    <w:rsid w:val="00DE6E7A"/>
    <w:rsid w:val="00DE74F7"/>
    <w:rsid w:val="00E30932"/>
    <w:rsid w:val="00E55410"/>
    <w:rsid w:val="00E63706"/>
    <w:rsid w:val="00E80F51"/>
    <w:rsid w:val="00E82C1A"/>
    <w:rsid w:val="00EA279A"/>
    <w:rsid w:val="00EB6609"/>
    <w:rsid w:val="00EC50CD"/>
    <w:rsid w:val="00ED2261"/>
    <w:rsid w:val="00EE6E5E"/>
    <w:rsid w:val="00F10C35"/>
    <w:rsid w:val="00F37E23"/>
    <w:rsid w:val="00F4024A"/>
    <w:rsid w:val="00F528C7"/>
    <w:rsid w:val="00F74906"/>
    <w:rsid w:val="00F76492"/>
    <w:rsid w:val="00F82060"/>
    <w:rsid w:val="00F87FDE"/>
    <w:rsid w:val="00F90DD4"/>
    <w:rsid w:val="00FA06BC"/>
    <w:rsid w:val="00FD1AA5"/>
    <w:rsid w:val="00FF46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4F12"/>
    <w:pPr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264AE4"/>
    <w:pPr>
      <w:autoSpaceDE/>
      <w:autoSpaceDN/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lk">
    <w:name w:val="blk"/>
    <w:basedOn w:val="a0"/>
    <w:rsid w:val="00454F12"/>
  </w:style>
  <w:style w:type="paragraph" w:styleId="a3">
    <w:name w:val="footnote text"/>
    <w:basedOn w:val="a"/>
    <w:link w:val="a4"/>
    <w:semiHidden/>
    <w:rsid w:val="009E39DE"/>
    <w:pPr>
      <w:autoSpaceDE/>
      <w:autoSpaceDN/>
      <w:spacing w:after="60"/>
      <w:jc w:val="both"/>
    </w:pPr>
    <w:rPr>
      <w:rFonts w:eastAsia="Times New Roman"/>
      <w:lang w:eastAsia="ar-SA"/>
    </w:rPr>
  </w:style>
  <w:style w:type="character" w:customStyle="1" w:styleId="a4">
    <w:name w:val="Текст сноски Знак"/>
    <w:basedOn w:val="a0"/>
    <w:link w:val="a3"/>
    <w:semiHidden/>
    <w:rsid w:val="009E39DE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5">
    <w:name w:val="footnote reference"/>
    <w:semiHidden/>
    <w:rsid w:val="009E39DE"/>
    <w:rPr>
      <w:vertAlign w:val="superscript"/>
    </w:rPr>
  </w:style>
  <w:style w:type="character" w:styleId="a6">
    <w:name w:val="Hyperlink"/>
    <w:uiPriority w:val="99"/>
    <w:rsid w:val="00515098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264AE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balloon-containeranchor">
    <w:name w:val="balloon-container__anchor"/>
    <w:basedOn w:val="a0"/>
    <w:rsid w:val="00282C90"/>
  </w:style>
  <w:style w:type="character" w:styleId="a7">
    <w:name w:val="Strong"/>
    <w:basedOn w:val="a0"/>
    <w:uiPriority w:val="22"/>
    <w:qFormat/>
    <w:rsid w:val="002C0A08"/>
    <w:rPr>
      <w:b/>
      <w:bCs/>
    </w:rPr>
  </w:style>
  <w:style w:type="paragraph" w:styleId="a8">
    <w:name w:val="header"/>
    <w:basedOn w:val="a"/>
    <w:link w:val="a9"/>
    <w:uiPriority w:val="99"/>
    <w:unhideWhenUsed/>
    <w:rsid w:val="00E63706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E63706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semiHidden/>
    <w:unhideWhenUsed/>
    <w:rsid w:val="00E63706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E63706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styleId="ac">
    <w:name w:val="Emphasis"/>
    <w:basedOn w:val="a0"/>
    <w:uiPriority w:val="20"/>
    <w:qFormat/>
    <w:rsid w:val="00EC50CD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4F12"/>
    <w:pPr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lk">
    <w:name w:val="blk"/>
    <w:basedOn w:val="a0"/>
    <w:rsid w:val="00454F12"/>
  </w:style>
  <w:style w:type="paragraph" w:styleId="a3">
    <w:name w:val="footnote text"/>
    <w:basedOn w:val="a"/>
    <w:link w:val="a4"/>
    <w:semiHidden/>
    <w:rsid w:val="009E39DE"/>
    <w:pPr>
      <w:autoSpaceDE/>
      <w:autoSpaceDN/>
      <w:spacing w:after="60"/>
      <w:jc w:val="both"/>
    </w:pPr>
    <w:rPr>
      <w:rFonts w:eastAsia="Times New Roman"/>
      <w:lang w:eastAsia="ar-SA"/>
    </w:rPr>
  </w:style>
  <w:style w:type="character" w:customStyle="1" w:styleId="a4">
    <w:name w:val="Текст сноски Знак"/>
    <w:basedOn w:val="a0"/>
    <w:link w:val="a3"/>
    <w:semiHidden/>
    <w:rsid w:val="009E39DE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5">
    <w:name w:val="footnote reference"/>
    <w:semiHidden/>
    <w:rsid w:val="009E39DE"/>
    <w:rPr>
      <w:vertAlign w:val="superscript"/>
    </w:rPr>
  </w:style>
  <w:style w:type="character" w:styleId="a6">
    <w:name w:val="Hyperlink"/>
    <w:uiPriority w:val="99"/>
    <w:rsid w:val="0051509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535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4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ivo.garant.ru/" TargetMode="Externa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266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Рыжова</dc:creator>
  <cp:lastModifiedBy>user</cp:lastModifiedBy>
  <cp:revision>2</cp:revision>
  <cp:lastPrinted>2024-11-08T12:14:00Z</cp:lastPrinted>
  <dcterms:created xsi:type="dcterms:W3CDTF">2026-06-17T14:46:00Z</dcterms:created>
  <dcterms:modified xsi:type="dcterms:W3CDTF">2026-06-17T14:46:00Z</dcterms:modified>
</cp:coreProperties>
</file>