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widowControl w:val="off"/>
        <w:ind w:left="-108" w:right="-108"/>
        <w:jc w:val="center"/>
        <w:outlineLvl w:val="1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Техническое задание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spacing w:after="0"/>
        <w:ind w:firstLine="567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spacing w:after="0"/>
        <w:ind w:firstLine="567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1.  Объект закупки.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spacing w:after="0"/>
        <w:ind w:firstLine="567"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Поставка 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запасных частей, комплектующих для АРМ</w:t>
      </w:r>
      <w:r>
        <w:rPr>
          <w:rFonts w:ascii="PT Astra Serif" w:hAnsi="PT Astra Serif" w:eastAsia="PT Astra Serif" w:cs="PT Astra Serif"/>
          <w:bCs/>
          <w:sz w:val="24"/>
          <w:szCs w:val="24"/>
          <w:lang w:eastAsia="en-US"/>
        </w:rPr>
        <w:t xml:space="preserve"> (источники бесперебойного питания)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spacing w:after="0"/>
        <w:ind w:firstLine="567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2. 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 Источник финансирования.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spacing w:after="0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Федеральный бюджет.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/>
        <w:ind w:firstLine="567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ascii="PT Astra Serif" w:hAnsi="PT Astra Serif" w:eastAsia="PT Astra Serif" w:cs="PT Astra Serif"/>
          <w:b/>
          <w:bCs/>
          <w:sz w:val="24"/>
          <w:szCs w:val="24"/>
          <w:lang w:eastAsia="en-US"/>
        </w:rPr>
        <w:t xml:space="preserve">3. </w:t>
      </w:r>
      <w:r>
        <w:rPr>
          <w:rFonts w:ascii="PT Astra Serif" w:hAnsi="PT Astra Serif" w:eastAsia="PT Astra Serif" w:cs="PT Astra Serif"/>
          <w:b/>
          <w:sz w:val="24"/>
          <w:szCs w:val="24"/>
          <w:lang w:eastAsia="en-US"/>
        </w:rPr>
        <w:t xml:space="preserve">Условия оказания услуг: </w:t>
      </w:r>
      <w:r>
        <w:rPr>
          <w:rFonts w:ascii="PT Astra Serif" w:hAnsi="PT Astra Serif" w:cs="PT Astra Serif"/>
          <w:b/>
          <w:bCs/>
          <w:sz w:val="24"/>
          <w:szCs w:val="24"/>
        </w:rPr>
      </w:r>
      <w:r>
        <w:rPr>
          <w:rFonts w:ascii="PT Astra Serif" w:hAnsi="PT Astra Serif" w:cs="PT Astra Serif"/>
          <w:b/>
          <w:bCs/>
          <w:sz w:val="24"/>
          <w:szCs w:val="24"/>
        </w:rPr>
      </w:r>
    </w:p>
    <w:p>
      <w:pPr>
        <w:tabs>
          <w:tab w:val="left" w:pos="284" w:leader="none"/>
        </w:tabs>
        <w:spacing w:after="0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г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од изготовления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т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овара - не ранее 2025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1_637"/>
        <w:spacing w:after="0" w:line="288" w:lineRule="auto"/>
        <w:ind w:firstLine="567"/>
        <w:contextualSpacing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доставка </w:t>
      </w: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</w:r>
      <w:bookmarkEnd w:id="0"/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 товара  производится за счет и силами Поставщика (в том числе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для замены неисправного);</w:t>
      </w:r>
      <w:r>
        <w:rPr>
          <w:rFonts w:ascii="PT Astra Serif" w:hAnsi="PT Astra Serif" w:cs="PT Astra Serif"/>
          <w:bCs/>
          <w:sz w:val="24"/>
          <w:szCs w:val="24"/>
        </w:rPr>
      </w:r>
      <w:r>
        <w:rPr>
          <w:rFonts w:ascii="PT Astra Serif" w:hAnsi="PT Astra Serif" w:cs="PT Astra Serif"/>
          <w:bCs/>
          <w:sz w:val="24"/>
          <w:szCs w:val="24"/>
        </w:rPr>
      </w:r>
    </w:p>
    <w:p>
      <w:pPr>
        <w:spacing w:after="0" w:line="288" w:lineRule="auto"/>
        <w:ind w:firstLine="567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- 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поставляемое оборудование должно быть </w:t>
      </w:r>
      <w:r>
        <w:rPr>
          <w:rFonts w:ascii="PT Astra Serif" w:hAnsi="PT Astra Serif" w:eastAsia="PT Astra Serif" w:cs="PT Astra Serif"/>
          <w:bCs/>
          <w:color w:val="000000"/>
          <w:sz w:val="24"/>
          <w:szCs w:val="24"/>
        </w:rPr>
        <w:t xml:space="preserve">новым, ранее не использованным, полностью укомплектованным и иметь стандартную упаковку производителя оборудования</w:t>
      </w:r>
      <w:r>
        <w:rPr>
          <w:rFonts w:ascii="PT Astra Serif" w:hAnsi="PT Astra Serif" w:eastAsia="PT Astra Serif" w:cs="PT Astra Serif"/>
          <w:color w:val="000000"/>
          <w:sz w:val="24"/>
          <w:szCs w:val="24"/>
        </w:rPr>
        <w:t xml:space="preserve">.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Упаковка должна обеспечивать полную сохранность оборудования на весь срок его транспортировки с учетом перегрузок и длительного хранения.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88" w:lineRule="auto"/>
        <w:ind w:firstLine="709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Cs/>
          <w:color w:val="000000"/>
          <w:sz w:val="24"/>
          <w:szCs w:val="24"/>
        </w:rPr>
        <w:t xml:space="preserve">- товар должен соответствовать или превышать требования Технического Задания по производительности и эргономическим показателям</w:t>
      </w:r>
      <w:r>
        <w:rPr>
          <w:rFonts w:ascii="PT Astra Serif" w:hAnsi="PT Astra Serif" w:eastAsia="PT Astra Serif" w:cs="PT Astra Serif"/>
          <w:bCs/>
          <w:sz w:val="24"/>
          <w:szCs w:val="24"/>
        </w:rPr>
        <w:t xml:space="preserve">,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з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а исключением случаев несовместимости товаров, на которых применяются другие товарные знаки, знаки обслуживания и необходимости обеспечения взаимодействия таких товаров с товарами, используемыми Заказчиком.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after="0" w:line="288" w:lineRule="auto"/>
        <w:ind w:firstLine="567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4. Место поставки товара: 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Республика Адыгея, г. Майкоп, ул. Краснооктябрьская, д.44</w:t>
      </w:r>
      <w:r>
        <w:rPr>
          <w:rFonts w:ascii="PT Astra Serif" w:hAnsi="PT Astra Serif" w:eastAsia="PT Astra Serif" w:cs="PT Astra Serif"/>
          <w:sz w:val="24"/>
          <w:szCs w:val="24"/>
          <w:lang w:eastAsia="en-US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1_638"/>
        <w:spacing w:after="0" w:line="288" w:lineRule="auto"/>
        <w:ind w:left="0" w:firstLine="567"/>
        <w:jc w:val="both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5. Наименование и количество поставляемого товара: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pPr w:horzAnchor="text" w:tblpX="-34" w:vertAnchor="text" w:tblpY="1" w:leftFromText="180" w:topFromText="0" w:rightFromText="180" w:bottomFromText="0"/>
        <w:tblW w:w="9672" w:type="dxa"/>
        <w:tblLayout w:type="fixed"/>
        <w:tblLook w:val="04A0" w:firstRow="1" w:lastRow="0" w:firstColumn="1" w:lastColumn="0" w:noHBand="0" w:noVBand="1"/>
      </w:tblPr>
      <w:tblGrid>
        <w:gridCol w:w="560"/>
        <w:gridCol w:w="6135"/>
        <w:gridCol w:w="1417"/>
        <w:gridCol w:w="1559"/>
      </w:tblGrid>
      <w:tr>
        <w:trPr>
          <w:trHeight w:val="530"/>
          <w:tblHeader/>
        </w:trPr>
        <w:tblPrEx/>
        <w:tc>
          <w:tcPr>
            <w:tcW w:w="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 w:val="false"/>
            <w:textDirection w:val="lrTb"/>
            <w:vAlign w:val="center"/>
          </w:tcPr>
          <w:p>
            <w:pPr>
              <w:spacing w:before="0" w:beforeAutospacing="0" w:after="0" w:afterAutospacing="0"/>
              <w:contextualSpacing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№ 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п</w:t>
            </w: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/п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6135" w:type="dxa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before="0" w:beforeAutospacing="0" w:after="0" w:afterAutospacing="0"/>
              <w:contextualSpacing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before="0" w:beforeAutospacing="0" w:after="0" w:afterAutospacing="0"/>
              <w:contextualSpacing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Единица измерения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before="0" w:beforeAutospacing="0" w:after="0" w:afterAutospacing="0"/>
              <w:contextualSpacing/>
              <w:jc w:val="center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b/>
                <w:bCs/>
                <w:sz w:val="24"/>
                <w:szCs w:val="24"/>
              </w:rPr>
              <w:t xml:space="preserve">Количество</w:t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  <w:r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r>
          </w:p>
        </w:tc>
      </w:tr>
      <w:tr>
        <w:trPr>
          <w:trHeight w:val="428"/>
        </w:trPr>
        <w:tblPrEx/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numPr>
                <w:numId w:val="1"/>
                <w:ilvl w:val="0"/>
              </w:numPr>
              <w:spacing w:before="0" w:beforeAutospacing="0" w:after="0" w:afterAutospacing="0" w:line="312" w:lineRule="auto"/>
              <w:contextualSpacing/>
              <w:jc w:val="left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  <w:tc>
          <w:tcPr>
            <w:tcW w:w="6135" w:type="dxa"/>
            <w:vMerge w:val="restart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pStyle w:val="622"/>
              <w:spacing w:before="0" w:beforeAutospacing="0" w:after="0" w:afterAutospacing="0"/>
              <w:ind w:left="0"/>
              <w:jc w:val="both"/>
              <w:rPr>
                <w:rFonts w:ascii="PT Astra Serif" w:hAnsi="PT Astra Serif" w:cs="PT Astra Serif"/>
                <w:b w:val="0"/>
                <w:bCs w:val="0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Источник бесперебойного питания (код ОКПД2 26.20.40.111, код по КТРУ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a"/>
                <w:sz w:val="24"/>
                <w:szCs w:val="24"/>
                <w:highlight w:val="white"/>
                <w:lang w:eastAsia="en-US"/>
              </w:rPr>
              <w:t xml:space="preserve">26.20.40.110-00000013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b w:val="0"/>
                <w:bCs w:val="0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a"/>
                <w:szCs w:val="22"/>
                <w:highlight w:val="white"/>
              </w:rPr>
            </w:r>
          </w:p>
        </w:tc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before="0" w:beforeAutospacing="0" w:after="0" w:afterAutospacing="0"/>
              <w:jc w:val="center"/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шт.</w:t>
            </w:r>
          </w:p>
        </w:tc>
        <w:tc>
          <w:tcPr>
            <w:tcW w:w="15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noWrap/>
            <w:textDirection w:val="lrTb"/>
            <w:vAlign w:val="center"/>
          </w:tcPr>
          <w:p>
            <w:pPr>
              <w:spacing w:before="0" w:beforeAutospacing="0" w:after="0" w:afterAutospacing="0" w:line="312" w:lineRule="auto"/>
              <w:contextualSpacing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  <w:lang w:val="en-US"/>
              </w:rPr>
              <w:t xml:space="preserve">19</w:t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  <w:r>
              <w:rPr>
                <w:rFonts w:ascii="PT Astra Serif" w:hAnsi="PT Astra Serif" w:cs="PT Astra Serif"/>
                <w:sz w:val="24"/>
                <w:szCs w:val="24"/>
              </w:rPr>
            </w:r>
          </w:p>
        </w:tc>
      </w:tr>
    </w:tbl>
    <w:p>
      <w:pPr>
        <w:pStyle w:val="1_638"/>
        <w:spacing w:after="0" w:line="288" w:lineRule="auto"/>
        <w:ind w:left="0" w:firstLine="567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p>
      <w:pPr>
        <w:pStyle w:val="1_638"/>
        <w:spacing w:after="0" w:line="288" w:lineRule="auto"/>
        <w:ind w:left="0" w:firstLine="567"/>
        <w:rPr>
          <w:rFonts w:ascii="PT Astra Serif" w:hAnsi="PT Astra Serif" w:cs="PT Astra Serif"/>
          <w:b/>
          <w:sz w:val="24"/>
          <w:szCs w:val="24"/>
        </w:rPr>
      </w:pPr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6. Технические характеристики поставляемого товара:</w:t>
      </w:r>
      <w:r>
        <w:rPr>
          <w:rFonts w:ascii="PT Astra Serif" w:hAnsi="PT Astra Serif" w:cs="PT Astra Serif"/>
          <w:b/>
          <w:sz w:val="24"/>
          <w:szCs w:val="24"/>
        </w:rPr>
      </w:r>
      <w:r>
        <w:rPr>
          <w:rFonts w:ascii="PT Astra Serif" w:hAnsi="PT Astra Serif" w:cs="PT Astra Serif"/>
          <w:b/>
          <w:sz w:val="24"/>
          <w:szCs w:val="24"/>
        </w:rPr>
      </w:r>
    </w:p>
    <w:tbl>
      <w:tblPr>
        <w:tblStyle w:val="49"/>
        <w:tblW w:w="9591" w:type="dxa"/>
        <w:tblLayout w:type="fixed"/>
        <w:tblLook w:val="04A0" w:firstRow="1" w:lastRow="0" w:firstColumn="1" w:lastColumn="0" w:noHBand="0" w:noVBand="1"/>
      </w:tblPr>
      <w:tblGrid>
        <w:gridCol w:w="2834"/>
        <w:gridCol w:w="2835"/>
        <w:gridCol w:w="2126"/>
        <w:gridCol w:w="1796"/>
      </w:tblGrid>
      <w:tr>
        <w:trPr>
          <w:trHeight w:val="600"/>
          <w:tblHeader/>
        </w:trPr>
        <w:tblPrEx/>
        <w:tc>
          <w:tcPr>
            <w:tcW w:w="2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НАИМЕНОВАНИЕ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НАИМЕНОВАНИЕ ХАРАКТЕРИСТИКИ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/>
              <w:ind w:right="-108" w:firstLine="34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ЗНАЧЕНИЕ ХАРАКТЕРИСТИКИ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  <w:tc>
          <w:tcPr>
            <w:tcW w:w="1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>
            <w:pPr>
              <w:spacing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  <w:t xml:space="preserve">ЕДИНИЦА ИЗМЕРЕНИЯ ХАРАКТЕРИ СТИКИ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spacing w:after="0"/>
              <w:jc w:val="left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Источник бесперебойного питания (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код по КТРУ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a"/>
                <w:sz w:val="24"/>
                <w:szCs w:val="24"/>
                <w:highlight w:val="white"/>
                <w:lang w:eastAsia="en-US"/>
              </w:rPr>
              <w:t xml:space="preserve">26.20.40.110-00000013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4"/>
                <w:szCs w:val="24"/>
              </w:rPr>
              <w:t xml:space="preserve">)</w:t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  <w:r>
              <w:rPr>
                <w:rFonts w:ascii="PT Astra Serif" w:hAnsi="PT Astra Serif" w:cs="PT Astra Serif"/>
                <w:color w:val="000000"/>
                <w:sz w:val="24"/>
                <w:szCs w:val="24"/>
              </w:rPr>
            </w:r>
          </w:p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Активная мощность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300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Ватт (ВТ)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Возможность замены аккумуляторной батареи пользователем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Да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Емкость одного аккум</w:t>
            </w:r>
            <w:bookmarkStart w:id="0" w:name="undefined"/>
            <w:r>
              <w:rPr>
                <w:rFonts w:ascii="PT Astra Serif" w:hAnsi="PT Astra Serif" w:eastAsia="PT Astra Serif" w:cs="PT Astra Serif"/>
                <w:sz w:val="24"/>
                <w:szCs w:val="24"/>
                <w:highlight w:val="white"/>
              </w:rPr>
            </w:r>
            <w:bookmarkEnd w:id="0"/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улятора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7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Ампер-час        (3,6 кКл)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Количество выходных разъемов питания с батарейной поддержкой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4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Штука (ШТ)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Количество выходных розеток 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Schuko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8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  <w14:ligatures w14:val="non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Штука (ШТ)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Максимально-допустимое номинальное напряжение аккумуляторных батарей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12 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Вольт (В)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Минимальное время автономной работы при расчетной нагрузке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Минута (МИН)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Наличие АКБ в комплектации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Да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Наличие функции холодного старта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Да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Номинальная входная частота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50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Герц (ГЦ)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Номинальная выходная частота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0 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Герц (ГЦ)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Номинальное входное напряжение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220 и &lt; 240 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Вольт (В)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Номинальное выходное напряжение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≥ 220 и &lt; 240 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Вольт (В)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Тип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Линейно-интерактивный (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line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 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interactive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Тип используемых аккумуляторных батарей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Свинцово-кислотные герметичные необслуживаемые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Расположение батарей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Внутри источника бесперебойного питания</w:t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</w:rPr>
            </w: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Уровень шума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≤ 50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Децибел (ДЕЦИБЕЛ)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  <w:tr>
        <w:trPr>
          <w:trHeight w:val="485"/>
        </w:trPr>
        <w:tblPrEx/>
        <w:tc>
          <w:tcPr>
            <w:tcW w:w="28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</w:tcPr>
          <w:p/>
        </w:tc>
        <w:tc>
          <w:tcPr>
            <w:tcW w:w="28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left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Форм-фактор источника бесперебойного питания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  <w:t xml:space="preserve">Отдельно стоящий (напольный)</w:t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  <w:tc>
          <w:tcPr>
            <w:tcW w:w="179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false"/>
            <w:textDirection w:val="lrTb"/>
            <w:vAlign w:val="center"/>
          </w:tcPr>
          <w:p>
            <w:pPr>
              <w:pStyle w:val="622"/>
              <w:ind w:left="0"/>
              <w:jc w:val="center"/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pPr>
            <w:r>
              <w:rPr>
                <w:rFonts w:ascii="PT Astra Serif" w:hAnsi="PT Astra Serif" w:eastAsia="PT Astra Serif" w:cs="PT Astra Serif"/>
                <w:color w:val="00000a"/>
                <w:sz w:val="24"/>
                <w:szCs w:val="24"/>
                <w:highlight w:val="white"/>
                <w:lang w:eastAsia="en-US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  <w:r>
              <w:rPr>
                <w:rFonts w:ascii="PT Astra Serif" w:hAnsi="PT Astra Serif" w:cs="PT Astra Serif"/>
                <w:color w:val="00000a"/>
                <w:szCs w:val="22"/>
                <w:highlight w:val="white"/>
              </w:rPr>
            </w:r>
          </w:p>
        </w:tc>
      </w:tr>
    </w:tbl>
    <w:p>
      <w:pPr>
        <w:pStyle w:val="1_638"/>
        <w:spacing w:after="0" w:line="312" w:lineRule="auto"/>
        <w:ind w:left="0" w:firstLine="567"/>
        <w:contextualSpacing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pStyle w:val="1_638"/>
        <w:spacing w:after="0" w:line="288" w:lineRule="auto"/>
        <w:ind w:left="0" w:firstLine="567"/>
        <w:rPr>
          <w:rFonts w:ascii="PT Astra Serif" w:hAnsi="PT Astra Serif" w:cs="PT Astra Serif"/>
          <w:sz w:val="24"/>
          <w:szCs w:val="24"/>
        </w:rPr>
      </w:pPr>
      <w:bookmarkStart w:id="0" w:name="undefined"/>
      <w:r>
        <w:rPr>
          <w:rFonts w:ascii="PT Astra Serif" w:hAnsi="PT Astra Serif" w:eastAsia="PT Astra Serif" w:cs="PT Astra Serif"/>
          <w:sz w:val="24"/>
          <w:szCs w:val="24"/>
        </w:rPr>
        <w:t xml:space="preserve">7</w:t>
      </w:r>
      <w:bookmarkEnd w:id="0"/>
      <w:r>
        <w:rPr>
          <w:rFonts w:ascii="PT Astra Serif" w:hAnsi="PT Astra Serif" w:eastAsia="PT Astra Serif" w:cs="PT Astra Serif"/>
          <w:b/>
          <w:sz w:val="24"/>
          <w:szCs w:val="24"/>
        </w:rPr>
        <w:t xml:space="preserve">. Срок гарантии на оказанные услуги: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88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- поставщик должен обеспечивать гарантийные обязательства на поставляемый Товар на срок, определенный производителем данного товара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или более, но не менее 1 года. 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spacing w:line="288" w:lineRule="auto"/>
        <w:ind w:firstLine="709"/>
        <w:contextualSpacing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Исчисление гарантийного периода начинается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с даты подписания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 сторонами товарной накладной и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кта приема-передачи товар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.</w:t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>
      <w:pPr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  <w:r>
        <w:rPr>
          <w:rFonts w:ascii="PT Astra Serif" w:hAnsi="PT Astra Serif" w:cs="PT Astra Serif"/>
          <w:sz w:val="24"/>
          <w:szCs w:val="24"/>
        </w:rPr>
      </w:r>
    </w:p>
    <w:p/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imes New Roman">
    <w:panose1 w:val="020206030504050203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Next/>
      <w:keepLines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Next/>
      <w:keepLines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Next/>
      <w:keepLines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Next/>
      <w:keepLines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Next/>
      <w:keepLines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Next/>
      <w:keepLines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Next/>
      <w:keepLines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Next/>
      <w:keepLines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Next/>
      <w:keepLines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5">
    <w:name w:val="Title"/>
    <w:basedOn w:val="618"/>
    <w:next w:val="618"/>
    <w:link w:val="36"/>
    <w:uiPriority w:val="10"/>
    <w:qFormat/>
    <w:pPr>
      <w:spacing w:before="300" w:after="200"/>
      <w:contextualSpacing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56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4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5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6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7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8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69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0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7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67a4d8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a5a5a5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85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5b9bd5" w:themeFill="accent1"/>
      </w:tcPr>
    </w:tblStylePr>
  </w:style>
  <w:style w:type="table" w:styleId="86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ed7d31" w:themeFill="accent2"/>
      </w:tcPr>
    </w:tblStylePr>
  </w:style>
  <w:style w:type="table" w:styleId="87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a5a5a5" w:themeFill="accent3"/>
      </w:tcPr>
    </w:tblStylePr>
  </w:style>
  <w:style w:type="table" w:styleId="88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ffc000" w:themeFill="accent4"/>
      </w:tcPr>
    </w:tblStylePr>
  </w:style>
  <w:style w:type="table" w:styleId="89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472c4" w:themeFill="accent5"/>
      </w:tcPr>
    </w:tblStylePr>
  </w:style>
  <w:style w:type="table" w:styleId="90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70ad47" w:themeFill="accent6"/>
      </w:tcPr>
    </w:tblStylePr>
  </w:style>
  <w:style w:type="table" w:styleId="91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99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themeTint="8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tcBorders>
          <w:top w:val="none"/>
          <w:left w:val="none"/>
          <w:bottom w:val="single" w:color="000000" w:themeColor="accen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tcBorders>
          <w:top w:val="none"/>
          <w:left w:val="single" w:color="000000" w:themeColor="accen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0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1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FE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none"/>
          <w:left w:val="none"/>
          <w:bottom w:val="single" w:color="000000" w:themeColor="accent3" w:themeTint="FE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tcBorders>
          <w:top w:val="none"/>
          <w:left w:val="single" w:color="000000" w:themeColor="accent3" w:themeTint="FE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2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3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tcBorders>
          <w:top w:val="none"/>
          <w:left w:val="none"/>
          <w:bottom w:val="single" w:color="000000" w:themeColor="accent5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tcBorders>
          <w:top w:val="none"/>
          <w:left w:val="single" w:color="000000" w:themeColor="accent5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tcBorders>
          <w:top w:val="single" w:color="000000" w:themeColor="accent5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4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0" w:sz="4" w:space="0"/>
        </w:tcBorders>
        <w:shd w:color="ffffff"/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none"/>
          <w:left w:val="none"/>
          <w:bottom w:val="single" w:color="000000" w:themeColor="accent6" w:themeTint="9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tcBorders>
          <w:top w:val="none"/>
          <w:left w:val="single" w:color="000000" w:themeColor="accent6" w:themeTint="9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tcBorders>
          <w:top w:val="single" w:color="000000" w:themeColor="accent6" w:themeTint="9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</w:style>
  <w:style w:type="table" w:styleId="105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5b9bd5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5b9bd5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5b9bd5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f4b185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f4b185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9c9c9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9c9c9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ffd864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ffd864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8eabdb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8eabdb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aad08f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aad08f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text1" w:themeTint="80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none"/>
          <w:bottom w:val="single" w:color="000000" w:themeColor="text1" w:themeTint="80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none"/>
          <w:left w:val="single" w:color="000000" w:themeColor="text1" w:themeTint="80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149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2" w:themeTint="97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/>
          <w:left w:val="none"/>
          <w:bottom w:val="single" w:color="000000" w:themeColor="accent2" w:themeTint="97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none"/>
          <w:left w:val="single" w:color="000000" w:themeColor="accent2" w:themeTint="97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3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/>
          <w:left w:val="none"/>
          <w:bottom w:val="single" w:color="000000" w:themeColor="accent3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none"/>
          <w:left w:val="single" w:color="000000" w:themeColor="accent3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4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/>
          <w:left w:val="none"/>
          <w:bottom w:val="single" w:color="000000" w:themeColor="accent4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none"/>
          <w:left w:val="single" w:color="000000" w:themeColor="accent4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5" w:themeTint="9A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none"/>
          <w:left w:val="none"/>
          <w:bottom w:val="single" w:color="000000" w:themeColor="accent5" w:themeTint="9A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none"/>
          <w:left w:val="single" w:color="000000" w:themeColor="accent5" w:themeTint="9A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153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tcBorders>
          <w:top w:val="none"/>
          <w:left w:val="none"/>
          <w:bottom w:val="none"/>
          <w:right w:val="single" w:color="000000" w:themeColor="accent6" w:themeTint="98" w:sz="4" w:space="0"/>
        </w:tcBorders>
        <w:shd w:color="ffffff"/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/>
          <w:left w:val="none"/>
          <w:bottom w:val="single" w:color="000000" w:themeColor="accent6" w:themeTint="98" w:sz="4" w:space="0"/>
          <w:right w:val="none"/>
        </w:tcBorders>
        <w:shd w:val="clear" w:color="ffffff" w:themeColor="light1" w:fill="ffffff" w:themeFill="light1"/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none"/>
          <w:left w:val="single" w:color="000000" w:themeColor="accent6" w:themeTint="98" w:sz="4" w:space="0"/>
          <w:bottom w:val="none"/>
          <w:right w:val="none"/>
        </w:tcBorders>
        <w:shd w:color="ffffff"/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/>
          <w:bottom w:val="none"/>
          <w:right w:val="none"/>
        </w:tcBorders>
        <w:shd w:val="clear" w:color="ffffff" w:themeColor="light1" w:fill="ffffff" w:themeFill="light1"/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6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0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3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7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spacing w:after="57"/>
      <w:ind w:left="0" w:right="0" w:firstLine="0"/>
    </w:pPr>
  </w:style>
  <w:style w:type="paragraph" w:styleId="183">
    <w:name w:val="toc 2"/>
    <w:basedOn w:val="618"/>
    <w:next w:val="618"/>
    <w:uiPriority w:val="39"/>
    <w:unhideWhenUsed/>
    <w:pPr>
      <w:spacing w:after="57"/>
      <w:ind w:left="283" w:right="0" w:firstLine="0"/>
    </w:pPr>
  </w:style>
  <w:style w:type="paragraph" w:styleId="184">
    <w:name w:val="toc 3"/>
    <w:basedOn w:val="618"/>
    <w:next w:val="618"/>
    <w:uiPriority w:val="39"/>
    <w:unhideWhenUsed/>
    <w:pPr>
      <w:spacing w:after="57"/>
      <w:ind w:left="567" w:right="0" w:firstLine="0"/>
    </w:pPr>
  </w:style>
  <w:style w:type="paragraph" w:styleId="185">
    <w:name w:val="toc 4"/>
    <w:basedOn w:val="618"/>
    <w:next w:val="618"/>
    <w:uiPriority w:val="39"/>
    <w:unhideWhenUsed/>
    <w:pPr>
      <w:spacing w:after="57"/>
      <w:ind w:left="850" w:right="0" w:firstLine="0"/>
    </w:pPr>
  </w:style>
  <w:style w:type="paragraph" w:styleId="186">
    <w:name w:val="toc 5"/>
    <w:basedOn w:val="618"/>
    <w:next w:val="618"/>
    <w:uiPriority w:val="39"/>
    <w:unhideWhenUsed/>
    <w:pPr>
      <w:spacing w:after="57"/>
      <w:ind w:left="1134" w:right="0" w:firstLine="0"/>
    </w:pPr>
  </w:style>
  <w:style w:type="paragraph" w:styleId="187">
    <w:name w:val="toc 6"/>
    <w:basedOn w:val="618"/>
    <w:next w:val="618"/>
    <w:uiPriority w:val="39"/>
    <w:unhideWhenUsed/>
    <w:pPr>
      <w:spacing w:after="57"/>
      <w:ind w:left="1417" w:right="0" w:firstLine="0"/>
    </w:pPr>
  </w:style>
  <w:style w:type="paragraph" w:styleId="188">
    <w:name w:val="toc 7"/>
    <w:basedOn w:val="618"/>
    <w:next w:val="618"/>
    <w:uiPriority w:val="39"/>
    <w:unhideWhenUsed/>
    <w:pPr>
      <w:spacing w:after="57"/>
      <w:ind w:left="1701" w:right="0" w:firstLine="0"/>
    </w:pPr>
  </w:style>
  <w:style w:type="paragraph" w:styleId="189">
    <w:name w:val="toc 8"/>
    <w:basedOn w:val="618"/>
    <w:next w:val="618"/>
    <w:uiPriority w:val="39"/>
    <w:unhideWhenUsed/>
    <w:pPr>
      <w:spacing w:after="57"/>
      <w:ind w:left="1984" w:right="0" w:firstLine="0"/>
    </w:pPr>
  </w:style>
  <w:style w:type="paragraph" w:styleId="190">
    <w:name w:val="toc 9"/>
    <w:basedOn w:val="618"/>
    <w:next w:val="618"/>
    <w:uiPriority w:val="39"/>
    <w:unhideWhenUsed/>
    <w:pPr>
      <w:spacing w:after="57"/>
      <w:ind w:left="2268" w:right="0" w:firstLine="0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qFormat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 Spacing"/>
    <w:basedOn w:val="618"/>
    <w:uiPriority w:val="1"/>
    <w:qFormat/>
    <w:pPr>
      <w:spacing w:after="0" w:line="240" w:lineRule="auto"/>
    </w:pPr>
  </w:style>
  <w:style w:type="paragraph" w:styleId="622">
    <w:name w:val="List Paragraph"/>
    <w:basedOn w:val="618"/>
    <w:uiPriority w:val="34"/>
    <w:qFormat/>
    <w:pPr>
      <w:ind w:left="720"/>
      <w:contextualSpacing/>
    </w:pPr>
  </w:style>
  <w:style w:type="character" w:styleId="627" w:default="1">
    <w:name w:val="Default Paragraph Font"/>
    <w:uiPriority w:val="1"/>
    <w:semiHidden/>
    <w:unhideWhenUsed/>
  </w:style>
  <w:style w:type="paragraph" w:styleId="1_637" w:customStyle="1">
    <w:name w:val="Body Text 3"/>
    <w:basedOn w:val="620"/>
    <w:link w:val="626"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120" w:afterAutospacing="0" w:line="240" w:lineRule="auto"/>
      <w:ind w:left="0" w:right="0" w:firstLine="0"/>
      <w:contextualSpacing w:val="0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_638" w:customStyle="1">
    <w:name w:val="Body Text Indent"/>
    <w:basedOn w:val="620"/>
    <w:link w:val="628"/>
    <w:uiPriority w:val="99"/>
    <w:unhideWhenUsed/>
    <w:pPr>
      <w:keepNext w:val="0"/>
      <w:keepLines w:val="0"/>
      <w:pageBreakBefore w:val="0"/>
      <w:widowControl/>
      <w:suppressLineNumbers w:val="0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spacing w:before="0" w:beforeAutospacing="0" w:after="120" w:afterAutospacing="0" w:line="240" w:lineRule="auto"/>
      <w:ind w:left="283" w:right="0" w:firstLine="0"/>
      <w:contextualSpacing w:val="0"/>
      <w:jc w:val="both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sharkova_og</cp:lastModifiedBy>
  <cp:revision>1</cp:revision>
  <dcterms:modified xsi:type="dcterms:W3CDTF">2026-08-03T12:21:39Z</dcterms:modified>
</cp:coreProperties>
</file>