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center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ОБОСНОВАНИЕ НАЧАЛЬНОЙ (МАКСИМАЛЬНОЙ) </w:t>
        <w:br/>
        <w:t>ЦЕНЫ КОНТРАКТА</w:t>
      </w:r>
    </w:p>
    <w:p>
      <w:pPr>
        <w:pStyle w:val="Normal"/>
        <w:shd w:val="clear" w:color="auto" w:fill="FAFAFA"/>
        <w:jc w:val="center"/>
        <w:textAlignment w:val="center"/>
        <w:rPr>
          <w:color w:val="000000"/>
        </w:rPr>
      </w:pPr>
      <w:r>
        <w:rPr>
          <w:rStyle w:val="FontStyle43"/>
          <w:b w:val="false"/>
          <w:sz w:val="24"/>
          <w:szCs w:val="24"/>
        </w:rPr>
        <w:t xml:space="preserve">ИКЗ </w:t>
      </w:r>
      <w:r>
        <w:rPr>
          <w:color w:val="000000"/>
        </w:rPr>
        <w:t>261583601331558360100100330000000244</w:t>
      </w:r>
    </w:p>
    <w:p>
      <w:pPr>
        <w:pStyle w:val="Normal"/>
        <w:ind w:firstLine="540"/>
        <w:jc w:val="center"/>
        <w:rPr>
          <w:rStyle w:val="FontStyle43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tabs>
          <w:tab w:val="clear" w:pos="708"/>
          <w:tab w:val="left" w:pos="142" w:leader="none"/>
        </w:tabs>
        <w:ind w:firstLine="851" w:left="-851"/>
        <w:jc w:val="both"/>
        <w:rPr/>
      </w:pPr>
      <w:r>
        <w:rPr/>
        <w:t>Расчет начальной (максимальной) цены контракта основан на методе сопоставимых рыночных цен (анализа рынка). Проведен анализ цен коммерческих предложений потенциальных Поставщиков и вычислена среднеарифметическая цена.</w:t>
      </w:r>
    </w:p>
    <w:p>
      <w:pPr>
        <w:pStyle w:val="Normal"/>
        <w:tabs>
          <w:tab w:val="clear" w:pos="708"/>
          <w:tab w:val="left" w:pos="142" w:leader="none"/>
        </w:tabs>
        <w:ind w:firstLine="851" w:left="-851"/>
        <w:jc w:val="both"/>
        <w:rPr/>
      </w:pPr>
      <w:r>
        <w:rPr/>
        <w:t xml:space="preserve">Расчет начальной (максимальной) цены контракта (Н(М)ЦК) произведен по формуле: </w:t>
      </w:r>
    </w:p>
    <w:p>
      <w:pPr>
        <w:pStyle w:val="Normal"/>
        <w:tabs>
          <w:tab w:val="clear" w:pos="708"/>
          <w:tab w:val="left" w:pos="142" w:leader="none"/>
        </w:tabs>
        <w:ind w:firstLine="851" w:left="-851"/>
        <w:jc w:val="both"/>
        <w:rPr/>
      </w:pPr>
      <w:r>
        <w:rPr/>
        <w:t>Н(М)ЦК = СрЦ х О, где СрЦ – среднеарифметическая цена за 1 единицу товара (взято из коммерческих предложений согласно таблице), О – количество поставляемого товара.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/>
      </w:pPr>
      <w:r>
        <w:rPr/>
      </w:r>
    </w:p>
    <w:tbl>
      <w:tblPr>
        <w:tblW w:w="10915" w:type="dxa"/>
        <w:jc w:val="left"/>
        <w:tblInd w:w="-9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08"/>
        <w:gridCol w:w="2126"/>
        <w:gridCol w:w="1641"/>
        <w:gridCol w:w="1621"/>
        <w:gridCol w:w="1667"/>
        <w:gridCol w:w="883"/>
        <w:gridCol w:w="1134"/>
        <w:gridCol w:w="1133"/>
      </w:tblGrid>
      <w:tr>
        <w:trPr>
          <w:tblHeader w:val="true"/>
          <w:trHeight w:val="525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4"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ListParagraph"/>
              <w:ind w:hanging="34"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34"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товара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 xml:space="preserve">Сведения из следующих коммерческих предложений, </w:t>
            </w:r>
            <w:r>
              <w:rPr>
                <w:b/>
                <w:bCs/>
                <w:color w:val="000000"/>
                <w:sz w:val="20"/>
                <w:szCs w:val="20"/>
              </w:rPr>
              <w:t>цена за 1 товар, руб</w:t>
            </w:r>
            <w:r>
              <w:rPr>
                <w:b/>
                <w:sz w:val="20"/>
                <w:szCs w:val="20"/>
              </w:rPr>
              <w:t>.: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(шт)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Среднеарифметическая цена </w:t>
            </w:r>
            <w:r>
              <w:rPr>
                <w:b/>
                <w:bCs/>
                <w:color w:val="000000"/>
                <w:sz w:val="18"/>
                <w:szCs w:val="18"/>
              </w:rPr>
              <w:t>за 1 товар, руб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Итого, руб.</w:t>
            </w:r>
          </w:p>
        </w:tc>
      </w:tr>
      <w:tr>
        <w:trPr>
          <w:tblHeader w:val="true"/>
          <w:trHeight w:val="525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34"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34"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18"/>
                <w:szCs w:val="18"/>
              </w:rPr>
              <w:t>Коммерческое предложение №1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8"/>
                <w:szCs w:val="18"/>
              </w:rPr>
              <w:t>от 1</w:t>
            </w:r>
            <w:r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8</w:t>
            </w:r>
            <w:r>
              <w:rPr>
                <w:b/>
                <w:sz w:val="18"/>
                <w:szCs w:val="18"/>
              </w:rPr>
              <w:t>.2026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18"/>
                <w:szCs w:val="18"/>
              </w:rPr>
              <w:t>Коммерческое предложение №2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8"/>
                <w:szCs w:val="18"/>
              </w:rPr>
              <w:t>от 1</w:t>
            </w:r>
            <w:r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8</w:t>
            </w:r>
            <w:r>
              <w:rPr>
                <w:b/>
                <w:sz w:val="18"/>
                <w:szCs w:val="18"/>
              </w:rPr>
              <w:t>.2026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18"/>
                <w:szCs w:val="18"/>
              </w:rPr>
              <w:t xml:space="preserve">Коммерческое предложение №3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8"/>
                <w:szCs w:val="18"/>
              </w:rPr>
              <w:t xml:space="preserve">от </w:t>
            </w:r>
            <w:r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8</w:t>
            </w:r>
            <w:r>
              <w:rPr>
                <w:b/>
                <w:sz w:val="18"/>
                <w:szCs w:val="18"/>
              </w:rPr>
              <w:t>.2026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83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Бланк распоряжения (номерной, реквизиты черного цвета)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</w:t>
            </w:r>
            <w:r>
              <w:rPr>
                <w:color w:val="000000"/>
                <w:sz w:val="20"/>
                <w:szCs w:val="20"/>
              </w:rPr>
              <w:t>300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>
        <w:trPr>
          <w:trHeight w:val="483" w:hRule="atLeast"/>
        </w:trPr>
        <w:tc>
          <w:tcPr>
            <w:tcW w:w="97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 </w:t>
            </w:r>
            <w:r>
              <w:rPr>
                <w:b/>
                <w:color w:val="000000"/>
                <w:sz w:val="22"/>
                <w:szCs w:val="22"/>
              </w:rPr>
              <w:t>30</w:t>
            </w:r>
            <w:r>
              <w:rPr>
                <w:b/>
                <w:color w:val="000000"/>
                <w:sz w:val="22"/>
                <w:szCs w:val="22"/>
              </w:rPr>
              <w:t>0,00</w:t>
            </w:r>
          </w:p>
        </w:tc>
      </w:tr>
    </w:tbl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b/>
        </w:rPr>
      </w:pPr>
      <w:r>
        <w:rPr>
          <w:b/>
        </w:rPr>
        <w:t xml:space="preserve">Итого начальная (максимальная) цена контракта составляет </w:t>
      </w:r>
    </w:p>
    <w:p>
      <w:pPr>
        <w:pStyle w:val="Normal"/>
        <w:jc w:val="center"/>
        <w:rPr>
          <w:b/>
        </w:rPr>
      </w:pPr>
      <w:r>
        <w:rPr>
          <w:b/>
          <w:color w:val="000000"/>
        </w:rPr>
        <w:t xml:space="preserve">1 </w:t>
      </w:r>
      <w:r>
        <w:rPr>
          <w:b/>
          <w:color w:val="000000"/>
        </w:rPr>
        <w:t>30</w:t>
      </w:r>
      <w:r>
        <w:rPr>
          <w:b/>
          <w:color w:val="000000"/>
        </w:rPr>
        <w:t>0,00 (Одна тысяча т</w:t>
      </w:r>
      <w:r>
        <w:rPr>
          <w:b/>
          <w:color w:val="000000"/>
        </w:rPr>
        <w:t>риста</w:t>
      </w:r>
      <w:r>
        <w:rPr>
          <w:b/>
          <w:color w:val="000000"/>
        </w:rPr>
        <w:t>)</w:t>
      </w:r>
      <w:r>
        <w:rPr>
          <w:rFonts w:ascii="Calibri" w:hAnsi="Calibri"/>
          <w:color w:val="000000"/>
        </w:rPr>
        <w:t xml:space="preserve"> </w:t>
      </w:r>
      <w:r>
        <w:rPr>
          <w:b/>
        </w:rPr>
        <w:t>рублей 00копеек.</w:t>
      </w:r>
    </w:p>
    <w:p>
      <w:pPr>
        <w:pStyle w:val="Normal"/>
        <w:ind w:firstLine="634"/>
        <w:jc w:val="center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(Наименование валюты Российский рубль)</w:t>
      </w:r>
    </w:p>
    <w:p>
      <w:pPr>
        <w:pStyle w:val="Normal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</w:r>
    </w:p>
    <w:p>
      <w:pPr>
        <w:pStyle w:val="Normal"/>
        <w:ind w:firstLine="851" w:left="-851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При обосновании начальной (максимальной) цены Государственного контракта заказчик посчитал применение корректирующих коэффициентов и индексов нецелесообразным.</w:t>
      </w:r>
    </w:p>
    <w:p>
      <w:pPr>
        <w:pStyle w:val="Normal"/>
        <w:ind w:firstLine="851" w:left="-851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В целях определения однородности совокупности значений выявленных цен, используемых в расчете начальной (максимальной) цены контракта, определен коэффициент вариации </w:t>
      </w:r>
    </w:p>
    <w:p>
      <w:pPr>
        <w:pStyle w:val="Normal"/>
        <w:ind w:firstLine="851" w:left="-851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tbl>
      <w:tblPr>
        <w:tblW w:w="10490" w:type="dxa"/>
        <w:jc w:val="left"/>
        <w:tblInd w:w="-9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08"/>
        <w:gridCol w:w="2693"/>
        <w:gridCol w:w="1419"/>
        <w:gridCol w:w="1700"/>
        <w:gridCol w:w="1985"/>
        <w:gridCol w:w="1984"/>
      </w:tblGrid>
      <w:tr>
        <w:trPr>
          <w:trHeight w:val="483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lef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Товары, работы, услуги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 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 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Коэффициент вариации</w:t>
            </w:r>
          </w:p>
        </w:tc>
      </w:tr>
      <w:tr>
        <w:trPr>
          <w:trHeight w:val="216" w:hRule="atLeast"/>
        </w:trPr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Однородный ряд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 более 33% включительно</w:t>
            </w:r>
          </w:p>
        </w:tc>
      </w:tr>
      <w:tr>
        <w:trPr>
          <w:trHeight w:val="277" w:hRule="atLeast"/>
        </w:trPr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Неоднородный ряд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более 33%</w:t>
            </w:r>
          </w:p>
        </w:tc>
      </w:tr>
      <w:tr>
        <w:trPr>
          <w:trHeight w:val="483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Бланк распоряжения (номерной, реквизиты черного цвета)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6 %</w:t>
            </w:r>
          </w:p>
        </w:tc>
      </w:tr>
    </w:tbl>
    <w:p>
      <w:pPr>
        <w:pStyle w:val="Normal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ind w:firstLine="426" w:left="-567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Совокупность значений, используемых в расчете начальной (максимальной) цены контракта, согласно пункту 3.20.2 Методических рекомендации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Минэкономразвития России от 02.10.2013 № 567, считается однородной, так как коэффициенты вариации не превышают 33%.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swiss"/>
    <w:pitch w:val="variable"/>
  </w:font>
  <w:font w:name="Calibr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13" w:hanging="0"/>
      </w:pPr>
      <w:rPr>
        <w:b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13" w:hanging="0"/>
      </w:pPr>
      <w:rPr>
        <w:b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42ec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7b2fc9"/>
    <w:pPr>
      <w:keepNext w:val="true"/>
      <w:widowControl/>
      <w:jc w:val="both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2"/>
    <w:qFormat/>
    <w:rsid w:val="007b2fc9"/>
    <w:pPr>
      <w:keepNext w:val="true"/>
      <w:widowControl/>
      <w:jc w:val="both"/>
      <w:outlineLvl w:val="1"/>
    </w:pPr>
    <w:rPr>
      <w:szCs w:val="20"/>
    </w:rPr>
  </w:style>
  <w:style w:type="paragraph" w:styleId="Heading3">
    <w:name w:val="Heading 3"/>
    <w:basedOn w:val="Normal"/>
    <w:next w:val="Normal"/>
    <w:link w:val="3"/>
    <w:qFormat/>
    <w:rsid w:val="007b2fc9"/>
    <w:pPr>
      <w:keepNext w:val="true"/>
      <w:widowControl/>
      <w:jc w:val="both"/>
      <w:outlineLvl w:val="2"/>
    </w:pPr>
    <w:rPr>
      <w:szCs w:val="20"/>
    </w:rPr>
  </w:style>
  <w:style w:type="paragraph" w:styleId="Heading4">
    <w:name w:val="Heading 4"/>
    <w:basedOn w:val="Normal"/>
    <w:next w:val="Normal"/>
    <w:link w:val="4"/>
    <w:qFormat/>
    <w:rsid w:val="007b2fc9"/>
    <w:pPr>
      <w:keepNext w:val="true"/>
      <w:widowControl/>
      <w:ind w:firstLine="142"/>
      <w:jc w:val="both"/>
      <w:outlineLvl w:val="3"/>
    </w:pPr>
    <w:rPr>
      <w:sz w:val="2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7b2fc9"/>
    <w:rPr>
      <w:sz w:val="28"/>
    </w:rPr>
  </w:style>
  <w:style w:type="character" w:styleId="2" w:customStyle="1">
    <w:name w:val="Заголовок 2 Знак"/>
    <w:basedOn w:val="DefaultParagraphFont"/>
    <w:qFormat/>
    <w:rsid w:val="007b2fc9"/>
    <w:rPr>
      <w:sz w:val="24"/>
    </w:rPr>
  </w:style>
  <w:style w:type="character" w:styleId="3" w:customStyle="1">
    <w:name w:val="Заголовок 3 Знак"/>
    <w:basedOn w:val="DefaultParagraphFont"/>
    <w:qFormat/>
    <w:rsid w:val="007b2fc9"/>
    <w:rPr>
      <w:sz w:val="24"/>
    </w:rPr>
  </w:style>
  <w:style w:type="character" w:styleId="4" w:customStyle="1">
    <w:name w:val="Заголовок 4 Знак"/>
    <w:basedOn w:val="DefaultParagraphFont"/>
    <w:qFormat/>
    <w:rsid w:val="007b2fc9"/>
    <w:rPr>
      <w:sz w:val="22"/>
    </w:rPr>
  </w:style>
  <w:style w:type="character" w:styleId="Emphasis">
    <w:name w:val="Emphasis"/>
    <w:basedOn w:val="DefaultParagraphFont"/>
    <w:qFormat/>
    <w:rsid w:val="007b2fc9"/>
    <w:rPr>
      <w:i/>
    </w:rPr>
  </w:style>
  <w:style w:type="character" w:styleId="FontStyle43" w:customStyle="1">
    <w:name w:val="Font Style43"/>
    <w:qFormat/>
    <w:rsid w:val="00c242ec"/>
    <w:rPr>
      <w:rFonts w:ascii="Times New Roman" w:hAnsi="Times New Roman" w:cs="Times New Roman"/>
      <w:b/>
      <w:bCs/>
      <w:sz w:val="22"/>
      <w:szCs w:val="22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c242ec"/>
    <w:rPr>
      <w:rFonts w:ascii="Tahoma" w:hAnsi="Tahoma" w:cs="Tahoma"/>
      <w:sz w:val="16"/>
      <w:szCs w:val="16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242ec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0820"/>
    <w:pPr>
      <w:widowControl/>
      <w:ind w:left="72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Application>LibreOffice/7.6.7.2$Linux_X86_64 LibreOffice_project/60$Build-2</Application>
  <AppVersion>15.0000</AppVersion>
  <Pages>1</Pages>
  <Words>249</Words>
  <Characters>1813</Characters>
  <CharactersWithSpaces>2021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2022-01-26T13:14:00Z</dcterms:created>
  <dc:creator>ФССП</dc:creator>
  <dc:description/>
  <dc:language>ru-RU</dc:language>
  <cp:lastModifiedBy/>
  <cp:lastPrinted>2026-08-19T12:42:24Z</cp:lastPrinted>
  <dcterms:modified xsi:type="dcterms:W3CDTF">2026-08-19T12:43:38Z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