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contextualSpacing w:val="true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0" w:line="240" w:lineRule="auto"/>
        <w:ind/>
        <w:contextualSpacing w:val="true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Протокол определения и (или) обоснования НМЦК, НМЦД, ЦК, ЦД, НЦЕ 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 w:after="0" w:line="240" w:lineRule="auto"/>
        <w:ind/>
        <w:contextualSpacing w:val="true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Расчет НМЦК, НМЦД, ЦК, ЦД</w:t>
      </w:r>
      <w:r>
        <w:rPr>
          <w:rFonts w:ascii="Times New Roman" w:hAnsi="Times New Roman" w:cs="Times New Roman"/>
          <w:b/>
          <w:sz w:val="22"/>
          <w:szCs w:val="22"/>
        </w:rPr>
        <w:t xml:space="preserve">, НЦЕ (</w:t>
      </w:r>
      <w:r>
        <w:rPr>
          <w:rFonts w:ascii="Times New Roman" w:hAnsi="Times New Roman" w:cs="Times New Roman"/>
          <w:b/>
          <w:sz w:val="22"/>
          <w:szCs w:val="22"/>
        </w:rPr>
        <w:t xml:space="preserve">нужное</w:t>
      </w:r>
      <w:r>
        <w:rPr>
          <w:rFonts w:ascii="Times New Roman" w:hAnsi="Times New Roman" w:cs="Times New Roman"/>
          <w:b/>
          <w:sz w:val="22"/>
          <w:szCs w:val="22"/>
        </w:rPr>
        <w:t xml:space="preserve"> подчеркнуть) методом сопоставимых рыночных цен (анализа рынка), являющимся приоритетным для определения и обоснования НМЦК, НМЦД,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ЦК</w:t>
      </w:r>
      <w:r>
        <w:rPr>
          <w:rFonts w:ascii="Times New Roman" w:hAnsi="Times New Roman" w:cs="Times New Roman"/>
          <w:b/>
          <w:sz w:val="22"/>
          <w:szCs w:val="22"/>
        </w:rPr>
        <w:t xml:space="preserve">, ЦД, НЦЕ (нужное подчеркнуть)</w:t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Bdr/>
        <w:spacing w:after="0" w:line="240" w:lineRule="auto"/>
        <w:ind/>
        <w:contextualSpacing w:val="true"/>
        <w:jc w:val="center"/>
        <w:outlineLvl w:val="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Объект закупки: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Поставка строительных материалов. </w:t>
      </w:r>
      <w:r>
        <w:rPr>
          <w:rFonts w:ascii="Times New Roman" w:hAnsi="Times New Roman" w:cs="Times New Roman"/>
          <w:b/>
          <w:sz w:val="22"/>
          <w:szCs w:val="22"/>
          <w:u w:val="single"/>
        </w:rPr>
      </w:r>
    </w:p>
    <w:p>
      <w:pPr>
        <w:pBdr/>
        <w:spacing w:after="0" w:line="240" w:lineRule="auto"/>
        <w:ind/>
        <w:contextualSpacing w:val="true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</w:r>
      <w:r>
        <w:rPr>
          <w:rFonts w:ascii="Times New Roman" w:hAnsi="Times New Roman" w:cs="Times New Roman"/>
          <w:b/>
          <w:sz w:val="22"/>
          <w:szCs w:val="22"/>
          <w:u w:val="single"/>
        </w:rPr>
      </w:r>
    </w:p>
    <w:tbl>
      <w:tblPr>
        <w:tblStyle w:val="896"/>
        <w:tblW w:w="5152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5235"/>
      </w:tblGrid>
      <w:tr>
        <w:trPr>
          <w:trHeight w:val="2551"/>
        </w:trPr>
        <w:tc>
          <w:tcPr>
            <w:tcBorders/>
            <w:tcW w:w="5000" w:type="pct"/>
            <w:textDirection w:val="lrTb"/>
            <w:noWrap w:val="false"/>
          </w:tcPr>
          <w:p>
            <w:pPr>
              <w:pStyle w:val="894"/>
              <w:pBdr/>
              <w:spacing/>
              <w:ind w:firstLine="175"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Начальная (максимальная) це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контракта сформирована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инэкономразвития России от 02.10.2013 № 567.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98"/>
              <w:pBdr/>
              <w:spacing/>
              <w:ind w:firstLine="567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Валюта, используемая для формирования цены контракта и расчетов с поставщиком – Российский рубль.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pStyle w:val="898"/>
              <w:pBdr/>
              <w:spacing/>
              <w:ind w:firstLine="56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Порядок применения официального курса иностранной валюты к рублю Российской Федерации, установленного Центральным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банком Российской Федерации и используемого при оплате контракта: не предусмотрен.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894"/>
              <w:pBdr/>
              <w:spacing/>
              <w:ind w:firstLine="567"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целях получения ценовой информации в отношении объекта закупки для определения начальной (максимальной) цены контракта заказчиком: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894"/>
              <w:numPr>
                <w:ilvl w:val="3"/>
                <w:numId w:val="4"/>
              </w:numPr>
              <w:pBdr/>
              <w:spacing/>
              <w:ind w:firstLine="0" w:left="56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Особенности определения начальной максимальной цены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контракта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предусмотренные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пп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в  п. 7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ипальных нужд, закупок товаров, работ, услуг отдельными видами юридических лиц» от 23.12.2024 № 1875  не применяются.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894"/>
              <w:numPr>
                <w:ilvl w:val="3"/>
                <w:numId w:val="4"/>
              </w:numPr>
              <w:pBdr/>
              <w:spacing/>
              <w:ind w:firstLine="0" w:left="567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Осуществлен анализ общедоступной ценовой информации (реклама, каталоги, описания товаров и другие предложения, обращенные к неопределенном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 кругу лиц, данные государственной статистической отчетности о ценах на товары). Поиск ценовой информации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дал результаты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или 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результатов не дал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нужное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подчеркнуть).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pBdr/>
              <w:spacing/>
              <w:ind w:left="567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r>
          </w:p>
          <w:tbl>
            <w:tblPr>
              <w:tblStyle w:val="896"/>
              <w:tblW w:w="14882" w:type="dxa"/>
              <w:tblBorders/>
              <w:tblLayout w:type="fixed"/>
              <w:tblLook w:val="04A0" w:firstRow="1" w:lastRow="0" w:firstColumn="1" w:lastColumn="0" w:noHBand="0" w:noVBand="1"/>
            </w:tblPr>
            <w:tblGrid>
              <w:gridCol w:w="777"/>
              <w:gridCol w:w="3050"/>
              <w:gridCol w:w="4961"/>
              <w:gridCol w:w="6094"/>
            </w:tblGrid>
            <w:tr>
              <w:trPr>
                <w:trHeight w:val="255"/>
              </w:trPr>
              <w:tc>
                <w:tcPr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W w:w="777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№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п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/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п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W w:w="3050" w:type="dxa"/>
                  <w:textDirection w:val="lrTb"/>
                  <w:noWrap w:val="false"/>
                </w:tcPr>
                <w:p>
                  <w:pPr>
                    <w:pBdr/>
                    <w:tabs>
                      <w:tab w:val="center" w:leader="none" w:pos="2656"/>
                      <w:tab w:val="left" w:leader="none" w:pos="4395"/>
                    </w:tabs>
                    <w:spacing/>
                    <w:ind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Ссылка на источник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W w:w="4961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Краткая информация о Поставщике, Подрядчике, Исполнителе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W w:w="6094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Причина использования или невозможности использования ценовой информации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W w:w="777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1.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W w:w="3050" w:type="dxa"/>
                  <w:textDirection w:val="lrTb"/>
                  <w:noWrap w:val="false"/>
                </w:tcPr>
                <w:p>
                  <w:pPr>
                    <w:pBdr/>
                    <w:tabs>
                      <w:tab w:val="left" w:leader="none" w:pos="1046"/>
                    </w:tabs>
                    <w:spacing/>
                    <w:ind/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  <w:lang w:val="en-US"/>
                    </w:rPr>
                    <w:t xml:space="preserve">https://st-dr.ru/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W w:w="4961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Сайт организации осуществляющей поставку товара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W w:w="6094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>
                      <w:rFonts w:ascii="Times New Roman" w:hAnsi="Times New Roman" w:cs="Times New Roman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Условия оплаты  не удовлетворяют требованиям Заказчика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yellow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W w:w="777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2.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W w:w="3050" w:type="dxa"/>
                  <w:textDirection w:val="lrTb"/>
                  <w:noWrap w:val="false"/>
                </w:tcPr>
                <w:p>
                  <w:pPr>
                    <w:pBdr/>
                    <w:tabs>
                      <w:tab w:val="left" w:leader="none" w:pos="1046"/>
                    </w:tabs>
                    <w:spacing/>
                    <w:ind/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  <w:highlight w:val="white"/>
                    </w:rPr>
                    <w:t xml:space="preserve">https://dvergorod.ru</w:t>
                  </w:r>
                  <w:r>
                    <w:rPr>
                      <w:rFonts w:ascii="Times New Roman" w:hAnsi="Times New Roman" w:eastAsia="Times New Roman" w:cs="Times New Roman"/>
                      <w:color w:val="000000" w:themeColor="text1"/>
                      <w:sz w:val="22"/>
                      <w:szCs w:val="22"/>
                      <w:highlight w:val="white"/>
                      <w:lang w:val="en-US"/>
                    </w:rPr>
                    <w:t xml:space="preserve">/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W w:w="4961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Сайт организации осуществляющей поставку товара</w:t>
                  </w: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tcW w:w="6094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Условия оплаты не удовлетворяют требованиям Заказчика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Bdr/>
              <w:spacing/>
              <w:ind w:firstLine="851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pBdr/>
              <w:spacing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3. 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аказчиком направлены запросы о предоставлении ценовой информации 21 (двадцать одному)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Поставщику (Исполнителям, Подрядчикам), обладающим опытом поставки товара (работы, услуги), информация о которых имеется в свободном доступе, и получен ответ от 2 (двух) Поставщиков с ценовой информацией, которые удовлетворяют требованиям заказчика.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Bdr/>
              <w:spacing/>
              <w:ind w:left="568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 основании ценовой информации, полученной от 2 (двух) Поставщиков осуществлен расчет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НМЦК, НМЦД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Ц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ЦД, НЦЕ (нужное подчеркнуть)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tbl>
      <w:tblPr>
        <w:tblStyle w:val="896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580"/>
        <w:gridCol w:w="1859"/>
        <w:gridCol w:w="572"/>
        <w:gridCol w:w="715"/>
        <w:gridCol w:w="1472"/>
        <w:gridCol w:w="1675"/>
        <w:gridCol w:w="1573"/>
        <w:gridCol w:w="1430"/>
        <w:gridCol w:w="1498"/>
        <w:gridCol w:w="1389"/>
        <w:gridCol w:w="994"/>
        <w:gridCol w:w="1269"/>
      </w:tblGrid>
      <w:tr>
        <w:trPr>
          <w:trHeight w:val="67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Наименование товара, работ, услуг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Объем поставки товара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Предложение 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7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Стоимость, руб.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Предложение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Стоимость, руб.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Предложение 3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Стоимость, руб.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ОДН/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br/>
              <w:t xml:space="preserve">НЕОДН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НМЦК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рын.=</w:t>
            </w:r>
            <w:r/>
          </w:p>
        </w:tc>
      </w:tr>
      <w:tr>
        <w:trPr>
          <w:trHeight w:val="44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ед.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изм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кол-во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Цена за ед., руб.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7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Цена за ед., руб.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  <w:t xml:space="preserve">Цена за ед., руб.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6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9" w:type="dxa"/>
            <w:textDirection w:val="lrTb"/>
            <w:noWrap w:val="false"/>
          </w:tcPr>
          <w:p>
            <w:pPr>
              <w:pBdr/>
              <w:spacing/>
              <w:ind w:hanging="142" w:left="142"/>
              <w:jc w:val="left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Подложка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perscript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70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45,00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3 150,00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70,36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4 925,20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ОДН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4 037,60р.</w:t>
            </w:r>
            <w:r/>
          </w:p>
        </w:tc>
      </w:tr>
      <w:tr>
        <w:trPr>
          <w:trHeight w:val="67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9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Покрытие напольное ламинированное (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ламинат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vertAlign w:val="superscript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68,915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1883,48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129 800,02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2 566,24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176 852,43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ОДН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153 326,23р.</w:t>
            </w:r>
            <w:r/>
          </w:p>
        </w:tc>
      </w:tr>
      <w:tr>
        <w:trPr>
          <w:trHeight w:val="26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Плинтус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шт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140,00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3 080,00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190,00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4 180,00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ОДН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3 630,00р.</w:t>
            </w:r>
            <w:r/>
          </w:p>
        </w:tc>
      </w:tr>
      <w:tr>
        <w:trPr>
          <w:trHeight w:val="4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9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Фурнитура для плинтуса. Вид 1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шт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15,00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75,00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25,00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125,00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ОДН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100,00р.</w:t>
            </w:r>
            <w:r/>
          </w:p>
        </w:tc>
      </w:tr>
      <w:tr>
        <w:trPr>
          <w:trHeight w:val="4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Фурнитура для плинтуса. Вид 2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шт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15,00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75,00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25,00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125,00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ОДН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100,00р.</w:t>
            </w:r>
            <w:r/>
          </w:p>
        </w:tc>
      </w:tr>
      <w:tr>
        <w:trPr>
          <w:trHeight w:val="4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Фурнитура для плинтуса. Вид 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шт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510,00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850,00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ОДН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680,00р.</w:t>
            </w:r>
            <w:r/>
          </w:p>
        </w:tc>
      </w:tr>
      <w:tr>
        <w:trPr>
          <w:trHeight w:val="4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Фурнитура для плинтуса. Вид 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720,00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1 200,00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ОДН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960,00р.</w:t>
            </w:r>
            <w:r/>
          </w:p>
        </w:tc>
      </w:tr>
      <w:tr>
        <w:trPr>
          <w:trHeight w:val="52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Фурнитура для плинтуса. Вид 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шт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24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30,00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720,00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50,00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1 200,00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ОДН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960,00р.</w:t>
            </w:r>
            <w:r/>
          </w:p>
        </w:tc>
      </w:tr>
      <w:tr>
        <w:trPr>
          <w:trHeight w:val="27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138 130,02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3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189 457,63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0,00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163 793,83 </w:t>
            </w:r>
            <w:r/>
          </w:p>
        </w:tc>
      </w:tr>
    </w:tbl>
    <w:p>
      <w:pPr>
        <w:pBdr/>
        <w:spacing/>
        <w: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По результатам расчетов за НМЦК, НМЦД,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, ЦД, НЦЕ (нужное подчеркнуть) принято минимальное значение из представленных предложений и составила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  <w:t xml:space="preserve">138 130 руб. 02 коп. </w:t>
      </w:r>
      <w:r>
        <w:rPr>
          <w:rFonts w:ascii="Times New Roman" w:hAnsi="Times New Roman" w:cs="Times New Roman"/>
          <w:b/>
          <w:sz w:val="22"/>
          <w:szCs w:val="22"/>
          <w:highlight w:val="yellow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/>
        <w:ind/>
        <w:contextualSpacing w:val="tru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Реквизиты документов, на основании которых произведен расчет </w:t>
      </w:r>
      <w:r>
        <w:rPr>
          <w:rFonts w:ascii="Times New Roman" w:hAnsi="Times New Roman" w:cs="Times New Roman"/>
          <w:sz w:val="22"/>
          <w:szCs w:val="22"/>
        </w:rPr>
        <w:t xml:space="preserve">НМЦК, НМЦД,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ЦК</w:t>
      </w:r>
      <w:r>
        <w:rPr>
          <w:rFonts w:ascii="Times New Roman" w:hAnsi="Times New Roman" w:cs="Times New Roman"/>
          <w:sz w:val="22"/>
          <w:szCs w:val="22"/>
        </w:rPr>
        <w:t xml:space="preserve">, ЦД, НЦЕ (</w:t>
      </w:r>
      <w:r>
        <w:rPr>
          <w:rFonts w:ascii="Times New Roman" w:hAnsi="Times New Roman" w:cs="Times New Roman"/>
          <w:sz w:val="22"/>
          <w:szCs w:val="22"/>
        </w:rPr>
        <w:t xml:space="preserve">нужное</w:t>
      </w:r>
      <w:r>
        <w:rPr>
          <w:rFonts w:ascii="Times New Roman" w:hAnsi="Times New Roman" w:cs="Times New Roman"/>
          <w:sz w:val="22"/>
          <w:szCs w:val="22"/>
        </w:rPr>
        <w:t xml:space="preserve"> подчеркнуть)</w:t>
      </w:r>
      <w:r>
        <w:rPr>
          <w:rFonts w:ascii="Times New Roman" w:hAnsi="Times New Roman" w:cs="Times New Roman"/>
          <w:sz w:val="22"/>
          <w:szCs w:val="22"/>
          <w:lang w:eastAsia="ru-RU"/>
        </w:rPr>
        <w:t xml:space="preserve">:</w:t>
      </w:r>
      <w:r>
        <w:rPr>
          <w:rFonts w:ascii="Times New Roman" w:hAnsi="Times New Roman" w:cs="Times New Roman"/>
          <w:sz w:val="22"/>
          <w:szCs w:val="22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Предложение 1: счет от 25.06.2026 г. № 2026 </w:t>
      </w:r>
      <w:r>
        <w:rPr>
          <w:rFonts w:ascii="Times New Roman" w:hAnsi="Times New Roman" w:cs="Times New Roman"/>
          <w:sz w:val="22"/>
          <w:szCs w:val="22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Предложение 2: коммерческое предложение от 19.06.2026 </w:t>
      </w:r>
      <w:r>
        <w:rPr>
          <w:rFonts w:ascii="Times New Roman" w:hAnsi="Times New Roman" w:cs="Times New Roman"/>
          <w:sz w:val="22"/>
          <w:szCs w:val="22"/>
          <w:lang w:eastAsia="ru-RU"/>
        </w:rPr>
        <w:t xml:space="preserve">г. б</w:t>
      </w:r>
      <w:r>
        <w:rPr>
          <w:rFonts w:ascii="Times New Roman" w:hAnsi="Times New Roman" w:cs="Times New Roman"/>
          <w:sz w:val="22"/>
          <w:szCs w:val="22"/>
          <w:lang w:eastAsia="ru-RU"/>
        </w:rPr>
        <w:t xml:space="preserve">/</w:t>
      </w:r>
      <w:r>
        <w:rPr>
          <w:rFonts w:ascii="Times New Roman" w:hAnsi="Times New Roman" w:cs="Times New Roman"/>
          <w:sz w:val="22"/>
          <w:szCs w:val="22"/>
          <w:lang w:eastAsia="ru-RU"/>
        </w:rPr>
        <w:t xml:space="preserve">н</w:t>
      </w:r>
      <w:r>
        <w:rPr>
          <w:rFonts w:ascii="Times New Roman" w:hAnsi="Times New Roman" w:cs="Times New Roman"/>
          <w:sz w:val="22"/>
          <w:szCs w:val="22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Предложение 3: </w:t>
      </w:r>
      <w:r>
        <w:rPr>
          <w:rFonts w:ascii="Times New Roman" w:hAnsi="Times New Roman" w:cs="Times New Roman"/>
          <w:sz w:val="22"/>
          <w:szCs w:val="22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</w:r>
      <w:r>
        <w:rPr>
          <w:rFonts w:ascii="Times New Roman" w:hAnsi="Times New Roman" w:cs="Times New Roman"/>
          <w:sz w:val="22"/>
          <w:szCs w:val="22"/>
          <w:lang w:eastAsia="ru-RU"/>
        </w:rPr>
      </w:r>
    </w:p>
    <w:p>
      <w:pPr>
        <w:pBdr/>
        <w:spacing/>
        <w:ind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eastAsia="ru-RU"/>
        </w:rPr>
        <w:t xml:space="preserve">Дата подготовки определения и (или) обоснования: 26 июня 2026г.</w:t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Bdr/>
        <w:spacing/>
        <w:ind/>
        <w:rPr>
          <w:sz w:val="20"/>
          <w:szCs w:val="20"/>
        </w:rPr>
      </w:pPr>
      <w:r/>
      <w:bookmarkStart w:id="0" w:name="_MON_1452692368"/>
      <w:r/>
      <w:bookmarkEnd w:id="0"/>
      <w:r/>
      <w:r>
        <w:rPr>
          <w:sz w:val="20"/>
          <w:szCs w:val="20"/>
        </w:rPr>
      </w:r>
    </w:p>
    <w:sectPr>
      <w:footnotePr/>
      <w:endnotePr/>
      <w:type w:val="nextPage"/>
      <w:pgSz w:h="11906" w:orient="landscape" w:w="16838"/>
      <w:pgMar w:top="284" w:right="1134" w:bottom="426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015D6"/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nsid w:val="49DD5B73"/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nsid w:val="5F3409AD"/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3">
    <w:nsid w:val="756D306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0">
    <w:name w:val="Title Char"/>
    <w:basedOn w:val="709"/>
    <w:link w:val="85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09"/>
    <w:link w:val="85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09"/>
    <w:link w:val="85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09"/>
    <w:link w:val="86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2">
    <w:name w:val="Footnote Text Char"/>
    <w:basedOn w:val="709"/>
    <w:link w:val="875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709"/>
    <w:link w:val="878"/>
    <w:uiPriority w:val="99"/>
    <w:semiHidden/>
    <w:pPr>
      <w:pBdr/>
      <w:spacing/>
      <w:ind/>
    </w:pPr>
    <w:rPr>
      <w:sz w:val="20"/>
      <w:szCs w:val="20"/>
    </w:rPr>
  </w:style>
  <w:style w:type="paragraph" w:styleId="708" w:default="1">
    <w:name w:val="Normal"/>
    <w:qFormat/>
    <w:pPr>
      <w:pBdr/>
      <w:spacing/>
      <w:ind/>
    </w:pPr>
  </w:style>
  <w:style w:type="character" w:styleId="709" w:default="1">
    <w:name w:val="Default Paragraph Font"/>
    <w:uiPriority w:val="1"/>
    <w:semiHidden/>
    <w:unhideWhenUsed/>
    <w:pPr>
      <w:pBdr/>
      <w:spacing/>
      <w:ind/>
    </w:pPr>
  </w:style>
  <w:style w:type="table" w:styleId="71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1" w:default="1">
    <w:name w:val="No List"/>
    <w:uiPriority w:val="99"/>
    <w:semiHidden/>
    <w:unhideWhenUsed/>
    <w:pPr>
      <w:pBdr/>
      <w:spacing/>
      <w:ind/>
    </w:pPr>
  </w:style>
  <w:style w:type="table" w:styleId="712" w:customStyle="1">
    <w:name w:val="Table Grid Light"/>
    <w:basedOn w:val="7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Plain Table 1"/>
    <w:basedOn w:val="7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Plain Table 2"/>
    <w:basedOn w:val="7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Plain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Plain Table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Plain Table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1 Light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1 Light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1 Light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1 Light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1 Light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1 Light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1 Light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2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2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2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2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2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2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3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3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3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3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3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3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4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4 - Accent 1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4 - Accent 2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4 - Accent 3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4 - Accent 4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4 - Accent 5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4 - Accent 6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5 Dark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5 Dark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5 Dark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5 Dark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5 Dark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5 Dark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5 Dark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6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6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6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6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6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6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6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7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7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7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7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7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7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7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1 Light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1 Light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1 Light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1 Light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1 Light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1 Light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1 Light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2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2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2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2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2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3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3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3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3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3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3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4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4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4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4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4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4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5 Dark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5 Dark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5 Dark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5 Dark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5 Dark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5 Dark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5 Dark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6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6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6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6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6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6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6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7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7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7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7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7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7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7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ned - Accent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ned - Accent 1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ned - Accent 2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ned - Accent 3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ned - Accent 4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ned - Accent 5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ned - Accent 6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Bordered &amp; Lined - Accent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Bordered &amp; Lined - Accent 1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&amp; Lined - Accent 2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&amp; Lined - Accent 3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&amp; Lined - Accent 4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&amp; Lined - Accent 5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&amp; Lined - Accent 6"/>
    <w:basedOn w:val="71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 w:customStyle="1">
    <w:name w:val="Heading 1"/>
    <w:basedOn w:val="708"/>
    <w:next w:val="708"/>
    <w:link w:val="84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838" w:customStyle="1">
    <w:name w:val="Heading 2"/>
    <w:basedOn w:val="708"/>
    <w:next w:val="708"/>
    <w:link w:val="84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839" w:customStyle="1">
    <w:name w:val="Heading 3"/>
    <w:basedOn w:val="708"/>
    <w:next w:val="708"/>
    <w:link w:val="84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840" w:customStyle="1">
    <w:name w:val="Heading 4"/>
    <w:basedOn w:val="708"/>
    <w:next w:val="708"/>
    <w:link w:val="84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841" w:customStyle="1">
    <w:name w:val="Heading 5"/>
    <w:basedOn w:val="708"/>
    <w:next w:val="708"/>
    <w:link w:val="85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842" w:customStyle="1">
    <w:name w:val="Heading 6"/>
    <w:basedOn w:val="708"/>
    <w:next w:val="708"/>
    <w:link w:val="85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3" w:customStyle="1">
    <w:name w:val="Heading 7"/>
    <w:basedOn w:val="708"/>
    <w:next w:val="708"/>
    <w:link w:val="85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4" w:customStyle="1">
    <w:name w:val="Heading 8"/>
    <w:basedOn w:val="708"/>
    <w:next w:val="708"/>
    <w:link w:val="85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5" w:customStyle="1">
    <w:name w:val="Heading 9"/>
    <w:basedOn w:val="708"/>
    <w:next w:val="708"/>
    <w:link w:val="85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6" w:customStyle="1">
    <w:name w:val="Heading 1 Char"/>
    <w:basedOn w:val="709"/>
    <w:link w:val="83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47" w:customStyle="1">
    <w:name w:val="Heading 2 Char"/>
    <w:basedOn w:val="709"/>
    <w:link w:val="83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48" w:customStyle="1">
    <w:name w:val="Heading 3 Char"/>
    <w:basedOn w:val="709"/>
    <w:link w:val="83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49" w:customStyle="1">
    <w:name w:val="Heading 4 Char"/>
    <w:basedOn w:val="709"/>
    <w:link w:val="840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50" w:customStyle="1">
    <w:name w:val="Heading 5 Char"/>
    <w:basedOn w:val="709"/>
    <w:link w:val="84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51" w:customStyle="1">
    <w:name w:val="Heading 6 Char"/>
    <w:basedOn w:val="709"/>
    <w:link w:val="84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2" w:customStyle="1">
    <w:name w:val="Heading 7 Char"/>
    <w:basedOn w:val="709"/>
    <w:link w:val="84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3" w:customStyle="1">
    <w:name w:val="Heading 8 Char"/>
    <w:basedOn w:val="709"/>
    <w:link w:val="8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4" w:customStyle="1">
    <w:name w:val="Heading 9 Char"/>
    <w:basedOn w:val="709"/>
    <w:link w:val="8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5">
    <w:name w:val="Title"/>
    <w:basedOn w:val="708"/>
    <w:next w:val="708"/>
    <w:link w:val="85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6" w:customStyle="1">
    <w:name w:val="Название Знак"/>
    <w:basedOn w:val="709"/>
    <w:link w:val="85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7">
    <w:name w:val="Subtitle"/>
    <w:basedOn w:val="708"/>
    <w:next w:val="708"/>
    <w:link w:val="85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8" w:customStyle="1">
    <w:name w:val="Подзаголовок Знак"/>
    <w:basedOn w:val="709"/>
    <w:link w:val="85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9">
    <w:name w:val="Quote"/>
    <w:basedOn w:val="708"/>
    <w:next w:val="708"/>
    <w:link w:val="86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0" w:customStyle="1">
    <w:name w:val="Цитата 2 Знак"/>
    <w:basedOn w:val="709"/>
    <w:link w:val="85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Intense Emphasis"/>
    <w:basedOn w:val="709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62">
    <w:name w:val="Intense Quote"/>
    <w:basedOn w:val="708"/>
    <w:next w:val="708"/>
    <w:link w:val="863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63" w:customStyle="1">
    <w:name w:val="Выделенная цитата Знак"/>
    <w:basedOn w:val="709"/>
    <w:link w:val="862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64">
    <w:name w:val="Intense Reference"/>
    <w:basedOn w:val="709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65">
    <w:name w:val="Subtle Emphasis"/>
    <w:basedOn w:val="70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6">
    <w:name w:val="Emphasis"/>
    <w:basedOn w:val="709"/>
    <w:uiPriority w:val="20"/>
    <w:qFormat/>
    <w:pPr>
      <w:pBdr/>
      <w:spacing/>
      <w:ind/>
    </w:pPr>
    <w:rPr>
      <w:i/>
      <w:iCs/>
    </w:rPr>
  </w:style>
  <w:style w:type="character" w:styleId="867">
    <w:name w:val="Strong"/>
    <w:basedOn w:val="709"/>
    <w:uiPriority w:val="22"/>
    <w:qFormat/>
    <w:pPr>
      <w:pBdr/>
      <w:spacing/>
      <w:ind/>
    </w:pPr>
    <w:rPr>
      <w:b/>
      <w:bCs/>
    </w:rPr>
  </w:style>
  <w:style w:type="character" w:styleId="868">
    <w:name w:val="Subtle Reference"/>
    <w:basedOn w:val="70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9">
    <w:name w:val="Book Title"/>
    <w:basedOn w:val="70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0" w:customStyle="1">
    <w:name w:val="Header"/>
    <w:basedOn w:val="708"/>
    <w:link w:val="87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1" w:customStyle="1">
    <w:name w:val="Header Char"/>
    <w:basedOn w:val="709"/>
    <w:link w:val="870"/>
    <w:uiPriority w:val="99"/>
    <w:pPr>
      <w:pBdr/>
      <w:spacing/>
      <w:ind/>
    </w:pPr>
  </w:style>
  <w:style w:type="paragraph" w:styleId="872" w:customStyle="1">
    <w:name w:val="Footer"/>
    <w:basedOn w:val="708"/>
    <w:link w:val="87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3" w:customStyle="1">
    <w:name w:val="Footer Char"/>
    <w:basedOn w:val="709"/>
    <w:link w:val="872"/>
    <w:uiPriority w:val="99"/>
    <w:pPr>
      <w:pBdr/>
      <w:spacing/>
      <w:ind/>
    </w:pPr>
  </w:style>
  <w:style w:type="paragraph" w:styleId="874" w:customStyle="1">
    <w:name w:val="Caption"/>
    <w:basedOn w:val="708"/>
    <w:next w:val="708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875">
    <w:name w:val="footnote text"/>
    <w:basedOn w:val="708"/>
    <w:link w:val="87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6" w:customStyle="1">
    <w:name w:val="Текст сноски Знак"/>
    <w:basedOn w:val="709"/>
    <w:link w:val="875"/>
    <w:uiPriority w:val="99"/>
    <w:semiHidden/>
    <w:pPr>
      <w:pBdr/>
      <w:spacing/>
      <w:ind/>
    </w:pPr>
    <w:rPr>
      <w:sz w:val="20"/>
      <w:szCs w:val="20"/>
    </w:rPr>
  </w:style>
  <w:style w:type="character" w:styleId="877">
    <w:name w:val="footnote reference"/>
    <w:basedOn w:val="709"/>
    <w:uiPriority w:val="99"/>
    <w:semiHidden/>
    <w:unhideWhenUsed/>
    <w:pPr>
      <w:pBdr/>
      <w:spacing/>
      <w:ind/>
    </w:pPr>
    <w:rPr>
      <w:vertAlign w:val="superscript"/>
    </w:rPr>
  </w:style>
  <w:style w:type="paragraph" w:styleId="878">
    <w:name w:val="endnote text"/>
    <w:basedOn w:val="708"/>
    <w:link w:val="87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9" w:customStyle="1">
    <w:name w:val="Текст концевой сноски Знак"/>
    <w:basedOn w:val="709"/>
    <w:link w:val="878"/>
    <w:uiPriority w:val="99"/>
    <w:semiHidden/>
    <w:pPr>
      <w:pBdr/>
      <w:spacing/>
      <w:ind/>
    </w:pPr>
    <w:rPr>
      <w:sz w:val="20"/>
      <w:szCs w:val="20"/>
    </w:rPr>
  </w:style>
  <w:style w:type="character" w:styleId="880">
    <w:name w:val="endnote reference"/>
    <w:basedOn w:val="709"/>
    <w:uiPriority w:val="99"/>
    <w:semiHidden/>
    <w:unhideWhenUsed/>
    <w:pPr>
      <w:pBdr/>
      <w:spacing/>
      <w:ind/>
    </w:pPr>
    <w:rPr>
      <w:vertAlign w:val="superscript"/>
    </w:rPr>
  </w:style>
  <w:style w:type="character" w:styleId="881">
    <w:name w:val="FollowedHyperlink"/>
    <w:basedOn w:val="709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82">
    <w:name w:val="toc 1"/>
    <w:basedOn w:val="708"/>
    <w:next w:val="708"/>
    <w:uiPriority w:val="39"/>
    <w:unhideWhenUsed/>
    <w:pPr>
      <w:pBdr/>
      <w:spacing w:after="100"/>
      <w:ind/>
    </w:pPr>
  </w:style>
  <w:style w:type="paragraph" w:styleId="883">
    <w:name w:val="toc 2"/>
    <w:basedOn w:val="708"/>
    <w:next w:val="708"/>
    <w:uiPriority w:val="39"/>
    <w:unhideWhenUsed/>
    <w:pPr>
      <w:pBdr/>
      <w:spacing w:after="100"/>
      <w:ind w:left="220"/>
    </w:pPr>
  </w:style>
  <w:style w:type="paragraph" w:styleId="884">
    <w:name w:val="toc 3"/>
    <w:basedOn w:val="708"/>
    <w:next w:val="708"/>
    <w:uiPriority w:val="39"/>
    <w:unhideWhenUsed/>
    <w:pPr>
      <w:pBdr/>
      <w:spacing w:after="100"/>
      <w:ind w:left="440"/>
    </w:pPr>
  </w:style>
  <w:style w:type="paragraph" w:styleId="885">
    <w:name w:val="toc 4"/>
    <w:basedOn w:val="708"/>
    <w:next w:val="708"/>
    <w:uiPriority w:val="39"/>
    <w:unhideWhenUsed/>
    <w:pPr>
      <w:pBdr/>
      <w:spacing w:after="100"/>
      <w:ind w:left="660"/>
    </w:pPr>
  </w:style>
  <w:style w:type="paragraph" w:styleId="886">
    <w:name w:val="toc 5"/>
    <w:basedOn w:val="708"/>
    <w:next w:val="708"/>
    <w:uiPriority w:val="39"/>
    <w:unhideWhenUsed/>
    <w:pPr>
      <w:pBdr/>
      <w:spacing w:after="100"/>
      <w:ind w:left="880"/>
    </w:pPr>
  </w:style>
  <w:style w:type="paragraph" w:styleId="887">
    <w:name w:val="toc 6"/>
    <w:basedOn w:val="708"/>
    <w:next w:val="708"/>
    <w:uiPriority w:val="39"/>
    <w:unhideWhenUsed/>
    <w:pPr>
      <w:pBdr/>
      <w:spacing w:after="100"/>
      <w:ind w:left="1100"/>
    </w:pPr>
  </w:style>
  <w:style w:type="paragraph" w:styleId="888">
    <w:name w:val="toc 7"/>
    <w:basedOn w:val="708"/>
    <w:next w:val="708"/>
    <w:uiPriority w:val="39"/>
    <w:unhideWhenUsed/>
    <w:pPr>
      <w:pBdr/>
      <w:spacing w:after="100"/>
      <w:ind w:left="1320"/>
    </w:pPr>
  </w:style>
  <w:style w:type="paragraph" w:styleId="889">
    <w:name w:val="toc 8"/>
    <w:basedOn w:val="708"/>
    <w:next w:val="708"/>
    <w:uiPriority w:val="39"/>
    <w:unhideWhenUsed/>
    <w:pPr>
      <w:pBdr/>
      <w:spacing w:after="100"/>
      <w:ind w:left="1540"/>
    </w:pPr>
  </w:style>
  <w:style w:type="paragraph" w:styleId="890">
    <w:name w:val="toc 9"/>
    <w:basedOn w:val="708"/>
    <w:next w:val="708"/>
    <w:uiPriority w:val="39"/>
    <w:unhideWhenUsed/>
    <w:pPr>
      <w:pBdr/>
      <w:spacing w:after="100"/>
      <w:ind w:left="1760"/>
    </w:pPr>
  </w:style>
  <w:style w:type="character" w:styleId="891">
    <w:name w:val="Placeholder Text"/>
    <w:basedOn w:val="709"/>
    <w:uiPriority w:val="99"/>
    <w:semiHidden/>
    <w:pPr>
      <w:pBdr/>
      <w:spacing/>
      <w:ind/>
    </w:pPr>
    <w:rPr>
      <w:color w:val="666666"/>
    </w:rPr>
  </w:style>
  <w:style w:type="paragraph" w:styleId="892">
    <w:name w:val="TOC Heading"/>
    <w:uiPriority w:val="39"/>
    <w:unhideWhenUsed/>
    <w:pPr>
      <w:pBdr/>
      <w:spacing/>
      <w:ind/>
    </w:pPr>
  </w:style>
  <w:style w:type="paragraph" w:styleId="893">
    <w:name w:val="table of figures"/>
    <w:basedOn w:val="708"/>
    <w:next w:val="708"/>
    <w:uiPriority w:val="99"/>
    <w:unhideWhenUsed/>
    <w:pPr>
      <w:pBdr/>
      <w:spacing w:after="0"/>
      <w:ind/>
    </w:pPr>
  </w:style>
  <w:style w:type="paragraph" w:styleId="894">
    <w:name w:val="List Paragraph"/>
    <w:basedOn w:val="708"/>
    <w:link w:val="897"/>
    <w:uiPriority w:val="34"/>
    <w:qFormat/>
    <w:pPr>
      <w:pBdr/>
      <w:spacing/>
      <w:ind w:left="720"/>
      <w:contextualSpacing w:val="true"/>
    </w:pPr>
  </w:style>
  <w:style w:type="character" w:styleId="895">
    <w:name w:val="Hyperlink"/>
    <w:basedOn w:val="709"/>
    <w:uiPriority w:val="99"/>
    <w:unhideWhenUsed/>
    <w:pPr>
      <w:pBdr/>
      <w:spacing/>
      <w:ind/>
    </w:pPr>
    <w:rPr>
      <w:color w:val="0000ff" w:themeColor="hyperlink"/>
      <w:u w:val="single"/>
    </w:rPr>
  </w:style>
  <w:style w:type="table" w:styleId="896">
    <w:name w:val="Table Grid"/>
    <w:basedOn w:val="7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7" w:customStyle="1">
    <w:name w:val="Абзац списка Знак"/>
    <w:link w:val="894"/>
    <w:uiPriority w:val="34"/>
    <w:qFormat/>
    <w:pPr>
      <w:pBdr/>
      <w:spacing/>
      <w:ind/>
    </w:pPr>
  </w:style>
  <w:style w:type="paragraph" w:styleId="898">
    <w:name w:val="No Spacing"/>
    <w:link w:val="899"/>
    <w:uiPriority w:val="1"/>
    <w:qFormat/>
    <w:pPr>
      <w:pBdr/>
      <w:spacing w:after="0" w:line="240" w:lineRule="auto"/>
      <w:ind/>
    </w:pPr>
    <w:rPr>
      <w:rFonts w:ascii="Calibri" w:hAnsi="Calibri" w:eastAsia="Calibri" w:cs="Times New Roman"/>
    </w:rPr>
  </w:style>
  <w:style w:type="character" w:styleId="899" w:customStyle="1">
    <w:name w:val="Без интервала Знак"/>
    <w:link w:val="898"/>
    <w:uiPriority w:val="1"/>
    <w:pPr>
      <w:pBdr/>
      <w:spacing/>
      <w:ind/>
    </w:pPr>
    <w:rPr>
      <w:rFonts w:ascii="Calibri" w:hAnsi="Calibri" w:eastAsia="Calibri" w:cs="Times New Roman"/>
    </w:rPr>
  </w:style>
  <w:style w:type="paragraph" w:styleId="900">
    <w:name w:val="Document Map"/>
    <w:basedOn w:val="708"/>
    <w:link w:val="901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01" w:customStyle="1">
    <w:name w:val="Схема документа Знак"/>
    <w:basedOn w:val="709"/>
    <w:link w:val="90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244-01</dc:creator>
  <cp:revision>23</cp:revision>
  <dcterms:created xsi:type="dcterms:W3CDTF">2025-12-03T23:43:00Z</dcterms:created>
  <dcterms:modified xsi:type="dcterms:W3CDTF">2026-07-02T09:23:22Z</dcterms:modified>
</cp:coreProperties>
</file>