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0" w:hanging="0"/>
        <w:jc w:val="center"/>
        <w:outlineLvl w:val="0"/>
        <w:rPr>
          <w:sz w:val="22"/>
          <w:szCs w:val="22"/>
        </w:rPr>
      </w:pPr>
      <w:r>
        <w:rPr>
          <w:rFonts w:cs="Times New Roman"/>
          <w:b/>
          <w:bCs/>
          <w:sz w:val="22"/>
          <w:szCs w:val="22"/>
        </w:rPr>
        <w:t xml:space="preserve">ДОГОВОР ПОСТАВКИ № </w:t>
      </w:r>
      <w:r>
        <w:rPr>
          <w:rFonts w:cs="Times New Roman"/>
          <w:b/>
          <w:bCs/>
          <w:sz w:val="22"/>
          <w:szCs w:val="22"/>
          <w:lang w:val="ru-RU"/>
        </w:rPr>
        <w:t>1</w:t>
      </w:r>
      <w:r>
        <w:rPr>
          <w:rFonts w:cs="Times New Roman"/>
          <w:b/>
          <w:bCs/>
          <w:sz w:val="22"/>
          <w:szCs w:val="22"/>
          <w:lang w:val="ru-RU"/>
        </w:rPr>
        <w:t>80</w:t>
      </w:r>
      <w:r>
        <w:rPr>
          <w:rFonts w:cs="Times New Roman"/>
          <w:b/>
          <w:bCs/>
          <w:sz w:val="22"/>
          <w:szCs w:val="22"/>
        </w:rPr>
        <w:t>-</w:t>
      </w:r>
      <w:r>
        <w:rPr>
          <w:rFonts w:cs="Times New Roman"/>
          <w:b/>
          <w:bCs/>
          <w:sz w:val="22"/>
          <w:szCs w:val="22"/>
          <w:lang w:val="ru-RU"/>
        </w:rPr>
        <w:t>26-МЗ</w:t>
      </w:r>
    </w:p>
    <w:p>
      <w:pPr>
        <w:pStyle w:val="Normal"/>
        <w:jc w:val="right"/>
        <w:rPr>
          <w:sz w:val="22"/>
          <w:szCs w:val="22"/>
        </w:rPr>
      </w:pPr>
      <w:r>
        <w:rPr>
          <w:sz w:val="22"/>
          <w:szCs w:val="22"/>
        </w:rPr>
      </w:r>
    </w:p>
    <w:p>
      <w:pPr>
        <w:pStyle w:val="Normal"/>
        <w:jc w:val="right"/>
        <w:rPr>
          <w:sz w:val="22"/>
          <w:szCs w:val="22"/>
        </w:rPr>
      </w:pPr>
      <w:r>
        <w:rPr>
          <w:rFonts w:cs="Times New Roman"/>
          <w:sz w:val="22"/>
          <w:szCs w:val="22"/>
          <w:lang w:val="ru-RU"/>
        </w:rPr>
        <w:t>____________</w:t>
      </w:r>
      <w:r>
        <w:rPr>
          <w:rFonts w:cs="Times New Roman"/>
          <w:sz w:val="22"/>
          <w:szCs w:val="22"/>
        </w:rPr>
        <w:t>202</w:t>
      </w:r>
      <w:r>
        <w:rPr>
          <w:rFonts w:cs="Times New Roman"/>
          <w:sz w:val="22"/>
          <w:szCs w:val="22"/>
          <w:lang w:val="ru-RU"/>
        </w:rPr>
        <w:t>6</w:t>
      </w:r>
      <w:r>
        <w:rPr>
          <w:rFonts w:cs="Times New Roman"/>
          <w:sz w:val="22"/>
          <w:szCs w:val="22"/>
        </w:rPr>
        <w:t xml:space="preserve"> г.</w:t>
      </w:r>
    </w:p>
    <w:p>
      <w:pPr>
        <w:pStyle w:val="Normal"/>
        <w:jc w:val="right"/>
        <w:rPr>
          <w:sz w:val="22"/>
          <w:szCs w:val="22"/>
        </w:rPr>
      </w:pPr>
      <w:r>
        <w:rPr>
          <w:sz w:val="22"/>
          <w:szCs w:val="22"/>
        </w:rPr>
      </w:r>
    </w:p>
    <w:p>
      <w:pPr>
        <w:pStyle w:val="Normal"/>
        <w:ind w:firstLine="708"/>
        <w:jc w:val="both"/>
        <w:rPr/>
      </w:pPr>
      <w:r>
        <w:rPr>
          <w:rFonts w:cs="Times New Roman"/>
          <w:b/>
          <w:sz w:val="24"/>
          <w:szCs w:val="24"/>
        </w:rPr>
        <w:t xml:space="preserve">       </w:t>
      </w:r>
      <w:r>
        <w:rPr>
          <w:rFonts w:eastAsia="Arial Unicode MS" w:cs="Times New Roman"/>
          <w:b w:val="false"/>
          <w:bCs w:val="false"/>
          <w:sz w:val="24"/>
          <w:szCs w:val="24"/>
          <w:lang w:val="ru-RU" w:eastAsia="ru-RU" w:bidi="ar-SA"/>
        </w:rPr>
        <w:t xml:space="preserve">, </w:t>
      </w:r>
      <w:r>
        <w:rPr>
          <w:rFonts w:eastAsia="Arial Unicode MS" w:cs="Times New Roman"/>
          <w:b w:val="false"/>
          <w:bCs w:val="false"/>
          <w:sz w:val="22"/>
          <w:szCs w:val="22"/>
          <w:lang w:val="ru-RU" w:eastAsia="ru-RU" w:bidi="ar-SA"/>
        </w:rPr>
        <w:t xml:space="preserve">именуемое в дальнейшем «Поставщик», в лице                , </w:t>
      </w:r>
      <w:r>
        <w:rPr>
          <w:rFonts w:eastAsia="Arial Unicode MS" w:cs="Times New Roman"/>
          <w:b w:val="false"/>
          <w:bCs w:val="false"/>
          <w:color w:val="000000"/>
          <w:sz w:val="22"/>
          <w:szCs w:val="22"/>
          <w:lang w:val="ru-RU" w:eastAsia="ru-RU" w:bidi="ar-SA"/>
        </w:rPr>
        <w:t>действующего на основании           , с одной стороны</w:t>
      </w:r>
      <w:r>
        <w:rPr>
          <w:rFonts w:eastAsia="Arial Unicode MS" w:cs="Times New Roman"/>
          <w:b w:val="false"/>
          <w:bCs w:val="false"/>
          <w:sz w:val="24"/>
          <w:szCs w:val="24"/>
          <w:lang w:val="ru-RU" w:eastAsia="ru-RU" w:bidi="ar-SA"/>
        </w:rPr>
        <w:t xml:space="preserve"> , </w:t>
      </w:r>
      <w:r>
        <w:rPr>
          <w:sz w:val="22"/>
          <w:szCs w:val="22"/>
        </w:rPr>
        <w:t xml:space="preserve">и </w:t>
      </w:r>
      <w:r>
        <w:rPr>
          <w:b/>
          <w:sz w:val="22"/>
          <w:szCs w:val="22"/>
        </w:rPr>
        <w:t>Федеральное государственное бюджетное учреждение здравоохранения «Клиническая больница № 8 Федерального медико-биологического агентства»</w:t>
      </w:r>
      <w:r>
        <w:rPr>
          <w:sz w:val="22"/>
          <w:szCs w:val="22"/>
        </w:rPr>
        <w:t xml:space="preserve"> (</w:t>
      </w:r>
      <w:r>
        <w:rPr>
          <w:b/>
          <w:bCs/>
          <w:sz w:val="22"/>
          <w:szCs w:val="22"/>
        </w:rPr>
        <w:t>ФГБУЗ КБ № 8 ФМБА России</w:t>
      </w:r>
      <w:r>
        <w:rPr>
          <w:sz w:val="22"/>
          <w:szCs w:val="22"/>
        </w:rPr>
        <w:t xml:space="preserve">), именуемое в дальнейшем «Покупатель», в лице </w:t>
      </w:r>
      <w:r>
        <w:rPr>
          <w:rFonts w:eastAsia="Arial Unicode MS" w:cs="Times New Roman"/>
          <w:color w:val="000000"/>
          <w:sz w:val="22"/>
          <w:szCs w:val="22"/>
          <w:lang w:val="ru-RU" w:eastAsia="zh-CN" w:bidi="ar-SA"/>
        </w:rPr>
        <w:t>главного врача С.М.Курдяева</w:t>
      </w:r>
      <w:r>
        <w:rPr>
          <w:rFonts w:eastAsia="Arial Unicode MS" w:cs="Times New Roman"/>
          <w:color w:val="000000"/>
          <w:sz w:val="22"/>
          <w:szCs w:val="22"/>
          <w:lang w:val="ru-RU"/>
        </w:rPr>
        <w:t xml:space="preserve">, действующего на основании  Устава и Приказа № 304л от 27 </w:t>
      </w:r>
      <w:r>
        <w:rPr>
          <w:rFonts w:eastAsia="Arial Unicode MS" w:cs="Times New Roman"/>
          <w:color w:val="000000"/>
          <w:sz w:val="22"/>
          <w:szCs w:val="22"/>
          <w:lang w:val="ru-RU" w:eastAsia="zh-CN" w:bidi="ar-SA"/>
        </w:rPr>
        <w:t>мая</w:t>
      </w:r>
      <w:r>
        <w:rPr>
          <w:rFonts w:eastAsia="Arial Unicode MS" w:cs="Times New Roman"/>
          <w:color w:val="000000"/>
          <w:sz w:val="22"/>
          <w:szCs w:val="22"/>
          <w:lang w:val="ru-RU"/>
        </w:rPr>
        <w:t xml:space="preserve"> 2025 года</w:t>
      </w:r>
      <w:r>
        <w:rPr>
          <w:sz w:val="22"/>
          <w:szCs w:val="22"/>
        </w:rPr>
        <w:t xml:space="preserve">, с другой стороны, вместе именуемые Стороны, на основании </w:t>
      </w:r>
      <w:r>
        <w:rPr>
          <w:rFonts w:eastAsia="Times New Roman CYR" w:cs="Times New Roman CYR" w:ascii="Times New Roman CYR" w:hAnsi="Times New Roman CYR"/>
          <w:color w:val="000000"/>
          <w:sz w:val="22"/>
          <w:szCs w:val="22"/>
        </w:rPr>
        <w:t xml:space="preserve"> п. 4 части 1 ст. 93</w:t>
      </w:r>
      <w:r>
        <w:rPr>
          <w:sz w:val="22"/>
          <w:szCs w:val="22"/>
        </w:rPr>
        <w:t xml:space="preserve"> Федерального </w:t>
      </w:r>
      <w:hyperlink r:id="rId2">
        <w:r>
          <w:rPr>
            <w:color w:val="111111"/>
            <w:sz w:val="22"/>
            <w:szCs w:val="22"/>
          </w:rPr>
          <w:t>закона</w:t>
        </w:r>
      </w:hyperlink>
      <w:r>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Договор) о нижеследующем:</w:t>
      </w:r>
    </w:p>
    <w:p>
      <w:pPr>
        <w:pStyle w:val="Normal"/>
        <w:ind w:firstLine="708"/>
        <w:jc w:val="both"/>
        <w:rPr>
          <w:sz w:val="22"/>
          <w:szCs w:val="22"/>
        </w:rPr>
      </w:pPr>
      <w:r>
        <w:rPr>
          <w:sz w:val="22"/>
          <w:szCs w:val="22"/>
        </w:rPr>
      </w:r>
    </w:p>
    <w:p>
      <w:pPr>
        <w:pStyle w:val="Normal"/>
        <w:ind w:left="708" w:hanging="0"/>
        <w:jc w:val="center"/>
        <w:rPr>
          <w:sz w:val="22"/>
          <w:szCs w:val="22"/>
        </w:rPr>
      </w:pPr>
      <w:r>
        <w:rPr>
          <w:b/>
          <w:sz w:val="22"/>
          <w:szCs w:val="22"/>
        </w:rPr>
        <w:t>1. Предмет договора</w:t>
      </w:r>
    </w:p>
    <w:p>
      <w:pPr>
        <w:pStyle w:val="Normal"/>
        <w:jc w:val="both"/>
        <w:rPr>
          <w:sz w:val="22"/>
          <w:szCs w:val="22"/>
        </w:rPr>
      </w:pPr>
      <w:r>
        <w:rPr>
          <w:sz w:val="22"/>
          <w:szCs w:val="22"/>
        </w:rPr>
        <w:t xml:space="preserve">1.1. В соответствии с настоящим Договором Поставщик обязуется поставить Покупателю </w:t>
      </w:r>
      <w:r>
        <w:rPr>
          <w:sz w:val="22"/>
          <w:szCs w:val="22"/>
          <w:lang w:val="ru-RU"/>
        </w:rPr>
        <w:t xml:space="preserve">товар — </w:t>
      </w:r>
      <w:r>
        <w:rPr>
          <w:rFonts w:eastAsia="Times New Roman" w:cs="Times New Roman"/>
          <w:b/>
          <w:bCs/>
          <w:iCs/>
          <w:sz w:val="22"/>
          <w:szCs w:val="22"/>
          <w:lang w:val="ru-RU" w:eastAsia="ru-RU"/>
        </w:rPr>
        <w:t xml:space="preserve"> </w:t>
      </w:r>
      <w:r>
        <w:rPr>
          <w:rFonts w:eastAsia="Times New Roman" w:cs="Times New Roman"/>
          <w:b/>
          <w:bCs/>
          <w:i w:val="false"/>
          <w:iCs/>
          <w:strike w:val="false"/>
          <w:dstrike w:val="false"/>
          <w:outline w:val="false"/>
          <w:shadow w:val="false"/>
          <w:sz w:val="24"/>
          <w:szCs w:val="24"/>
          <w:u w:val="none"/>
          <w:em w:val="none"/>
          <w:lang w:val="ru-RU" w:eastAsia="ru-RU"/>
        </w:rPr>
        <w:t>запчасти к медицинскому оборудованию</w:t>
      </w:r>
      <w:r>
        <w:rPr>
          <w:sz w:val="22"/>
          <w:szCs w:val="22"/>
        </w:rPr>
        <w:t>, а Покупатель принять и оплатить его в сроки, установленные настоящим Договором.</w:t>
      </w:r>
    </w:p>
    <w:p>
      <w:pPr>
        <w:pStyle w:val="Normal"/>
        <w:jc w:val="both"/>
        <w:rPr>
          <w:sz w:val="22"/>
          <w:szCs w:val="22"/>
        </w:rPr>
      </w:pPr>
      <w:r>
        <w:rPr>
          <w:sz w:val="22"/>
          <w:szCs w:val="22"/>
        </w:rPr>
        <w:t>1.2. Наименование, ассортимент, количество, цена товара согласованы Сторонами и определены в Спецификации (Приложении № 1), которые являются неотъемлемой частью Договора.</w:t>
      </w:r>
    </w:p>
    <w:p>
      <w:pPr>
        <w:pStyle w:val="Normal"/>
        <w:jc w:val="center"/>
        <w:rPr>
          <w:b/>
          <w:b/>
        </w:rPr>
      </w:pPr>
      <w:r>
        <w:rPr>
          <w:b/>
        </w:rPr>
      </w:r>
    </w:p>
    <w:p>
      <w:pPr>
        <w:pStyle w:val="Normal"/>
        <w:jc w:val="center"/>
        <w:rPr>
          <w:sz w:val="22"/>
          <w:szCs w:val="22"/>
        </w:rPr>
      </w:pPr>
      <w:r>
        <w:rPr>
          <w:b/>
          <w:sz w:val="22"/>
          <w:szCs w:val="22"/>
        </w:rPr>
        <w:t>2. Срок действия договора</w:t>
      </w:r>
    </w:p>
    <w:p>
      <w:pPr>
        <w:pStyle w:val="Normal"/>
        <w:jc w:val="both"/>
        <w:rPr>
          <w:sz w:val="22"/>
          <w:szCs w:val="22"/>
        </w:rPr>
      </w:pPr>
      <w:r>
        <w:rPr>
          <w:sz w:val="22"/>
          <w:szCs w:val="22"/>
        </w:rPr>
        <w:t xml:space="preserve">2.1. Настоящий Договор считается заключенным с </w:t>
      </w:r>
      <w:r>
        <w:rPr>
          <w:sz w:val="22"/>
          <w:szCs w:val="22"/>
          <w:lang w:val="ru-RU"/>
        </w:rPr>
        <w:t>даты</w:t>
      </w:r>
      <w:r>
        <w:rPr>
          <w:sz w:val="22"/>
          <w:szCs w:val="22"/>
        </w:rPr>
        <w:t xml:space="preserve"> его подписания Сторонами </w:t>
      </w:r>
      <w:r>
        <w:rPr>
          <w:sz w:val="22"/>
          <w:szCs w:val="22"/>
          <w:lang w:val="ru-RU"/>
        </w:rPr>
        <w:t xml:space="preserve">на ЕАТ Березка </w:t>
      </w:r>
      <w:r>
        <w:rPr>
          <w:sz w:val="22"/>
          <w:szCs w:val="22"/>
        </w:rPr>
        <w:t>и действует до 31.</w:t>
      </w:r>
      <w:r>
        <w:rPr>
          <w:sz w:val="22"/>
          <w:szCs w:val="22"/>
          <w:lang w:val="ru-RU"/>
        </w:rPr>
        <w:t>12</w:t>
      </w:r>
      <w:r>
        <w:rPr>
          <w:sz w:val="22"/>
          <w:szCs w:val="22"/>
        </w:rPr>
        <w:t>.</w:t>
      </w:r>
      <w:r>
        <w:rPr>
          <w:sz w:val="22"/>
          <w:szCs w:val="22"/>
          <w:lang w:val="ru-RU"/>
        </w:rPr>
        <w:t>2026г</w:t>
      </w:r>
      <w:r>
        <w:rPr>
          <w:sz w:val="22"/>
          <w:szCs w:val="22"/>
        </w:rPr>
        <w:t>.</w:t>
      </w:r>
    </w:p>
    <w:p>
      <w:pPr>
        <w:pStyle w:val="Normal"/>
        <w:jc w:val="both"/>
        <w:rPr>
          <w:sz w:val="22"/>
          <w:szCs w:val="22"/>
        </w:rPr>
      </w:pPr>
      <w:r>
        <w:rPr>
          <w:sz w:val="22"/>
          <w:szCs w:val="22"/>
        </w:rPr>
        <w:t xml:space="preserve">2.2. В части финансовых взаиморасчетов </w:t>
      </w:r>
      <w:r>
        <w:rPr>
          <w:sz w:val="22"/>
          <w:szCs w:val="22"/>
          <w:lang w:val="ru-RU"/>
        </w:rPr>
        <w:t>договор действует</w:t>
      </w:r>
      <w:r>
        <w:rPr>
          <w:sz w:val="22"/>
          <w:szCs w:val="22"/>
        </w:rPr>
        <w:t xml:space="preserve"> до полного выполнения Сторонами своих обязательств по данному Договору.</w:t>
      </w:r>
    </w:p>
    <w:p>
      <w:pPr>
        <w:pStyle w:val="Normal"/>
        <w:ind w:left="708" w:hanging="0"/>
        <w:jc w:val="center"/>
        <w:rPr>
          <w:sz w:val="22"/>
          <w:szCs w:val="22"/>
        </w:rPr>
      </w:pPr>
      <w:r>
        <w:rPr>
          <w:b/>
          <w:sz w:val="22"/>
          <w:szCs w:val="22"/>
        </w:rPr>
        <w:t>3. Цена и оплата товара</w:t>
      </w:r>
    </w:p>
    <w:p>
      <w:pPr>
        <w:pStyle w:val="Normal"/>
        <w:jc w:val="both"/>
        <w:rPr>
          <w:rFonts w:cs="Times New Roman"/>
        </w:rPr>
      </w:pPr>
      <w:r>
        <w:rPr>
          <w:sz w:val="22"/>
          <w:szCs w:val="22"/>
        </w:rPr>
        <w:t xml:space="preserve">3.1. Стоимость Товара составляет </w:t>
      </w:r>
    </w:p>
    <w:p>
      <w:pPr>
        <w:pStyle w:val="Normal"/>
        <w:jc w:val="both"/>
        <w:rPr>
          <w:sz w:val="22"/>
          <w:szCs w:val="22"/>
        </w:rPr>
      </w:pPr>
      <w:r>
        <w:rPr>
          <w:rFonts w:cs="Times New Roman"/>
          <w:sz w:val="22"/>
          <w:szCs w:val="22"/>
        </w:rPr>
        <w:t xml:space="preserve">3.2. 100% </w:t>
      </w:r>
      <w:r>
        <w:rPr>
          <w:rFonts w:cs="Times New Roman"/>
          <w:sz w:val="22"/>
          <w:szCs w:val="22"/>
          <w:lang w:val="ru-RU"/>
        </w:rPr>
        <w:t xml:space="preserve">стоимости товара оплачивается покупателем </w:t>
      </w:r>
      <w:r>
        <w:rPr>
          <w:rFonts w:cs="Times New Roman"/>
          <w:sz w:val="22"/>
          <w:szCs w:val="22"/>
        </w:rPr>
        <w:t xml:space="preserve">в течение </w:t>
      </w:r>
      <w:r>
        <w:rPr>
          <w:rFonts w:eastAsia="Andale Sans UI;Arial Unicode MS" w:cs="Times New Roman"/>
          <w:color w:val="000000"/>
          <w:sz w:val="22"/>
          <w:szCs w:val="22"/>
          <w:lang w:eastAsia="zh-CN" w:bidi="ar-SA"/>
        </w:rPr>
        <w:t>10</w:t>
      </w:r>
      <w:r>
        <w:rPr>
          <w:rFonts w:eastAsia="Andale Sans UI;Arial Unicode MS" w:cs="Times New Roman"/>
          <w:color w:val="000000"/>
          <w:sz w:val="22"/>
          <w:szCs w:val="22"/>
          <w:lang w:val="ru-RU" w:eastAsia="zh-CN" w:bidi="ar-SA"/>
        </w:rPr>
        <w:t xml:space="preserve"> рабочих</w:t>
      </w:r>
      <w:r>
        <w:rPr>
          <w:rFonts w:cs="Times New Roman"/>
          <w:sz w:val="22"/>
          <w:szCs w:val="22"/>
          <w:lang w:val="ru-RU"/>
        </w:rPr>
        <w:t xml:space="preserve"> </w:t>
      </w:r>
      <w:r>
        <w:rPr>
          <w:rFonts w:cs="Times New Roman"/>
          <w:sz w:val="22"/>
          <w:szCs w:val="22"/>
        </w:rPr>
        <w:t>дней с</w:t>
      </w:r>
      <w:r>
        <w:rPr>
          <w:rFonts w:cs="Times New Roman"/>
          <w:sz w:val="22"/>
          <w:szCs w:val="22"/>
          <w:lang w:val="ru-RU"/>
        </w:rPr>
        <w:t xml:space="preserve"> даты подписания </w:t>
      </w:r>
      <w:r>
        <w:rPr>
          <w:rFonts w:cs="Times New Roman"/>
          <w:sz w:val="22"/>
          <w:szCs w:val="22"/>
        </w:rPr>
        <w:t xml:space="preserve">товарной накладной </w:t>
      </w:r>
      <w:r>
        <w:rPr>
          <w:rFonts w:cs="Times New Roman"/>
          <w:sz w:val="22"/>
          <w:szCs w:val="22"/>
          <w:lang w:val="ru-RU"/>
        </w:rPr>
        <w:t xml:space="preserve">ТОРГ 12 или УПД. </w:t>
      </w:r>
      <w:r>
        <w:rPr>
          <w:rFonts w:cs="Times New Roman"/>
          <w:sz w:val="22"/>
          <w:szCs w:val="22"/>
        </w:rPr>
        <w:t xml:space="preserve">Оплата товара производится Покупателем в рублях платежным поручением на расчетный счет Поставщика, указанный в настоящем Договоре. Покупатель считается исполнившим </w:t>
      </w:r>
      <w:r>
        <w:rPr>
          <w:rFonts w:cs="Times New Roman"/>
          <w:sz w:val="22"/>
          <w:szCs w:val="22"/>
          <w:lang w:val="ru-RU"/>
        </w:rPr>
        <w:t xml:space="preserve">свою </w:t>
      </w:r>
      <w:r>
        <w:rPr>
          <w:rFonts w:cs="Times New Roman"/>
          <w:sz w:val="22"/>
          <w:szCs w:val="22"/>
        </w:rPr>
        <w:t xml:space="preserve">обязанность по </w:t>
      </w:r>
      <w:r>
        <w:rPr>
          <w:rFonts w:cs="Times New Roman"/>
          <w:sz w:val="22"/>
          <w:szCs w:val="22"/>
          <w:lang w:val="ru-RU"/>
        </w:rPr>
        <w:t>оплате с даты  списания  денежных средств со своего счета</w:t>
      </w:r>
      <w:r>
        <w:rPr>
          <w:rFonts w:cs="Times New Roman"/>
          <w:sz w:val="22"/>
          <w:szCs w:val="22"/>
        </w:rPr>
        <w:t>.</w:t>
      </w:r>
    </w:p>
    <w:p>
      <w:pPr>
        <w:pStyle w:val="Normal"/>
        <w:jc w:val="both"/>
        <w:rPr>
          <w:sz w:val="22"/>
          <w:szCs w:val="22"/>
        </w:rPr>
      </w:pPr>
      <w:r>
        <w:rPr>
          <w:bCs/>
          <w:sz w:val="22"/>
          <w:szCs w:val="22"/>
        </w:rPr>
        <w:t xml:space="preserve">3.3. В стоимость товара входит стоимость доставки товара до склада Покупателя, </w:t>
      </w:r>
      <w:r>
        <w:rPr>
          <w:bCs/>
          <w:sz w:val="22"/>
          <w:szCs w:val="22"/>
          <w:lang w:val="ru-RU"/>
        </w:rPr>
        <w:t>разгрузка товара в помещение заказчика и его разгрузка на место хранения</w:t>
      </w:r>
      <w:r>
        <w:rPr>
          <w:bCs/>
          <w:sz w:val="22"/>
          <w:szCs w:val="22"/>
        </w:rPr>
        <w:t>.</w:t>
      </w:r>
    </w:p>
    <w:p>
      <w:pPr>
        <w:pStyle w:val="Normal"/>
        <w:jc w:val="both"/>
        <w:rPr>
          <w:sz w:val="22"/>
          <w:szCs w:val="22"/>
        </w:rPr>
      </w:pPr>
      <w:r>
        <w:rPr>
          <w:bCs/>
          <w:sz w:val="22"/>
          <w:szCs w:val="22"/>
        </w:rPr>
        <w:t xml:space="preserve">3.4 Доставка товара </w:t>
      </w:r>
      <w:r>
        <w:rPr>
          <w:bCs/>
          <w:sz w:val="22"/>
          <w:szCs w:val="22"/>
          <w:lang w:val="ru-RU"/>
        </w:rPr>
        <w:t>д</w:t>
      </w:r>
      <w:r>
        <w:rPr>
          <w:bCs/>
          <w:sz w:val="22"/>
          <w:szCs w:val="22"/>
        </w:rPr>
        <w:t>о склада покупателя осуществляется за счет средств и сил поставщика.</w:t>
      </w:r>
    </w:p>
    <w:p>
      <w:pPr>
        <w:pStyle w:val="Normal"/>
        <w:jc w:val="both"/>
        <w:rPr>
          <w:sz w:val="22"/>
          <w:szCs w:val="22"/>
        </w:rPr>
      </w:pPr>
      <w:r>
        <w:rPr>
          <w:bCs/>
          <w:sz w:val="22"/>
          <w:szCs w:val="22"/>
        </w:rPr>
        <w:t xml:space="preserve">3.5. </w:t>
      </w:r>
      <w:r>
        <w:rPr>
          <w:rFonts w:cs="Times New Roman"/>
          <w:bCs/>
          <w:sz w:val="22"/>
          <w:szCs w:val="22"/>
          <w:lang w:val="ru-RU"/>
        </w:rPr>
        <w:t>П</w:t>
      </w:r>
      <w:r>
        <w:rPr>
          <w:rFonts w:cs="Times New Roman"/>
          <w:bCs/>
          <w:sz w:val="22"/>
          <w:szCs w:val="22"/>
        </w:rPr>
        <w:t xml:space="preserve">ри приемке </w:t>
      </w:r>
      <w:r>
        <w:rPr>
          <w:rFonts w:cs="Times New Roman"/>
          <w:bCs/>
          <w:sz w:val="22"/>
          <w:szCs w:val="22"/>
          <w:lang w:val="ru-RU"/>
        </w:rPr>
        <w:t>товара Заказчик подписывает</w:t>
      </w:r>
      <w:r>
        <w:rPr>
          <w:rFonts w:cs="Times New Roman"/>
          <w:bCs/>
          <w:sz w:val="22"/>
          <w:szCs w:val="22"/>
        </w:rPr>
        <w:t xml:space="preserve"> Акт приемки (ф. 0510452) </w:t>
      </w:r>
      <w:r>
        <w:rPr>
          <w:rFonts w:cs="Times New Roman"/>
          <w:bCs/>
          <w:sz w:val="22"/>
          <w:szCs w:val="22"/>
          <w:lang w:val="ru-RU"/>
        </w:rPr>
        <w:t>в одностороннем порядке</w:t>
      </w:r>
      <w:r>
        <w:rPr>
          <w:rFonts w:cs="Times New Roman"/>
          <w:bCs/>
          <w:sz w:val="22"/>
          <w:szCs w:val="22"/>
        </w:rPr>
        <w:t xml:space="preserve">, </w:t>
      </w:r>
      <w:r>
        <w:rPr>
          <w:rFonts w:cs="Times New Roman"/>
          <w:bCs/>
          <w:sz w:val="22"/>
          <w:szCs w:val="22"/>
          <w:lang w:val="ru-RU"/>
        </w:rPr>
        <w:t>в случае расхождений Акт приемки (ф. 0510452), направляется Поставщику для рассмотрения и устранения расхождений</w:t>
      </w:r>
      <w:r>
        <w:rPr>
          <w:rFonts w:cs="Times New Roman"/>
          <w:bCs/>
          <w:sz w:val="22"/>
          <w:szCs w:val="22"/>
        </w:rPr>
        <w:t>.</w:t>
      </w:r>
    </w:p>
    <w:p>
      <w:pPr>
        <w:pStyle w:val="Normal"/>
        <w:jc w:val="center"/>
        <w:rPr>
          <w:sz w:val="22"/>
          <w:szCs w:val="22"/>
        </w:rPr>
      </w:pPr>
      <w:r>
        <w:rPr>
          <w:b/>
          <w:sz w:val="22"/>
          <w:szCs w:val="22"/>
        </w:rPr>
        <w:t>4. Сроки и условия поставки</w:t>
      </w:r>
    </w:p>
    <w:p>
      <w:pPr>
        <w:pStyle w:val="Normal"/>
        <w:jc w:val="both"/>
        <w:rPr>
          <w:sz w:val="22"/>
          <w:szCs w:val="22"/>
        </w:rPr>
      </w:pPr>
      <w:r>
        <w:rPr>
          <w:sz w:val="22"/>
          <w:szCs w:val="22"/>
        </w:rPr>
        <w:t>4.1. Датой поставки считается дата подписания</w:t>
      </w:r>
      <w:r>
        <w:rPr>
          <w:sz w:val="22"/>
          <w:szCs w:val="22"/>
          <w:lang w:val="ru-RU"/>
        </w:rPr>
        <w:t xml:space="preserve"> Покупателем </w:t>
      </w:r>
      <w:r>
        <w:rPr>
          <w:rFonts w:cs="Times New Roman"/>
          <w:bCs/>
          <w:sz w:val="22"/>
          <w:szCs w:val="22"/>
          <w:lang w:val="ru-RU"/>
        </w:rPr>
        <w:t>товарной накладной ТОРГ 12 или УПД</w:t>
      </w:r>
      <w:r>
        <w:rPr>
          <w:sz w:val="22"/>
          <w:szCs w:val="22"/>
        </w:rPr>
        <w:t>. Право собственности на Товар переходит к Покупателю с дат</w:t>
      </w:r>
      <w:r>
        <w:rPr>
          <w:sz w:val="22"/>
          <w:szCs w:val="22"/>
          <w:lang w:val="ru-RU"/>
        </w:rPr>
        <w:t>ы</w:t>
      </w:r>
      <w:r>
        <w:rPr>
          <w:sz w:val="22"/>
          <w:szCs w:val="22"/>
        </w:rPr>
        <w:t xml:space="preserve"> подписания</w:t>
      </w:r>
      <w:r>
        <w:rPr>
          <w:sz w:val="22"/>
          <w:szCs w:val="22"/>
          <w:lang w:val="ru-RU"/>
        </w:rPr>
        <w:t xml:space="preserve"> Покупателем </w:t>
      </w:r>
      <w:r>
        <w:rPr>
          <w:rFonts w:cs="Times New Roman"/>
          <w:bCs/>
          <w:sz w:val="22"/>
          <w:szCs w:val="22"/>
          <w:lang w:val="ru-RU"/>
        </w:rPr>
        <w:t xml:space="preserve"> товарной накладной ТОРГ 12 или УПД.</w:t>
      </w:r>
    </w:p>
    <w:p>
      <w:pPr>
        <w:pStyle w:val="Normal"/>
        <w:jc w:val="both"/>
        <w:rPr>
          <w:sz w:val="22"/>
          <w:szCs w:val="22"/>
        </w:rPr>
      </w:pPr>
      <w:r>
        <w:rPr>
          <w:sz w:val="22"/>
          <w:szCs w:val="22"/>
        </w:rPr>
        <w:t xml:space="preserve">4.2 Поставка Товара в адрес Покупателя осуществляется в </w:t>
      </w:r>
      <w:r>
        <w:rPr>
          <w:sz w:val="22"/>
          <w:szCs w:val="22"/>
          <w:lang w:val="ru-RU"/>
        </w:rPr>
        <w:t>течение 3  (трех) рабочих дней с даты подписания.</w:t>
      </w:r>
    </w:p>
    <w:p>
      <w:pPr>
        <w:pStyle w:val="Normal"/>
        <w:jc w:val="both"/>
        <w:rPr>
          <w:sz w:val="22"/>
          <w:szCs w:val="22"/>
        </w:rPr>
      </w:pPr>
      <w:r>
        <w:rPr>
          <w:sz w:val="22"/>
          <w:szCs w:val="22"/>
        </w:rPr>
        <w:t>4.3. Доставка Товара Покупателю производится Поставщиком по адресу: 249030, г. Обнинск, пр-т. Л</w:t>
      </w:r>
      <w:r>
        <w:rPr>
          <w:sz w:val="22"/>
          <w:szCs w:val="22"/>
          <w:lang w:val="ru-RU"/>
        </w:rPr>
        <w:t>енина,85. В период с 9.00-15.00 (с 12-13 перерыв на обед).</w:t>
      </w:r>
    </w:p>
    <w:p>
      <w:pPr>
        <w:pStyle w:val="Normal"/>
        <w:jc w:val="both"/>
        <w:rPr>
          <w:sz w:val="22"/>
          <w:szCs w:val="22"/>
        </w:rPr>
      </w:pPr>
      <w:r>
        <w:rPr>
          <w:sz w:val="22"/>
          <w:szCs w:val="22"/>
          <w:lang w:val="ru-RU"/>
        </w:rPr>
        <w:t>4.4. При поставке медицинских изделий Поставщик предоставляет Покупателю регистрационное удостоверение на мед изделие и документ, подтверждающий качество товара (декларация о соответствии/сертификат качества).</w:t>
      </w:r>
    </w:p>
    <w:p>
      <w:pPr>
        <w:pStyle w:val="Normal"/>
        <w:ind w:left="708" w:hanging="0"/>
        <w:jc w:val="center"/>
        <w:rPr>
          <w:sz w:val="22"/>
          <w:szCs w:val="22"/>
        </w:rPr>
      </w:pPr>
      <w:r>
        <w:rPr>
          <w:b/>
          <w:sz w:val="22"/>
          <w:szCs w:val="22"/>
        </w:rPr>
        <w:t>5. Принятие товара</w:t>
      </w:r>
    </w:p>
    <w:p>
      <w:pPr>
        <w:pStyle w:val="Normal"/>
        <w:jc w:val="both"/>
        <w:rPr>
          <w:sz w:val="22"/>
          <w:szCs w:val="22"/>
        </w:rPr>
      </w:pPr>
      <w:r>
        <w:rPr>
          <w:sz w:val="22"/>
          <w:szCs w:val="22"/>
        </w:rPr>
        <w:t>5.1. Покупатель обязан совершить все необходимые действия, обеспечивающие принятие Товара, поставляемого в соответствии с настоящим Договором.</w:t>
      </w:r>
    </w:p>
    <w:p>
      <w:pPr>
        <w:pStyle w:val="Normal"/>
        <w:jc w:val="both"/>
        <w:rPr>
          <w:sz w:val="22"/>
          <w:szCs w:val="22"/>
        </w:rPr>
      </w:pPr>
      <w:r>
        <w:rPr>
          <w:sz w:val="22"/>
          <w:szCs w:val="22"/>
        </w:rPr>
        <w:t xml:space="preserve">5.2. Принятый Покупателем Товар должен быть им осмотрен в </w:t>
      </w:r>
      <w:r>
        <w:rPr>
          <w:sz w:val="22"/>
          <w:szCs w:val="22"/>
          <w:lang w:val="ru-RU"/>
        </w:rPr>
        <w:t xml:space="preserve">течение 3 рабочих дней  с даты </w:t>
      </w:r>
      <w:r>
        <w:rPr>
          <w:sz w:val="22"/>
          <w:szCs w:val="22"/>
        </w:rPr>
        <w:t>вручения</w:t>
      </w:r>
      <w:r>
        <w:rPr>
          <w:sz w:val="22"/>
          <w:szCs w:val="22"/>
          <w:lang w:val="ru-RU"/>
        </w:rPr>
        <w:t xml:space="preserve"> покупателю товара и товаро-сопроводительных документов. </w:t>
      </w:r>
      <w:r>
        <w:rPr>
          <w:sz w:val="22"/>
          <w:szCs w:val="22"/>
        </w:rPr>
        <w:t>При выявлении недостатков или несоответствий Товара,</w:t>
      </w:r>
      <w:r>
        <w:rPr>
          <w:sz w:val="22"/>
          <w:szCs w:val="22"/>
          <w:lang w:val="ru-RU"/>
        </w:rPr>
        <w:t xml:space="preserve"> наличия ошибок в первичных учетных документах  </w:t>
      </w:r>
      <w:r>
        <w:rPr>
          <w:sz w:val="22"/>
          <w:szCs w:val="22"/>
        </w:rPr>
        <w:t xml:space="preserve">Покупатель обязан в течение двух дней письменно уведомить Поставщика о выявленных недостатках </w:t>
      </w:r>
      <w:r>
        <w:rPr>
          <w:sz w:val="22"/>
          <w:szCs w:val="22"/>
          <w:lang w:val="ru-RU"/>
        </w:rPr>
        <w:t>с указанием срока их устранения</w:t>
      </w:r>
      <w:r>
        <w:rPr>
          <w:sz w:val="22"/>
          <w:szCs w:val="22"/>
        </w:rPr>
        <w:t>.</w:t>
      </w:r>
    </w:p>
    <w:p>
      <w:pPr>
        <w:pStyle w:val="Normal"/>
        <w:jc w:val="both"/>
        <w:rPr>
          <w:sz w:val="22"/>
          <w:szCs w:val="22"/>
        </w:rPr>
      </w:pPr>
      <w:r>
        <w:rPr>
          <w:sz w:val="22"/>
          <w:szCs w:val="22"/>
        </w:rPr>
        <w:t>5.3. В случае получения поставляемого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Normal"/>
        <w:jc w:val="both"/>
        <w:rPr>
          <w:sz w:val="22"/>
          <w:szCs w:val="22"/>
        </w:rPr>
      </w:pPr>
      <w:r>
        <w:rPr>
          <w:sz w:val="22"/>
          <w:szCs w:val="22"/>
        </w:rPr>
        <w:t>5.4. В случае отказа Покупателя от переданного Поставщиком Товара, Покупатель обязан обеспечить сохранность этого Товара (ответственное хранение) и в течение двух дней письменно уведомить Поставщика об отказе от переданного Товара.</w:t>
      </w:r>
    </w:p>
    <w:p>
      <w:pPr>
        <w:pStyle w:val="Normal"/>
        <w:jc w:val="both"/>
        <w:rPr>
          <w:sz w:val="22"/>
          <w:szCs w:val="22"/>
        </w:rPr>
      </w:pPr>
      <w:r>
        <w:rPr>
          <w:sz w:val="22"/>
          <w:szCs w:val="22"/>
        </w:rPr>
      </w:r>
    </w:p>
    <w:p>
      <w:pPr>
        <w:pStyle w:val="Normal"/>
        <w:ind w:left="708" w:hanging="0"/>
        <w:jc w:val="center"/>
        <w:rPr>
          <w:sz w:val="22"/>
          <w:szCs w:val="22"/>
        </w:rPr>
      </w:pPr>
      <w:r>
        <w:rPr>
          <w:b/>
          <w:sz w:val="22"/>
          <w:szCs w:val="22"/>
        </w:rPr>
        <w:t>6. Качество товара</w:t>
      </w:r>
    </w:p>
    <w:p>
      <w:pPr>
        <w:pStyle w:val="Normal"/>
        <w:jc w:val="both"/>
        <w:rPr>
          <w:sz w:val="22"/>
          <w:szCs w:val="22"/>
        </w:rPr>
      </w:pPr>
      <w:r>
        <w:rPr>
          <w:sz w:val="22"/>
          <w:szCs w:val="22"/>
        </w:rPr>
        <w:t>6.1. Качество поставляемого Товара должно соответствовать нормативно-технической документации производителя/</w:t>
      </w:r>
      <w:r>
        <w:rPr>
          <w:sz w:val="22"/>
          <w:szCs w:val="22"/>
          <w:lang w:val="ru-RU"/>
        </w:rPr>
        <w:t>инструкции</w:t>
      </w:r>
      <w:r>
        <w:rPr>
          <w:sz w:val="22"/>
          <w:szCs w:val="22"/>
        </w:rPr>
        <w:t xml:space="preserve">. </w:t>
      </w:r>
      <w:r>
        <w:rPr>
          <w:sz w:val="22"/>
          <w:szCs w:val="22"/>
          <w:lang w:val="ru-RU"/>
        </w:rPr>
        <w:t>Документы, подтверждающие качество товара, поставщик предоставляет вместе с товаром.</w:t>
      </w:r>
    </w:p>
    <w:p>
      <w:pPr>
        <w:pStyle w:val="Normal"/>
        <w:jc w:val="both"/>
        <w:rPr>
          <w:sz w:val="22"/>
          <w:szCs w:val="22"/>
        </w:rPr>
      </w:pPr>
      <w:r>
        <w:rPr>
          <w:sz w:val="22"/>
          <w:szCs w:val="22"/>
        </w:rPr>
        <w:t xml:space="preserve">6.2.В случае </w:t>
      </w:r>
      <w:r>
        <w:rPr>
          <w:sz w:val="22"/>
          <w:szCs w:val="22"/>
          <w:lang w:val="ru-RU"/>
        </w:rPr>
        <w:t xml:space="preserve">обнаружения некачественного товара </w:t>
      </w:r>
      <w:r>
        <w:rPr>
          <w:sz w:val="22"/>
          <w:szCs w:val="22"/>
        </w:rPr>
        <w:t xml:space="preserve">и (или) </w:t>
      </w:r>
      <w:r>
        <w:rPr>
          <w:sz w:val="22"/>
          <w:szCs w:val="22"/>
          <w:lang w:val="ru-RU"/>
        </w:rPr>
        <w:t>нарушения ассортимента</w:t>
      </w:r>
      <w:r>
        <w:rPr>
          <w:sz w:val="22"/>
          <w:szCs w:val="22"/>
        </w:rPr>
        <w:t xml:space="preserve"> поставленного Товара, Стороны </w:t>
      </w:r>
      <w:r>
        <w:rPr>
          <w:sz w:val="22"/>
          <w:szCs w:val="22"/>
          <w:lang w:val="ru-RU"/>
        </w:rPr>
        <w:t>подписывают</w:t>
      </w:r>
      <w:r>
        <w:rPr>
          <w:sz w:val="22"/>
          <w:szCs w:val="22"/>
        </w:rPr>
        <w:t xml:space="preserve"> соглашение о замене Товара ненадлежащего качества или </w:t>
      </w:r>
      <w:r>
        <w:rPr>
          <w:sz w:val="22"/>
          <w:szCs w:val="22"/>
          <w:lang w:val="ru-RU"/>
        </w:rPr>
        <w:t xml:space="preserve">устранений нарушей в ассортименте </w:t>
      </w:r>
      <w:r>
        <w:rPr>
          <w:sz w:val="22"/>
          <w:szCs w:val="22"/>
        </w:rPr>
        <w:t xml:space="preserve">Товара </w:t>
      </w:r>
      <w:r>
        <w:rPr>
          <w:sz w:val="22"/>
          <w:szCs w:val="22"/>
          <w:lang w:val="ru-RU"/>
        </w:rPr>
        <w:t>с указанием срока исправления недостатков, который не может превышать 10 дней</w:t>
      </w:r>
      <w:r>
        <w:rPr>
          <w:sz w:val="22"/>
          <w:szCs w:val="22"/>
        </w:rPr>
        <w:t>.</w:t>
      </w:r>
    </w:p>
    <w:p>
      <w:pPr>
        <w:pStyle w:val="Normal"/>
        <w:jc w:val="both"/>
        <w:rPr>
          <w:sz w:val="22"/>
          <w:szCs w:val="22"/>
          <w:lang w:val="ru-RU"/>
        </w:rPr>
      </w:pPr>
      <w:r>
        <w:rPr>
          <w:sz w:val="22"/>
          <w:szCs w:val="22"/>
          <w:lang w:val="ru-RU"/>
        </w:rPr>
        <w:t>6.3. При поставке лекарственных препаратов поставщик самостоятельно и за свой счет обеспечивает доставку товара до заказчика с соблюдением правил холодовой цепи.</w:t>
      </w:r>
    </w:p>
    <w:p>
      <w:pPr>
        <w:pStyle w:val="Normal"/>
        <w:jc w:val="both"/>
        <w:rPr>
          <w:sz w:val="22"/>
          <w:szCs w:val="22"/>
          <w:lang w:val="ru-RU"/>
        </w:rPr>
      </w:pPr>
      <w:r>
        <w:rPr>
          <w:sz w:val="22"/>
          <w:szCs w:val="22"/>
          <w:lang w:val="ru-RU"/>
        </w:rPr>
      </w:r>
    </w:p>
    <w:p>
      <w:pPr>
        <w:pStyle w:val="Normal"/>
        <w:jc w:val="both"/>
        <w:rPr>
          <w:sz w:val="22"/>
          <w:szCs w:val="22"/>
        </w:rPr>
      </w:pPr>
      <w:r>
        <w:rPr>
          <w:sz w:val="22"/>
          <w:szCs w:val="22"/>
        </w:rPr>
      </w:r>
    </w:p>
    <w:p>
      <w:pPr>
        <w:pStyle w:val="Normal"/>
        <w:ind w:left="708" w:hanging="0"/>
        <w:jc w:val="center"/>
        <w:rPr>
          <w:sz w:val="22"/>
          <w:szCs w:val="22"/>
        </w:rPr>
      </w:pPr>
      <w:r>
        <w:rPr>
          <w:b/>
          <w:sz w:val="22"/>
          <w:szCs w:val="22"/>
        </w:rPr>
        <w:t>7. Ответственность сторон</w:t>
      </w:r>
    </w:p>
    <w:p>
      <w:pPr>
        <w:pStyle w:val="Normal"/>
        <w:jc w:val="both"/>
        <w:rPr>
          <w:sz w:val="22"/>
          <w:szCs w:val="22"/>
        </w:rPr>
      </w:pPr>
      <w:r>
        <w:rPr>
          <w:sz w:val="22"/>
          <w:szCs w:val="22"/>
        </w:rPr>
        <w:t>7.1.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w:t>
      </w:r>
    </w:p>
    <w:p>
      <w:pPr>
        <w:pStyle w:val="NormalWeb"/>
        <w:widowControl/>
        <w:spacing w:lineRule="atLeast" w:line="200" w:before="0" w:after="0"/>
        <w:ind w:firstLine="567"/>
        <w:jc w:val="both"/>
        <w:rPr>
          <w:sz w:val="22"/>
          <w:szCs w:val="22"/>
        </w:rPr>
      </w:pPr>
      <w:r>
        <w:rPr>
          <w:rFonts w:cs="Times New Roman"/>
          <w:sz w:val="22"/>
          <w:szCs w:val="22"/>
          <w:lang w:val="ru-RU"/>
        </w:rPr>
        <w:t>7.2. В</w:t>
      </w:r>
      <w:r>
        <w:rPr>
          <w:rFonts w:cs="Times New Roman"/>
          <w:color w:val="000000"/>
          <w:sz w:val="22"/>
          <w:szCs w:val="22"/>
          <w:lang w:val="ru-RU"/>
        </w:rPr>
        <w:t xml:space="preserve">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7.3.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spacing w:lineRule="atLeast" w:line="200" w:before="0" w:after="0"/>
        <w:ind w:firstLine="567"/>
        <w:jc w:val="both"/>
        <w:rPr>
          <w:sz w:val="22"/>
          <w:szCs w:val="22"/>
        </w:rPr>
      </w:pPr>
      <w:r>
        <w:rPr>
          <w:rFonts w:cs="Times New Roman"/>
          <w:color w:val="000000"/>
          <w:sz w:val="22"/>
          <w:szCs w:val="22"/>
          <w:lang w:val="ru-RU"/>
        </w:rPr>
        <w:t>7.4.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взыскать с покупателя штраф в размере 1000 рублей.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sz w:val="22"/>
          <w:szCs w:val="22"/>
        </w:rPr>
      </w:pPr>
      <w:r>
        <w:rPr>
          <w:rFonts w:cs="Times New Roman"/>
          <w:color w:val="000000"/>
          <w:sz w:val="22"/>
          <w:szCs w:val="22"/>
          <w:lang w:val="ru-RU"/>
        </w:rPr>
        <w:t>7.5.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7.6.Пеня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обьему обязательств, предусмотренных договором и фактически исполненных поставщиком.</w:t>
      </w:r>
    </w:p>
    <w:p>
      <w:pPr>
        <w:pStyle w:val="NormalWeb"/>
        <w:widowControl/>
        <w:spacing w:lineRule="atLeast" w:line="200" w:before="0" w:after="0"/>
        <w:ind w:firstLine="567"/>
        <w:jc w:val="both"/>
        <w:rPr>
          <w:sz w:val="22"/>
          <w:szCs w:val="22"/>
        </w:rPr>
      </w:pPr>
      <w:r>
        <w:rPr>
          <w:rFonts w:cs="Times New Roman"/>
          <w:color w:val="000000"/>
          <w:sz w:val="22"/>
          <w:szCs w:val="22"/>
          <w:lang w:val="ru-RU"/>
        </w:rPr>
        <w:t>7.7.За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покупатель вправе взыскать с Поставщика штраф в размере 1000 рублей. 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cs="Times New Roman"/>
          <w:color w:val="000000"/>
          <w:lang w:val="ru-RU"/>
        </w:rPr>
      </w:pPr>
      <w:r>
        <w:rPr>
          <w:rFonts w:cs="Times New Roman"/>
          <w:color w:val="000000"/>
          <w:lang w:val="ru-RU"/>
        </w:rPr>
      </w:r>
    </w:p>
    <w:p>
      <w:pPr>
        <w:pStyle w:val="Normal"/>
        <w:ind w:left="708" w:hanging="0"/>
        <w:jc w:val="center"/>
        <w:rPr>
          <w:sz w:val="22"/>
          <w:szCs w:val="22"/>
        </w:rPr>
      </w:pPr>
      <w:r>
        <w:rPr>
          <w:b/>
          <w:sz w:val="22"/>
          <w:szCs w:val="22"/>
        </w:rPr>
        <w:t>8. Форс-мажорные обстоятельства</w:t>
      </w:r>
    </w:p>
    <w:p>
      <w:pPr>
        <w:pStyle w:val="Normal"/>
        <w:jc w:val="both"/>
        <w:rPr>
          <w:sz w:val="22"/>
          <w:szCs w:val="22"/>
        </w:rPr>
      </w:pPr>
      <w:r>
        <w:rPr>
          <w:sz w:val="22"/>
          <w:szCs w:val="22"/>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запрещающее экспортно-импортные операции.</w:t>
      </w:r>
    </w:p>
    <w:p>
      <w:pPr>
        <w:pStyle w:val="Normal"/>
        <w:jc w:val="both"/>
        <w:rPr>
          <w:sz w:val="22"/>
          <w:szCs w:val="22"/>
        </w:rPr>
      </w:pPr>
      <w:r>
        <w:rPr>
          <w:sz w:val="22"/>
          <w:szCs w:val="22"/>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в течение одного месяца с момента возникновения таких обстоятельств, при этом срок исполнения обязательств по настоящему Договору продлевается соразмерно времени, в течение которого действовали вышеуказанные обстоятельства.</w:t>
      </w:r>
    </w:p>
    <w:p>
      <w:pPr>
        <w:pStyle w:val="Normal"/>
        <w:jc w:val="both"/>
        <w:rPr>
          <w:sz w:val="22"/>
          <w:szCs w:val="22"/>
        </w:rPr>
      </w:pPr>
      <w:r>
        <w:rPr>
          <w:sz w:val="22"/>
          <w:szCs w:val="22"/>
        </w:rPr>
      </w:r>
    </w:p>
    <w:p>
      <w:pPr>
        <w:pStyle w:val="ListParagraph"/>
        <w:tabs>
          <w:tab w:val="clear" w:pos="706"/>
          <w:tab w:val="left" w:pos="1134" w:leader="none"/>
        </w:tabs>
        <w:ind w:left="0" w:hanging="0"/>
        <w:jc w:val="center"/>
        <w:rPr>
          <w:rFonts w:cs="Times New Roman"/>
          <w:b/>
          <w:b/>
          <w:sz w:val="22"/>
          <w:szCs w:val="22"/>
        </w:rPr>
      </w:pPr>
      <w:r>
        <w:rPr>
          <w:rFonts w:cs="Times New Roman"/>
          <w:b/>
          <w:sz w:val="22"/>
          <w:szCs w:val="22"/>
        </w:rPr>
        <w:t xml:space="preserve">9. </w:t>
      </w:r>
      <w:r>
        <w:rPr>
          <w:rFonts w:cs="Times New Roman"/>
          <w:b/>
          <w:sz w:val="22"/>
          <w:szCs w:val="22"/>
          <w:lang w:val="ru-RU"/>
        </w:rPr>
        <w:t>Разрешение споров</w:t>
      </w:r>
    </w:p>
    <w:p>
      <w:pPr>
        <w:pStyle w:val="ListParagraph"/>
        <w:tabs>
          <w:tab w:val="clear" w:pos="706"/>
          <w:tab w:val="left" w:pos="426" w:leader="none"/>
          <w:tab w:val="left" w:pos="1134" w:leader="none"/>
        </w:tabs>
        <w:ind w:left="0" w:firstLine="567"/>
        <w:jc w:val="both"/>
        <w:rPr>
          <w:sz w:val="22"/>
          <w:szCs w:val="22"/>
        </w:rPr>
      </w:pPr>
      <w:r>
        <w:rPr>
          <w:rFonts w:cs="Times New Roman"/>
          <w:sz w:val="22"/>
          <w:szCs w:val="22"/>
        </w:rPr>
        <w:t>9.1. Претензионный порядок досудебного урегулирования споров из настоящего Договора является для Сторон обязательным.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9.2. Претензионные письма направляются Сторонами любым из следующих способов и считаются полученными:</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нарочным либо заказным почтовым отправлением с уведомлением о вручении последнего адресату по местонахождению Сторон, указанным в п. 11настоящего Договора.</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по адресу электронной почты, указанной в п. 11 договора с последующим предоставлением оригинала документа нарочным или заказным почтовым отправлением с уведомлением о вручении последнего адресату по местонахождению Сторон, указанным в п. 11 настоящего Договора</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9.3.Срок рассмотрения претензионного письма составляет 5 (пять) рабочих дней со дня получения последнего адресатом.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9.4.</w:t>
      </w:r>
      <w:r>
        <w:rPr>
          <w:rFonts w:cs="Times New Roman"/>
          <w:sz w:val="22"/>
          <w:szCs w:val="22"/>
          <w:lang w:val="ru-RU"/>
        </w:rPr>
        <w:t xml:space="preserve"> </w:t>
      </w:r>
      <w:r>
        <w:rPr>
          <w:rFonts w:cs="Times New Roman"/>
          <w:sz w:val="22"/>
          <w:szCs w:val="22"/>
        </w:rPr>
        <w:t>Все споры, разногласия или требования, возникающие при исполнении настоящего договора, Стороны будут стремиться решать путем переговоров. В случае если споры, разногласия или требования, возникающие из настоящего Договора или в связи с ним, не удалось решить путем переговоров, то они подлежат разрешению в Арбитражном суде Калужской области.</w:t>
      </w:r>
    </w:p>
    <w:p>
      <w:pPr>
        <w:pStyle w:val="Normal"/>
        <w:ind w:left="708" w:hanging="0"/>
        <w:jc w:val="center"/>
        <w:rPr>
          <w:b/>
          <w:b/>
          <w:sz w:val="22"/>
          <w:szCs w:val="22"/>
        </w:rPr>
      </w:pPr>
      <w:r>
        <w:rPr>
          <w:b/>
          <w:sz w:val="22"/>
          <w:szCs w:val="22"/>
        </w:rPr>
      </w:r>
    </w:p>
    <w:p>
      <w:pPr>
        <w:pStyle w:val="Normal"/>
        <w:ind w:left="708" w:hanging="0"/>
        <w:jc w:val="center"/>
        <w:rPr>
          <w:sz w:val="22"/>
          <w:szCs w:val="22"/>
        </w:rPr>
      </w:pPr>
      <w:r>
        <w:rPr>
          <w:b/>
          <w:sz w:val="22"/>
          <w:szCs w:val="22"/>
        </w:rPr>
        <w:t>10. Изменение, дополнение, прекращение и расторжение договора</w:t>
      </w:r>
    </w:p>
    <w:p>
      <w:pPr>
        <w:pStyle w:val="Normal"/>
        <w:jc w:val="both"/>
        <w:rPr>
          <w:sz w:val="22"/>
          <w:szCs w:val="22"/>
        </w:rPr>
      </w:pPr>
      <w:r>
        <w:rPr>
          <w:sz w:val="22"/>
          <w:szCs w:val="22"/>
        </w:rPr>
        <w:t>10.1. Условия настоящего Договора могут быть изменены или дополнены только по письменному соглашению Сторон. 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jc w:val="both"/>
        <w:rPr>
          <w:sz w:val="22"/>
          <w:szCs w:val="22"/>
        </w:rPr>
      </w:pPr>
      <w:r>
        <w:rPr>
          <w:sz w:val="22"/>
          <w:szCs w:val="22"/>
        </w:rPr>
        <w:t xml:space="preserve">10.2. Настоящий Договор может быть прекращен или расторгнут в порядке и по основаниям, предусмотренным действующим законодательством Российской Федерации. </w:t>
      </w:r>
      <w:r>
        <w:rPr>
          <w:rFonts w:cs="Times New Roman"/>
          <w:sz w:val="22"/>
          <w:szCs w:val="22"/>
        </w:rPr>
        <w:t>Договор может быть расторгнут по соглашению сторон.</w:t>
      </w:r>
    </w:p>
    <w:p>
      <w:pPr>
        <w:pStyle w:val="Normal"/>
        <w:jc w:val="both"/>
        <w:rPr>
          <w:sz w:val="22"/>
          <w:szCs w:val="22"/>
        </w:rPr>
      </w:pPr>
      <w:r>
        <w:rPr>
          <w:rFonts w:cs="Times New Roman"/>
          <w:sz w:val="22"/>
          <w:szCs w:val="22"/>
        </w:rPr>
        <w:t xml:space="preserve">10.3. </w:t>
      </w:r>
      <w:r>
        <w:rPr>
          <w:rFonts w:cs="Times New Roman"/>
          <w:sz w:val="22"/>
          <w:szCs w:val="22"/>
          <w:lang w:val="ru-RU"/>
        </w:rPr>
        <w:t>Покупатель</w:t>
      </w:r>
      <w:r>
        <w:rPr>
          <w:rFonts w:cs="Times New Roman"/>
          <w:sz w:val="22"/>
          <w:szCs w:val="22"/>
        </w:rPr>
        <w:t xml:space="preserve"> вправе отказаться от исполнения Договора в одностороннем внесудебном порядке с уведомлением поставщика за 5 календарных дней по реквизитам в п. 11 в случаях:</w:t>
      </w:r>
    </w:p>
    <w:p>
      <w:pPr>
        <w:pStyle w:val="Normal"/>
        <w:widowControl/>
        <w:shd w:val="clear" w:color="auto" w:fill="FFFFFF"/>
        <w:jc w:val="both"/>
        <w:rPr>
          <w:sz w:val="22"/>
          <w:szCs w:val="22"/>
        </w:rPr>
      </w:pPr>
      <w:r>
        <w:rPr>
          <w:rFonts w:cs="Times New Roman"/>
          <w:sz w:val="22"/>
          <w:szCs w:val="22"/>
        </w:rPr>
        <w:t xml:space="preserve">- Поставки Товара ненадлежащего качества с недостатками, которые не могут быть устранены в приемлемый для </w:t>
      </w:r>
      <w:r>
        <w:rPr>
          <w:rFonts w:cs="Times New Roman"/>
          <w:sz w:val="22"/>
          <w:szCs w:val="22"/>
          <w:lang w:val="ru-RU"/>
        </w:rPr>
        <w:t>покупателя</w:t>
      </w:r>
      <w:r>
        <w:rPr>
          <w:rFonts w:cs="Times New Roman"/>
          <w:sz w:val="22"/>
          <w:szCs w:val="22"/>
        </w:rPr>
        <w:t xml:space="preserve"> срок.</w:t>
      </w:r>
    </w:p>
    <w:p>
      <w:pPr>
        <w:pStyle w:val="Normal"/>
        <w:jc w:val="both"/>
        <w:rPr>
          <w:sz w:val="22"/>
          <w:szCs w:val="22"/>
        </w:rPr>
      </w:pPr>
      <w:r>
        <w:rPr>
          <w:rFonts w:cs="Times New Roman"/>
          <w:sz w:val="22"/>
          <w:szCs w:val="22"/>
        </w:rPr>
        <w:t>- Неоднократного нарушения Поставщиком сроков поставки Товара</w:t>
      </w:r>
    </w:p>
    <w:p>
      <w:pPr>
        <w:pStyle w:val="Normal"/>
        <w:numPr>
          <w:ilvl w:val="0"/>
          <w:numId w:val="0"/>
        </w:numPr>
        <w:ind w:left="0" w:hanging="0"/>
        <w:outlineLvl w:val="0"/>
        <w:rPr>
          <w:sz w:val="22"/>
          <w:szCs w:val="22"/>
        </w:rPr>
      </w:pPr>
      <w:r>
        <w:rPr>
          <w:rFonts w:cs="Times New Roman"/>
          <w:sz w:val="22"/>
          <w:szCs w:val="22"/>
        </w:rPr>
        <w:t xml:space="preserve">10.4. </w:t>
      </w:r>
      <w:r>
        <w:rPr>
          <w:sz w:val="22"/>
          <w:szCs w:val="22"/>
        </w:rPr>
        <w:t xml:space="preserve">В случае изменения у одной из сторон юридического адреса, названия </w:t>
      </w:r>
      <w:r>
        <w:rPr>
          <w:sz w:val="22"/>
          <w:szCs w:val="22"/>
          <w:lang w:val="ru-RU"/>
        </w:rPr>
        <w:t>юр лица</w:t>
      </w:r>
      <w:r>
        <w:rPr>
          <w:sz w:val="22"/>
          <w:szCs w:val="22"/>
        </w:rPr>
        <w:t>, банковских реквизитов и/</w:t>
      </w:r>
      <w:r>
        <w:rPr>
          <w:sz w:val="22"/>
          <w:szCs w:val="22"/>
          <w:lang w:val="ru-RU"/>
        </w:rPr>
        <w:t>или</w:t>
      </w:r>
      <w:r>
        <w:rPr>
          <w:sz w:val="22"/>
          <w:szCs w:val="22"/>
        </w:rPr>
        <w:t xml:space="preserve"> </w:t>
      </w:r>
      <w:r>
        <w:rPr>
          <w:sz w:val="22"/>
          <w:szCs w:val="22"/>
          <w:lang w:val="ru-RU"/>
        </w:rPr>
        <w:t>иных реквизитов</w:t>
      </w:r>
      <w:r>
        <w:rPr>
          <w:sz w:val="22"/>
          <w:szCs w:val="22"/>
        </w:rPr>
        <w:t xml:space="preserve"> она обязана в течение 3 (</w:t>
      </w:r>
      <w:r>
        <w:rPr>
          <w:sz w:val="22"/>
          <w:szCs w:val="22"/>
          <w:lang w:val="ru-RU"/>
        </w:rPr>
        <w:t>трех</w:t>
      </w:r>
      <w:r>
        <w:rPr>
          <w:sz w:val="22"/>
          <w:szCs w:val="22"/>
        </w:rPr>
        <w:t>) дней письменно известить об этом другую сторону.</w:t>
        <w:br/>
        <w:t>10.5. Настоящий Договор составлен в двух экземплярах, имеющих одинаковую юридическую силу, по одному экземпляру для каждой из сторон.</w:t>
      </w:r>
    </w:p>
    <w:p>
      <w:pPr>
        <w:pStyle w:val="Normal"/>
        <w:numPr>
          <w:ilvl w:val="0"/>
          <w:numId w:val="0"/>
        </w:numPr>
        <w:ind w:left="0" w:hanging="0"/>
        <w:outlineLvl w:val="0"/>
        <w:rPr>
          <w:sz w:val="22"/>
          <w:szCs w:val="22"/>
        </w:rPr>
      </w:pPr>
      <w:r>
        <w:rPr>
          <w:sz w:val="22"/>
          <w:szCs w:val="22"/>
        </w:rPr>
        <w:t xml:space="preserve">10.6. </w:t>
      </w:r>
      <w:r>
        <w:rPr>
          <w:sz w:val="22"/>
          <w:szCs w:val="22"/>
          <w:lang w:val="ru-RU"/>
        </w:rPr>
        <w:t>Приложения:</w:t>
      </w:r>
    </w:p>
    <w:p>
      <w:pPr>
        <w:pStyle w:val="Normal"/>
        <w:numPr>
          <w:ilvl w:val="0"/>
          <w:numId w:val="0"/>
        </w:numPr>
        <w:ind w:left="0" w:hanging="0"/>
        <w:outlineLvl w:val="0"/>
        <w:rPr>
          <w:sz w:val="22"/>
          <w:szCs w:val="22"/>
        </w:rPr>
      </w:pPr>
      <w:r>
        <w:rPr>
          <w:sz w:val="22"/>
          <w:szCs w:val="22"/>
          <w:lang w:val="ru-RU"/>
        </w:rPr>
        <w:t>Приложение №1 — спецификация</w:t>
      </w:r>
    </w:p>
    <w:p>
      <w:pPr>
        <w:pStyle w:val="Normal"/>
        <w:numPr>
          <w:ilvl w:val="0"/>
          <w:numId w:val="0"/>
        </w:numPr>
        <w:ind w:left="0" w:hanging="0"/>
        <w:outlineLvl w:val="0"/>
        <w:rPr>
          <w:lang w:val="ru-RU"/>
        </w:rPr>
      </w:pPr>
      <w:r>
        <w:rPr>
          <w:lang w:val="ru-RU"/>
        </w:rPr>
      </w:r>
    </w:p>
    <w:p>
      <w:pPr>
        <w:pStyle w:val="Normal"/>
        <w:ind w:hanging="0"/>
        <w:jc w:val="center"/>
        <w:rPr>
          <w:sz w:val="22"/>
          <w:szCs w:val="22"/>
        </w:rPr>
      </w:pPr>
      <w:r>
        <w:rPr>
          <w:b/>
          <w:sz w:val="22"/>
          <w:szCs w:val="22"/>
        </w:rPr>
        <w:t>11. Адреса и реквизиты сторон</w:t>
      </w:r>
    </w:p>
    <w:p>
      <w:pPr>
        <w:pStyle w:val="Normal"/>
        <w:ind w:left="708" w:hanging="0"/>
        <w:jc w:val="center"/>
        <w:rPr>
          <w:sz w:val="22"/>
          <w:szCs w:val="22"/>
        </w:rPr>
      </w:pPr>
      <w:r>
        <w:rPr>
          <w:sz w:val="22"/>
          <w:szCs w:val="22"/>
        </w:rPr>
      </w:r>
    </w:p>
    <w:p>
      <w:pPr>
        <w:pStyle w:val="Normal"/>
        <w:rPr>
          <w:sz w:val="22"/>
          <w:szCs w:val="22"/>
        </w:rPr>
      </w:pPr>
      <w:r>
        <w:rPr>
          <w:sz w:val="22"/>
          <w:szCs w:val="22"/>
        </w:rPr>
        <w:t>Поставщик:</w:t>
        <w:tab/>
        <w:tab/>
        <w:tab/>
        <w:tab/>
        <w:tab/>
        <w:tab/>
        <w:t xml:space="preserve">             Покупатель:</w:t>
      </w:r>
    </w:p>
    <w:tbl>
      <w:tblPr>
        <w:tblW w:w="11078" w:type="dxa"/>
        <w:jc w:val="left"/>
        <w:tblInd w:w="-291" w:type="dxa"/>
        <w:tblLayout w:type="fixed"/>
        <w:tblCellMar>
          <w:top w:w="0" w:type="dxa"/>
          <w:left w:w="108" w:type="dxa"/>
          <w:bottom w:w="0" w:type="dxa"/>
          <w:right w:w="108" w:type="dxa"/>
        </w:tblCellMar>
        <w:tblLook w:val="0000"/>
      </w:tblPr>
      <w:tblGrid>
        <w:gridCol w:w="5339"/>
        <w:gridCol w:w="5738"/>
      </w:tblGrid>
      <w:tr>
        <w:trPr>
          <w:trHeight w:val="3601" w:hRule="atLeast"/>
        </w:trPr>
        <w:tc>
          <w:tcPr>
            <w:tcW w:w="5339" w:type="dxa"/>
            <w:tcBorders/>
          </w:tcPr>
          <w:p>
            <w:pPr>
              <w:pStyle w:val="NoSpacing"/>
              <w:widowControl w:val="false"/>
              <w:jc w:val="left"/>
              <w:rPr>
                <w:b/>
                <w:b/>
                <w:bCs/>
                <w:sz w:val="20"/>
                <w:szCs w:val="20"/>
                <w:lang w:val="ru-RU"/>
              </w:rPr>
            </w:pPr>
            <w:r>
              <w:rPr>
                <w:b/>
                <w:bCs/>
                <w:sz w:val="20"/>
                <w:szCs w:val="20"/>
                <w:lang w:val="ru-RU"/>
              </w:rPr>
            </w:r>
          </w:p>
        </w:tc>
        <w:tc>
          <w:tcPr>
            <w:tcW w:w="5738" w:type="dxa"/>
            <w:tcBorders/>
          </w:tcPr>
          <w:p>
            <w:pPr>
              <w:pStyle w:val="Normal"/>
              <w:widowControl w:val="false"/>
              <w:ind w:left="34" w:hanging="0"/>
              <w:rPr>
                <w:sz w:val="22"/>
                <w:szCs w:val="22"/>
              </w:rPr>
            </w:pPr>
            <w:r>
              <w:rPr>
                <w:b/>
                <w:sz w:val="22"/>
                <w:szCs w:val="22"/>
              </w:rPr>
              <w:t>ФГБУЗ  КБ № 8 ФМБА  России</w:t>
            </w:r>
          </w:p>
          <w:p>
            <w:pPr>
              <w:pStyle w:val="Style21"/>
              <w:widowControl w:val="false"/>
              <w:spacing w:before="0" w:after="0"/>
              <w:rPr>
                <w:sz w:val="22"/>
                <w:szCs w:val="22"/>
              </w:rPr>
            </w:pPr>
            <w:r>
              <w:rPr>
                <w:sz w:val="22"/>
                <w:szCs w:val="22"/>
              </w:rPr>
              <w:t>249034, Россия, Калужская обл.</w:t>
            </w:r>
          </w:p>
          <w:p>
            <w:pPr>
              <w:pStyle w:val="Style21"/>
              <w:widowControl w:val="false"/>
              <w:spacing w:before="0" w:after="0"/>
              <w:rPr>
                <w:sz w:val="22"/>
                <w:szCs w:val="22"/>
              </w:rPr>
            </w:pPr>
            <w:r>
              <w:rPr>
                <w:sz w:val="22"/>
                <w:szCs w:val="22"/>
              </w:rPr>
              <w:t>г. Обнинск, пр.Ленина,85</w:t>
            </w:r>
          </w:p>
          <w:p>
            <w:pPr>
              <w:pStyle w:val="Style21"/>
              <w:widowControl w:val="false"/>
              <w:spacing w:before="0" w:after="0"/>
              <w:rPr>
                <w:sz w:val="22"/>
                <w:szCs w:val="22"/>
              </w:rPr>
            </w:pPr>
            <w:r>
              <w:rPr>
                <w:sz w:val="22"/>
                <w:szCs w:val="22"/>
              </w:rPr>
              <w:t>КПП – 402501001</w:t>
            </w:r>
          </w:p>
          <w:p>
            <w:pPr>
              <w:pStyle w:val="Style21"/>
              <w:widowControl w:val="false"/>
              <w:spacing w:before="0" w:after="0"/>
              <w:rPr>
                <w:sz w:val="22"/>
                <w:szCs w:val="22"/>
              </w:rPr>
            </w:pPr>
            <w:r>
              <w:rPr>
                <w:sz w:val="22"/>
                <w:szCs w:val="22"/>
              </w:rPr>
              <w:t>ИНН- 4025002173</w:t>
            </w:r>
          </w:p>
          <w:p>
            <w:pPr>
              <w:pStyle w:val="Style21"/>
              <w:widowControl w:val="false"/>
              <w:spacing w:before="0" w:after="0"/>
              <w:rPr>
                <w:sz w:val="22"/>
                <w:szCs w:val="22"/>
              </w:rPr>
            </w:pPr>
            <w:r>
              <w:rPr>
                <w:sz w:val="22"/>
                <w:szCs w:val="22"/>
              </w:rPr>
              <w:t>ОГРН 1024000940919 ОКТМО 29</w:t>
            </w:r>
            <w:r>
              <w:rPr>
                <w:sz w:val="22"/>
                <w:szCs w:val="22"/>
                <w:lang w:val="en-US"/>
              </w:rPr>
              <w:t> </w:t>
            </w:r>
            <w:r>
              <w:rPr>
                <w:sz w:val="22"/>
                <w:szCs w:val="22"/>
              </w:rPr>
              <w:t>715 000</w:t>
            </w:r>
          </w:p>
          <w:p>
            <w:pPr>
              <w:pStyle w:val="Style21"/>
              <w:widowControl w:val="false"/>
              <w:spacing w:before="0" w:after="0"/>
              <w:rPr>
                <w:sz w:val="22"/>
                <w:szCs w:val="22"/>
              </w:rPr>
            </w:pPr>
            <w:r>
              <w:rPr>
                <w:sz w:val="22"/>
                <w:szCs w:val="22"/>
              </w:rPr>
              <w:t xml:space="preserve">Банк: </w:t>
            </w:r>
            <w:r>
              <w:rPr/>
              <w:t xml:space="preserve">ОКЦ №9 ГУ Банка России </w:t>
            </w:r>
            <w:r>
              <w:rPr>
                <w:lang w:val="ru-RU"/>
              </w:rPr>
              <w:t>п</w:t>
            </w:r>
            <w:r>
              <w:rPr/>
              <w:t>о ЦФО</w:t>
            </w:r>
            <w:r>
              <w:rPr>
                <w:sz w:val="22"/>
                <w:szCs w:val="22"/>
              </w:rPr>
              <w:t>//УФК по Калужской области г. Калуга</w:t>
            </w:r>
          </w:p>
          <w:p>
            <w:pPr>
              <w:pStyle w:val="Style21"/>
              <w:widowControl w:val="false"/>
              <w:spacing w:before="0" w:after="0"/>
              <w:rPr>
                <w:sz w:val="22"/>
                <w:szCs w:val="22"/>
              </w:rPr>
            </w:pPr>
            <w:r>
              <w:rPr>
                <w:sz w:val="22"/>
                <w:szCs w:val="22"/>
              </w:rPr>
              <w:t>Казначейский счет– 03214643000000013700 (УФК по Калужской области)</w:t>
            </w:r>
          </w:p>
          <w:p>
            <w:pPr>
              <w:pStyle w:val="Style21"/>
              <w:widowControl w:val="false"/>
              <w:spacing w:before="0" w:after="0"/>
              <w:rPr>
                <w:sz w:val="22"/>
                <w:szCs w:val="22"/>
              </w:rPr>
            </w:pPr>
            <w:r>
              <w:rPr>
                <w:sz w:val="22"/>
                <w:szCs w:val="22"/>
              </w:rPr>
              <w:t>л/с 22376У24990,21376У24990,20376У24990</w:t>
            </w:r>
          </w:p>
          <w:p>
            <w:pPr>
              <w:pStyle w:val="Style21"/>
              <w:widowControl w:val="false"/>
              <w:spacing w:before="0" w:after="0"/>
              <w:rPr>
                <w:sz w:val="22"/>
                <w:szCs w:val="22"/>
              </w:rPr>
            </w:pPr>
            <w:r>
              <w:rPr>
                <w:sz w:val="22"/>
                <w:szCs w:val="22"/>
              </w:rPr>
              <w:t>Единый казначейский счет 40102810045370000030</w:t>
            </w:r>
          </w:p>
          <w:p>
            <w:pPr>
              <w:pStyle w:val="Style21"/>
              <w:widowControl w:val="false"/>
              <w:spacing w:before="0" w:after="0"/>
              <w:rPr>
                <w:sz w:val="22"/>
                <w:szCs w:val="22"/>
              </w:rPr>
            </w:pPr>
            <w:r>
              <w:rPr>
                <w:sz w:val="22"/>
                <w:szCs w:val="22"/>
              </w:rPr>
              <w:t>БИК ТОФК- 012908002</w:t>
            </w:r>
          </w:p>
          <w:p>
            <w:pPr>
              <w:pStyle w:val="Style21"/>
              <w:widowControl w:val="false"/>
              <w:spacing w:before="0" w:after="0"/>
              <w:jc w:val="both"/>
              <w:rPr>
                <w:sz w:val="22"/>
                <w:szCs w:val="22"/>
              </w:rPr>
            </w:pPr>
            <w:r>
              <w:rPr>
                <w:bCs/>
                <w:sz w:val="22"/>
                <w:szCs w:val="22"/>
              </w:rPr>
              <w:t>Тел. (48439) 6-85-85, 6-17-05 факс (48439) 6-17-05</w:t>
            </w:r>
          </w:p>
          <w:p>
            <w:pPr>
              <w:pStyle w:val="Normal"/>
              <w:widowControl w:val="false"/>
              <w:rPr>
                <w:rFonts w:cs="Times New Roman"/>
                <w:sz w:val="20"/>
                <w:szCs w:val="20"/>
              </w:rPr>
            </w:pPr>
            <w:r>
              <w:rPr>
                <w:rFonts w:cs="Times New Roman"/>
                <w:sz w:val="20"/>
                <w:szCs w:val="20"/>
              </w:rPr>
              <w:t>e-mail: kb8.obninsk@gmail.com</w:t>
            </w:r>
          </w:p>
          <w:p>
            <w:pPr>
              <w:pStyle w:val="Normal"/>
              <w:keepNext w:val="true"/>
              <w:widowControl w:val="false"/>
              <w:snapToGrid w:val="false"/>
              <w:jc w:val="both"/>
              <w:rPr>
                <w:rFonts w:cs="Times New Roman"/>
                <w:sz w:val="20"/>
                <w:szCs w:val="20"/>
              </w:rPr>
            </w:pPr>
            <w:r>
              <w:rPr>
                <w:rFonts w:cs="Times New Roman"/>
                <w:bCs/>
                <w:sz w:val="20"/>
                <w:szCs w:val="20"/>
              </w:rPr>
              <w:t>e-mail: kb8.ks@mail.ru</w:t>
            </w:r>
          </w:p>
        </w:tc>
      </w:tr>
      <w:tr>
        <w:trPr>
          <w:trHeight w:val="1296" w:hRule="atLeast"/>
        </w:trPr>
        <w:tc>
          <w:tcPr>
            <w:tcW w:w="5339"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t>_____________/</w:t>
            </w:r>
            <w:r>
              <w:rPr>
                <w:rFonts w:cs="Times New Roman"/>
                <w:b/>
                <w:bCs/>
              </w:rPr>
              <w:t xml:space="preserve">                         </w:t>
            </w:r>
            <w:r>
              <w:rPr>
                <w:rFonts w:cs="Times New Roman"/>
              </w:rPr>
              <w:t>/</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8"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b/>
          <w:sz w:val="22"/>
          <w:szCs w:val="22"/>
        </w:rPr>
        <w:t xml:space="preserve">Приложение №1 </w:t>
      </w:r>
    </w:p>
    <w:p>
      <w:pPr>
        <w:pStyle w:val="Normal"/>
        <w:tabs>
          <w:tab w:val="clear" w:pos="706"/>
          <w:tab w:val="left" w:pos="1560" w:leader="none"/>
        </w:tabs>
        <w:jc w:val="right"/>
        <w:rPr>
          <w:sz w:val="22"/>
          <w:szCs w:val="22"/>
        </w:rPr>
      </w:pPr>
      <w:r>
        <w:rPr>
          <w:b/>
          <w:sz w:val="22"/>
          <w:szCs w:val="22"/>
        </w:rPr>
        <w:t>к Договору 1</w:t>
      </w:r>
      <w:r>
        <w:rPr>
          <w:b/>
          <w:sz w:val="22"/>
          <w:szCs w:val="22"/>
        </w:rPr>
        <w:t>80</w:t>
      </w:r>
      <w:r>
        <w:rPr>
          <w:b/>
          <w:sz w:val="22"/>
          <w:szCs w:val="22"/>
          <w:lang w:val="ru-RU"/>
        </w:rPr>
        <w:t>-26</w:t>
      </w:r>
      <w:r>
        <w:rPr>
          <w:b/>
          <w:sz w:val="22"/>
          <w:szCs w:val="22"/>
        </w:rPr>
        <w:t>-</w:t>
      </w:r>
      <w:r>
        <w:rPr>
          <w:b/>
          <w:sz w:val="22"/>
          <w:szCs w:val="22"/>
          <w:lang w:val="ru-RU"/>
        </w:rPr>
        <w:t>МЗ</w:t>
      </w:r>
    </w:p>
    <w:p>
      <w:pPr>
        <w:pStyle w:val="Normal"/>
        <w:jc w:val="right"/>
        <w:rPr>
          <w:sz w:val="22"/>
          <w:szCs w:val="22"/>
        </w:rPr>
      </w:pPr>
      <w:r>
        <w:rPr>
          <w:b/>
          <w:sz w:val="22"/>
          <w:szCs w:val="22"/>
        </w:rPr>
        <w:t>от ____________</w:t>
      </w:r>
      <w:r>
        <w:rPr>
          <w:b/>
          <w:sz w:val="22"/>
          <w:szCs w:val="22"/>
          <w:lang w:val="ru-RU"/>
        </w:rPr>
        <w:t>2026</w:t>
      </w:r>
      <w:r>
        <w:rPr>
          <w:b/>
          <w:sz w:val="22"/>
          <w:szCs w:val="22"/>
        </w:rPr>
        <w:t xml:space="preserve"> года.</w:t>
      </w:r>
    </w:p>
    <w:p>
      <w:pPr>
        <w:pStyle w:val="Normal"/>
        <w:jc w:val="center"/>
        <w:rPr>
          <w:sz w:val="22"/>
          <w:szCs w:val="22"/>
        </w:rPr>
      </w:pPr>
      <w:r>
        <w:rPr>
          <w:b/>
          <w:sz w:val="22"/>
          <w:szCs w:val="22"/>
        </w:rPr>
        <w:t>СПЕЦИФИКАЦИЯ</w:t>
      </w:r>
    </w:p>
    <w:p>
      <w:pPr>
        <w:pStyle w:val="Normal"/>
        <w:jc w:val="center"/>
        <w:rPr>
          <w:b/>
          <w:b/>
          <w:sz w:val="22"/>
          <w:szCs w:val="22"/>
        </w:rPr>
      </w:pPr>
      <w:r>
        <w:rPr>
          <w:b/>
          <w:sz w:val="22"/>
          <w:szCs w:val="22"/>
        </w:rPr>
      </w:r>
    </w:p>
    <w:tbl>
      <w:tblPr>
        <w:tblW w:w="10200" w:type="dxa"/>
        <w:jc w:val="left"/>
        <w:tblInd w:w="55" w:type="dxa"/>
        <w:tblLayout w:type="fixed"/>
        <w:tblCellMar>
          <w:top w:w="55" w:type="dxa"/>
          <w:left w:w="55" w:type="dxa"/>
          <w:bottom w:w="55" w:type="dxa"/>
          <w:right w:w="55" w:type="dxa"/>
        </w:tblCellMar>
      </w:tblPr>
      <w:tblGrid>
        <w:gridCol w:w="510"/>
        <w:gridCol w:w="4529"/>
        <w:gridCol w:w="1086"/>
        <w:gridCol w:w="730"/>
        <w:gridCol w:w="1139"/>
        <w:gridCol w:w="855"/>
        <w:gridCol w:w="1350"/>
      </w:tblGrid>
      <w:tr>
        <w:trPr/>
        <w:tc>
          <w:tcPr>
            <w:tcW w:w="510" w:type="dxa"/>
            <w:tcBorders>
              <w:top w:val="single" w:sz="2" w:space="0" w:color="000000"/>
              <w:left w:val="single" w:sz="2" w:space="0" w:color="000000"/>
              <w:bottom w:val="single" w:sz="2" w:space="0" w:color="000000"/>
            </w:tcBorders>
          </w:tcPr>
          <w:p>
            <w:pPr>
              <w:pStyle w:val="3"/>
              <w:widowControl w:val="false"/>
              <w:numPr>
                <w:ilvl w:val="2"/>
                <w:numId w:val="2"/>
              </w:numPr>
              <w:spacing w:before="140" w:after="120"/>
              <w:jc w:val="center"/>
              <w:rPr>
                <w:rFonts w:ascii="Times New Roman" w:hAnsi="Times New Roman"/>
                <w:b/>
                <w:b/>
                <w:bCs/>
                <w:sz w:val="24"/>
                <w:szCs w:val="24"/>
              </w:rPr>
            </w:pPr>
            <w:r>
              <w:rPr>
                <w:rFonts w:ascii="Times New Roman" w:hAnsi="Times New Roman"/>
                <w:b/>
                <w:bCs/>
                <w:sz w:val="24"/>
                <w:szCs w:val="24"/>
              </w:rPr>
              <w:t>№</w:t>
            </w:r>
          </w:p>
        </w:tc>
        <w:tc>
          <w:tcPr>
            <w:tcW w:w="4529"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b/>
                <w:b/>
                <w:bCs/>
                <w:sz w:val="24"/>
                <w:szCs w:val="24"/>
              </w:rPr>
            </w:pPr>
            <w:r>
              <w:rPr>
                <w:rFonts w:eastAsia="Times New Roman" w:cs="Arial"/>
                <w:b/>
                <w:bCs/>
                <w:kern w:val="0"/>
                <w:sz w:val="24"/>
                <w:szCs w:val="24"/>
                <w:lang w:val="ru-RU" w:eastAsia="ru-RU" w:bidi="ar-SA"/>
              </w:rPr>
              <w:t>Наименование товара, товарный знак, характеристики товара</w:t>
            </w:r>
          </w:p>
        </w:tc>
        <w:tc>
          <w:tcPr>
            <w:tcW w:w="1086"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Кол-во</w:t>
            </w:r>
          </w:p>
        </w:tc>
        <w:tc>
          <w:tcPr>
            <w:tcW w:w="730"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Ед. изм.</w:t>
            </w:r>
          </w:p>
        </w:tc>
        <w:tc>
          <w:tcPr>
            <w:tcW w:w="1139"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Цена, руб</w:t>
            </w:r>
          </w:p>
        </w:tc>
        <w:tc>
          <w:tcPr>
            <w:tcW w:w="855"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b/>
                <w:b/>
                <w:bCs/>
                <w:sz w:val="24"/>
                <w:szCs w:val="24"/>
                <w:lang w:val="ru-RU"/>
              </w:rPr>
            </w:pPr>
            <w:r>
              <w:rPr>
                <w:b/>
                <w:bCs/>
                <w:sz w:val="24"/>
                <w:szCs w:val="24"/>
                <w:lang w:val="ru-RU"/>
              </w:rPr>
              <w:t>НДС, руб</w:t>
            </w:r>
          </w:p>
        </w:tc>
        <w:tc>
          <w:tcPr>
            <w:tcW w:w="13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Сумма, итого</w:t>
            </w:r>
          </w:p>
        </w:tc>
      </w:tr>
      <w:tr>
        <w:trPr/>
        <w:tc>
          <w:tcPr>
            <w:tcW w:w="510" w:type="dxa"/>
            <w:tcBorders>
              <w:left w:val="single" w:sz="2" w:space="0" w:color="000000"/>
              <w:bottom w:val="single" w:sz="2" w:space="0" w:color="000000"/>
            </w:tcBorders>
          </w:tcPr>
          <w:p>
            <w:pPr>
              <w:pStyle w:val="Style25"/>
              <w:widowControl w:val="false"/>
              <w:rPr/>
            </w:pPr>
            <w:r>
              <w:rPr/>
              <w:t>1.</w:t>
            </w:r>
          </w:p>
        </w:tc>
        <w:tc>
          <w:tcPr>
            <w:tcW w:w="4529" w:type="dxa"/>
            <w:tcBorders>
              <w:left w:val="single" w:sz="2" w:space="0" w:color="000000"/>
              <w:bottom w:val="single" w:sz="2" w:space="0" w:color="000000"/>
            </w:tcBorders>
          </w:tcPr>
          <w:p>
            <w:pPr>
              <w:pStyle w:val="Normal"/>
              <w:widowControl w:val="false"/>
              <w:bidi w:val="0"/>
              <w:jc w:val="left"/>
              <w:rPr>
                <w:rFonts w:eastAsia="Times New Roman" w:cs="Times New Roman"/>
                <w:iCs/>
                <w:lang w:val="ru-RU" w:eastAsia="ru-RU"/>
              </w:rPr>
            </w:pPr>
            <w:r>
              <w:rPr>
                <w:rFonts w:eastAsia="Times New Roman" w:cs="Times New Roman"/>
                <w:iCs/>
                <w:lang w:val="ru-RU" w:eastAsia="ru-RU"/>
              </w:rPr>
            </w:r>
          </w:p>
          <w:p>
            <w:pPr>
              <w:pStyle w:val="Normal"/>
              <w:widowControl w:val="false"/>
              <w:rPr>
                <w:rFonts w:ascii="Times New Roman" w:hAnsi="Times New Roman" w:eastAsia="Times New Roman" w:cs="Times New Roman"/>
                <w:iCs/>
                <w:sz w:val="24"/>
                <w:szCs w:val="24"/>
                <w:lang w:val="ru-RU" w:eastAsia="ru-RU"/>
              </w:rPr>
            </w:pPr>
            <w:r>
              <w:rPr>
                <w:rFonts w:eastAsia="Times New Roman" w:cs="Times New Roman"/>
                <w:iCs/>
                <w:sz w:val="24"/>
                <w:szCs w:val="24"/>
                <w:lang w:val="ru-RU" w:eastAsia="ru-RU"/>
              </w:rPr>
              <w:t xml:space="preserve">Адаптер </w:t>
            </w:r>
            <w:r>
              <w:rPr>
                <w:rFonts w:eastAsia="Times New Roman" w:cs="Times New Roman"/>
                <w:iCs/>
                <w:sz w:val="24"/>
                <w:szCs w:val="24"/>
                <w:lang w:val="en-US" w:eastAsia="ru-RU"/>
              </w:rPr>
              <w:t>BPL</w:t>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1</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r>
        <w:trPr/>
        <w:tc>
          <w:tcPr>
            <w:tcW w:w="510" w:type="dxa"/>
            <w:tcBorders>
              <w:left w:val="single" w:sz="2" w:space="0" w:color="000000"/>
              <w:bottom w:val="single" w:sz="2" w:space="0" w:color="000000"/>
            </w:tcBorders>
          </w:tcPr>
          <w:p>
            <w:pPr>
              <w:pStyle w:val="Style25"/>
              <w:widowControl w:val="false"/>
              <w:rPr/>
            </w:pPr>
            <w:r>
              <w:rPr/>
              <w:t>2.</w:t>
            </w:r>
          </w:p>
        </w:tc>
        <w:tc>
          <w:tcPr>
            <w:tcW w:w="4529" w:type="dxa"/>
            <w:tcBorders>
              <w:left w:val="single" w:sz="2" w:space="0" w:color="000000"/>
              <w:bottom w:val="single" w:sz="2" w:space="0" w:color="000000"/>
            </w:tcBorders>
          </w:tcPr>
          <w:p>
            <w:pPr>
              <w:pStyle w:val="Normal"/>
              <w:widowControl w:val="false"/>
              <w:bidi w:val="0"/>
              <w:jc w:val="left"/>
              <w:rPr>
                <w:rFonts w:eastAsia="Times New Roman" w:cs="Times New Roman"/>
                <w:iCs/>
                <w:lang w:val="ru-RU" w:eastAsia="ru-RU"/>
              </w:rPr>
            </w:pPr>
            <w:r>
              <w:rPr>
                <w:rFonts w:eastAsia="Times New Roman" w:cs="Times New Roman"/>
                <w:iCs/>
                <w:lang w:val="ru-RU" w:eastAsia="ru-RU"/>
              </w:rPr>
              <w:t>Вкладыш направитель</w:t>
            </w:r>
          </w:p>
        </w:tc>
        <w:tc>
          <w:tcPr>
            <w:tcW w:w="1086" w:type="dxa"/>
            <w:tcBorders>
              <w:left w:val="single" w:sz="2" w:space="0" w:color="000000"/>
              <w:bottom w:val="single" w:sz="2" w:space="0" w:color="000000"/>
            </w:tcBorders>
          </w:tcPr>
          <w:p>
            <w:pPr>
              <w:pStyle w:val="Style25"/>
              <w:widowControl w:val="false"/>
              <w:jc w:val="center"/>
              <w:rPr>
                <w:lang w:val="en-US"/>
              </w:rPr>
            </w:pPr>
            <w:r>
              <w:rPr>
                <w:lang w:val="en-US"/>
              </w:rPr>
              <w:t>1</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bl>
    <w:p>
      <w:pPr>
        <w:pStyle w:val="Normal"/>
        <w:jc w:val="center"/>
        <w:rPr>
          <w:b/>
          <w:b/>
          <w:sz w:val="22"/>
          <w:szCs w:val="22"/>
        </w:rPr>
      </w:pPr>
      <w:r>
        <w:rPr>
          <w:b/>
          <w:sz w:val="22"/>
          <w:szCs w:val="22"/>
        </w:rPr>
      </w:r>
    </w:p>
    <w:tbl>
      <w:tblPr>
        <w:tblW w:w="10436" w:type="dxa"/>
        <w:jc w:val="left"/>
        <w:tblInd w:w="0" w:type="dxa"/>
        <w:tblLayout w:type="fixed"/>
        <w:tblCellMar>
          <w:top w:w="0" w:type="dxa"/>
          <w:left w:w="30" w:type="dxa"/>
          <w:bottom w:w="0" w:type="dxa"/>
          <w:right w:w="0" w:type="dxa"/>
        </w:tblCellMar>
        <w:tblLook w:val="04a0"/>
      </w:tblPr>
      <w:tblGrid>
        <w:gridCol w:w="10436"/>
      </w:tblGrid>
      <w:tr>
        <w:trPr/>
        <w:tc>
          <w:tcPr>
            <w:tcW w:w="10436" w:type="dxa"/>
            <w:tcBorders/>
          </w:tcPr>
          <w:p>
            <w:pPr>
              <w:pStyle w:val="Normal"/>
              <w:widowControl w:val="false"/>
              <w:jc w:val="both"/>
              <w:rPr>
                <w:rFonts w:cs="Times New Roman"/>
              </w:rPr>
            </w:pPr>
            <w:r>
              <w:rPr>
                <w:rFonts w:cs="Times New Roman"/>
                <w:sz w:val="22"/>
                <w:szCs w:val="22"/>
              </w:rPr>
              <w:t xml:space="preserve"> </w:t>
            </w:r>
            <w:r>
              <w:rPr>
                <w:rFonts w:cs="Times New Roman"/>
                <w:sz w:val="22"/>
                <w:szCs w:val="22"/>
                <w:lang w:val="ru-RU"/>
              </w:rPr>
              <w:t>Итого: .</w:t>
            </w:r>
          </w:p>
        </w:tc>
      </w:tr>
    </w:tbl>
    <w:p>
      <w:pPr>
        <w:pStyle w:val="Normal"/>
        <w:widowControl/>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bl>
      <w:tblPr>
        <w:tblW w:w="9660" w:type="dxa"/>
        <w:jc w:val="left"/>
        <w:tblInd w:w="21" w:type="dxa"/>
        <w:tblLayout w:type="fixed"/>
        <w:tblCellMar>
          <w:top w:w="0" w:type="dxa"/>
          <w:left w:w="30" w:type="dxa"/>
          <w:bottom w:w="0" w:type="dxa"/>
          <w:right w:w="0" w:type="dxa"/>
        </w:tblCellMar>
        <w:tblLook w:val="04a0"/>
      </w:tblPr>
      <w:tblGrid>
        <w:gridCol w:w="56"/>
        <w:gridCol w:w="274"/>
        <w:gridCol w:w="266"/>
        <w:gridCol w:w="284"/>
        <w:gridCol w:w="275"/>
        <w:gridCol w:w="255"/>
        <w:gridCol w:w="266"/>
        <w:gridCol w:w="274"/>
        <w:gridCol w:w="266"/>
        <w:gridCol w:w="274"/>
        <w:gridCol w:w="255"/>
        <w:gridCol w:w="266"/>
        <w:gridCol w:w="256"/>
        <w:gridCol w:w="278"/>
        <w:gridCol w:w="255"/>
        <w:gridCol w:w="262"/>
        <w:gridCol w:w="256"/>
        <w:gridCol w:w="277"/>
        <w:gridCol w:w="255"/>
        <w:gridCol w:w="255"/>
        <w:gridCol w:w="254"/>
        <w:gridCol w:w="266"/>
        <w:gridCol w:w="244"/>
        <w:gridCol w:w="267"/>
        <w:gridCol w:w="245"/>
        <w:gridCol w:w="256"/>
        <w:gridCol w:w="257"/>
        <w:gridCol w:w="255"/>
        <w:gridCol w:w="255"/>
        <w:gridCol w:w="255"/>
        <w:gridCol w:w="255"/>
        <w:gridCol w:w="255"/>
        <w:gridCol w:w="240"/>
        <w:gridCol w:w="256"/>
        <w:gridCol w:w="229"/>
        <w:gridCol w:w="255"/>
        <w:gridCol w:w="254"/>
        <w:gridCol w:w="256"/>
        <w:gridCol w:w="1"/>
      </w:tblGrid>
      <w:tr>
        <w:trPr/>
        <w:tc>
          <w:tcPr>
            <w:tcW w:w="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8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8"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2"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7"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7"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7"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0"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29"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 w:type="dxa"/>
            <w:tcBorders/>
          </w:tcPr>
          <w:p>
            <w:pPr>
              <w:pStyle w:val="Normal"/>
              <w:widowControl w:val="false"/>
              <w:rPr>
                <w:sz w:val="22"/>
                <w:szCs w:val="22"/>
              </w:rPr>
            </w:pPr>
            <w:r>
              <w:rPr>
                <w:sz w:val="22"/>
                <w:szCs w:val="22"/>
              </w:rPr>
            </w:r>
          </w:p>
        </w:tc>
      </w:tr>
      <w:tr>
        <w:trPr>
          <w:trHeight w:val="255" w:hRule="atLeast"/>
        </w:trPr>
        <w:tc>
          <w:tcPr>
            <w:tcW w:w="56"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vAlign w:val="center"/>
          </w:tcPr>
          <w:p>
            <w:pPr>
              <w:pStyle w:val="Normal"/>
              <w:widowControl w:val="false"/>
              <w:suppressAutoHyphens w:val="false"/>
              <w:overflowPunct w:val="false"/>
              <w:rPr>
                <w:sz w:val="22"/>
                <w:szCs w:val="22"/>
              </w:rPr>
            </w:pPr>
            <w:r>
              <w:rPr>
                <w:sz w:val="22"/>
                <w:szCs w:val="22"/>
              </w:rPr>
            </w:r>
          </w:p>
        </w:tc>
        <w:tc>
          <w:tcPr>
            <w:tcW w:w="1"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r>
        <w:trPr>
          <w:trHeight w:val="300" w:hRule="atLeast"/>
        </w:trPr>
        <w:tc>
          <w:tcPr>
            <w:tcW w:w="56"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tcPr>
          <w:p>
            <w:pPr>
              <w:pStyle w:val="Normal"/>
              <w:widowControl w:val="false"/>
              <w:suppressAutoHyphens w:val="false"/>
              <w:overflowPunct w:val="false"/>
              <w:rPr>
                <w:sz w:val="22"/>
                <w:szCs w:val="22"/>
              </w:rPr>
            </w:pPr>
            <w:r>
              <w:rPr>
                <w:sz w:val="22"/>
                <w:szCs w:val="22"/>
              </w:rPr>
            </w:r>
          </w:p>
        </w:tc>
        <w:tc>
          <w:tcPr>
            <w:tcW w:w="1"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bl>
    <w:p>
      <w:pPr>
        <w:pStyle w:val="Normal"/>
        <w:jc w:val="both"/>
        <w:rPr>
          <w:b/>
          <w:b/>
          <w:sz w:val="22"/>
          <w:szCs w:val="22"/>
        </w:rPr>
      </w:pPr>
      <w:r>
        <w:rPr>
          <w:b/>
          <w:sz w:val="22"/>
          <w:szCs w:val="22"/>
        </w:rPr>
      </w:r>
    </w:p>
    <w:tbl>
      <w:tblPr>
        <w:tblW w:w="11078" w:type="dxa"/>
        <w:jc w:val="left"/>
        <w:tblInd w:w="-291" w:type="dxa"/>
        <w:tblLayout w:type="fixed"/>
        <w:tblCellMar>
          <w:top w:w="0" w:type="dxa"/>
          <w:left w:w="108" w:type="dxa"/>
          <w:bottom w:w="0" w:type="dxa"/>
          <w:right w:w="108" w:type="dxa"/>
        </w:tblCellMar>
        <w:tblLook w:val="0000"/>
      </w:tblPr>
      <w:tblGrid>
        <w:gridCol w:w="5338"/>
        <w:gridCol w:w="5739"/>
      </w:tblGrid>
      <w:tr>
        <w:trPr>
          <w:trHeight w:val="1296" w:hRule="atLeast"/>
        </w:trPr>
        <w:tc>
          <w:tcPr>
            <w:tcW w:w="5338"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t>_____________//</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9"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Calibri">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282c"/>
    <w:pPr>
      <w:widowControl w:val="false"/>
      <w:suppressAutoHyphens w:val="true"/>
      <w:overflowPunct w:val="tru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1" w:customStyle="1">
    <w:name w:val="Heading 1"/>
    <w:basedOn w:val="Normal"/>
    <w:next w:val="Normal"/>
    <w:qFormat/>
    <w:rsid w:val="0070282c"/>
    <w:pPr>
      <w:keepNext w:val="true"/>
      <w:spacing w:lineRule="atLeast" w:line="240"/>
      <w:jc w:val="center"/>
      <w:outlineLvl w:val="0"/>
    </w:pPr>
    <w:rPr>
      <w:b/>
      <w:sz w:val="28"/>
      <w:lang w:val="ru-RU"/>
    </w:rPr>
  </w:style>
  <w:style w:type="paragraph" w:styleId="3">
    <w:name w:val="Heading 3"/>
    <w:basedOn w:val="Style20"/>
    <w:next w:val="Style21"/>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rsid w:val="0070282c"/>
    <w:rPr>
      <w:color w:val="0563C1"/>
      <w:u w:val="single"/>
    </w:rPr>
  </w:style>
  <w:style w:type="character" w:styleId="Style13" w:customStyle="1">
    <w:name w:val="Посещённая гиперссылка"/>
    <w:rsid w:val="0070282c"/>
    <w:rPr>
      <w:color w:val="800080"/>
      <w:u w:val="single"/>
    </w:rPr>
  </w:style>
  <w:style w:type="character" w:styleId="Style14" w:customStyle="1">
    <w:name w:val="Основной текст с отступом Знак"/>
    <w:basedOn w:val="DefaultParagraphFont"/>
    <w:uiPriority w:val="99"/>
    <w:semiHidden/>
    <w:qFormat/>
    <w:rsid w:val="00f134c1"/>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1">
    <w:name w:val="WW8Num4z1"/>
    <w:qFormat/>
    <w:rPr>
      <w:rFonts w:ascii="Times New Roman" w:hAnsi="Times New Roman" w:cs="Times New Roman"/>
      <w:b w:val="false"/>
      <w:i w:val="false"/>
      <w:color w:val="000000"/>
      <w:sz w:val="22"/>
      <w:szCs w:val="22"/>
    </w:rPr>
  </w:style>
  <w:style w:type="character" w:styleId="WW8Num4z0">
    <w:name w:val="WW8Num4z0"/>
    <w:qFormat/>
    <w:rPr>
      <w:rFonts w:cs="Times New Roman"/>
    </w:rPr>
  </w:style>
  <w:style w:type="character" w:styleId="FootnoteTextChar">
    <w:name w:val="Footnote Text Char"/>
    <w:qFormat/>
    <w:rPr>
      <w:rFonts w:cs="Times New Roman"/>
    </w:rPr>
  </w:style>
  <w:style w:type="character" w:styleId="SubtitleChar">
    <w:name w:val="Subtitle Char"/>
    <w:qFormat/>
    <w:rPr>
      <w:rFonts w:ascii="Cambria" w:hAnsi="Cambria" w:cs="Cambria"/>
      <w:sz w:val="24"/>
      <w:lang w:bidi="ar-SA"/>
    </w:rPr>
  </w:style>
  <w:style w:type="character" w:styleId="TitleChar">
    <w:name w:val="Title Char"/>
    <w:qFormat/>
    <w:rPr>
      <w:rFonts w:ascii="Cambria" w:hAnsi="Cambria" w:cs="Cambria"/>
      <w:b/>
      <w:kern w:val="2"/>
      <w:sz w:val="32"/>
    </w:rPr>
  </w:style>
  <w:style w:type="character" w:styleId="Blk">
    <w:name w:val="blk"/>
    <w:qFormat/>
    <w:rPr/>
  </w:style>
  <w:style w:type="character" w:styleId="ConsPlusNormal">
    <w:name w:val="ConsPlusNormal Знак"/>
    <w:qFormat/>
    <w:rPr>
      <w:rFonts w:ascii="Arial" w:hAnsi="Arial" w:cs="Arial"/>
      <w:lang w:val="ru-RU" w:bidi="ar-SA"/>
    </w:rPr>
  </w:style>
  <w:style w:type="character" w:styleId="31">
    <w:name w:val="Основной шрифт абзаца3"/>
    <w:qFormat/>
    <w:rPr>
      <w:sz w:val="24"/>
    </w:rPr>
  </w:style>
  <w:style w:type="character" w:styleId="D6e2e5f2eee2eee5e2fbe4e5ebe5ede8e5">
    <w:name w:val="Цd6вe2еe5тf2оeeвe2оeeеe5 вe2ыfbдe4еe5лebеe5нedиe8еe5"/>
    <w:qFormat/>
    <w:rPr>
      <w:rFonts w:ascii="Times New Roman" w:hAnsi="Times New Roman" w:cs="Times New Roman"/>
      <w:b/>
      <w:color w:val="26282F"/>
    </w:rPr>
  </w:style>
  <w:style w:type="character" w:styleId="Style15">
    <w:name w:val="Гиперссылка"/>
    <w:qFormat/>
    <w:rPr>
      <w:rFonts w:cs="Times New Roman"/>
      <w:color w:val="0000FF"/>
      <w:u w:val="single"/>
    </w:rPr>
  </w:style>
  <w:style w:type="character" w:styleId="Style16">
    <w:name w:val="Знак Знак"/>
    <w:qFormat/>
    <w:rPr>
      <w:rFonts w:ascii="Tahoma" w:hAnsi="Tahoma" w:cs="Tahoma"/>
      <w:sz w:val="16"/>
      <w:szCs w:val="16"/>
    </w:rPr>
  </w:style>
  <w:style w:type="character" w:styleId="11">
    <w:name w:val="Знак Знак1"/>
    <w:qFormat/>
    <w:rPr>
      <w:rFonts w:ascii="Times New Roman" w:hAnsi="Times New Roman" w:cs="Times New Roman"/>
      <w:sz w:val="20"/>
      <w:szCs w:val="20"/>
    </w:rPr>
  </w:style>
  <w:style w:type="character" w:styleId="Style17">
    <w:name w:val="Знак примечания"/>
    <w:qFormat/>
    <w:rPr>
      <w:rFonts w:cs="Times New Roman"/>
      <w:sz w:val="16"/>
      <w:szCs w:val="16"/>
    </w:rPr>
  </w:style>
  <w:style w:type="character" w:styleId="2">
    <w:name w:val="Знак Знак2"/>
    <w:qFormat/>
    <w:rPr>
      <w:rFonts w:ascii="Times New Roman" w:hAnsi="Times New Roman" w:cs="Times New Roman"/>
    </w:rPr>
  </w:style>
  <w:style w:type="character" w:styleId="32">
    <w:name w:val="Знак Знак3"/>
    <w:qFormat/>
    <w:rPr>
      <w:rFonts w:ascii="Times New Roman" w:hAnsi="Times New Roman" w:cs="Times New Roman"/>
      <w:sz w:val="22"/>
      <w:szCs w:val="22"/>
    </w:rPr>
  </w:style>
  <w:style w:type="character" w:styleId="4">
    <w:name w:val="Знак Знак4"/>
    <w:qFormat/>
    <w:rPr>
      <w:rFonts w:ascii="Cambria" w:hAnsi="Cambria" w:eastAsia="Times New Roman" w:cs="Times New Roman"/>
      <w:b/>
      <w:bCs/>
      <w:sz w:val="32"/>
      <w:szCs w:val="32"/>
    </w:rPr>
  </w:style>
  <w:style w:type="character" w:styleId="WW">
    <w:name w:val="WW-Символ концевой сноски"/>
    <w:qFormat/>
    <w:rPr/>
  </w:style>
  <w:style w:type="character" w:styleId="WW1">
    <w:name w:val="WW-Символ сноски"/>
    <w:qFormat/>
    <w:rPr/>
  </w:style>
  <w:style w:type="character" w:styleId="FootnoteCharacters">
    <w:name w:val="Footnote Characters"/>
    <w:qFormat/>
    <w:rPr>
      <w:vertAlign w:val="superscript"/>
    </w:rPr>
  </w:style>
  <w:style w:type="character" w:styleId="Style18">
    <w:name w:val="Текст сноски Знак"/>
    <w:qFormat/>
    <w:rPr>
      <w:rFonts w:ascii="Times New Roman" w:hAnsi="Times New Roman" w:cs="Times New Roman"/>
      <w:sz w:val="20"/>
      <w:szCs w:val="20"/>
    </w:rPr>
  </w:style>
  <w:style w:type="character" w:styleId="Style19">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0">
    <w:name w:val="WW8Num1z0"/>
    <w:qFormat/>
    <w:rPr>
      <w:rFonts w:cs="Times New Roman"/>
    </w:rPr>
  </w:style>
  <w:style w:type="paragraph" w:styleId="Style20" w:customStyle="1">
    <w:name w:val="Заголовок"/>
    <w:basedOn w:val="Normal"/>
    <w:next w:val="Style21"/>
    <w:qFormat/>
    <w:rsid w:val="0070282c"/>
    <w:pPr>
      <w:keepNext w:val="true"/>
      <w:spacing w:before="240" w:after="120"/>
    </w:pPr>
    <w:rPr>
      <w:rFonts w:ascii="Arial" w:hAnsi="Arial"/>
      <w:sz w:val="28"/>
      <w:szCs w:val="28"/>
    </w:rPr>
  </w:style>
  <w:style w:type="paragraph" w:styleId="Style21">
    <w:name w:val="Body Text"/>
    <w:basedOn w:val="Normal"/>
    <w:rsid w:val="0070282c"/>
    <w:pPr>
      <w:spacing w:before="0" w:after="120"/>
    </w:pPr>
    <w:rPr/>
  </w:style>
  <w:style w:type="paragraph" w:styleId="Style22">
    <w:name w:val="List"/>
    <w:basedOn w:val="Style21"/>
    <w:rsid w:val="0070282c"/>
    <w:pPr/>
    <w:rPr/>
  </w:style>
  <w:style w:type="paragraph" w:styleId="Style23" w:customStyle="1">
    <w:name w:val="Caption"/>
    <w:basedOn w:val="Normal"/>
    <w:qFormat/>
    <w:rsid w:val="0070282c"/>
    <w:pPr>
      <w:suppressLineNumbers/>
      <w:spacing w:before="120" w:after="120"/>
    </w:pPr>
    <w:rPr>
      <w:i/>
      <w:iCs/>
    </w:rPr>
  </w:style>
  <w:style w:type="paragraph" w:styleId="Style24">
    <w:name w:val="Указатель"/>
    <w:basedOn w:val="Normal"/>
    <w:qFormat/>
    <w:pPr>
      <w:suppressLineNumbers/>
    </w:pPr>
    <w:rPr>
      <w:rFonts w:cs="Arial"/>
      <w:lang w:val="zxx" w:eastAsia="zxx" w:bidi="zxx"/>
    </w:rPr>
  </w:style>
  <w:style w:type="paragraph" w:styleId="Indexheading">
    <w:name w:val="index heading"/>
    <w:basedOn w:val="Normal"/>
    <w:qFormat/>
    <w:rsid w:val="0070282c"/>
    <w:pPr>
      <w:suppressLineNumbers/>
    </w:pPr>
    <w:rPr/>
  </w:style>
  <w:style w:type="paragraph" w:styleId="Style25" w:customStyle="1">
    <w:name w:val="Содержимое таблицы"/>
    <w:basedOn w:val="Normal"/>
    <w:qFormat/>
    <w:rsid w:val="0070282c"/>
    <w:pPr>
      <w:suppressLineNumbers/>
    </w:pPr>
    <w:rPr/>
  </w:style>
  <w:style w:type="paragraph" w:styleId="NormalWeb">
    <w:name w:val="Normal (Web)"/>
    <w:basedOn w:val="Normal"/>
    <w:qFormat/>
    <w:rsid w:val="0070282c"/>
    <w:pPr>
      <w:spacing w:before="280" w:after="100"/>
    </w:pPr>
    <w:rPr>
      <w:rFonts w:eastAsia="Calibri"/>
    </w:rPr>
  </w:style>
  <w:style w:type="paragraph" w:styleId="ListParagraph">
    <w:name w:val="List Paragraph"/>
    <w:basedOn w:val="Normal"/>
    <w:qFormat/>
    <w:rsid w:val="00444d15"/>
    <w:pPr>
      <w:ind w:left="720" w:hanging="0"/>
    </w:pPr>
    <w:rPr/>
  </w:style>
  <w:style w:type="paragraph" w:styleId="Style26">
    <w:name w:val="Body Text Indent"/>
    <w:basedOn w:val="Normal"/>
    <w:link w:val="Style15"/>
    <w:uiPriority w:val="99"/>
    <w:semiHidden/>
    <w:unhideWhenUsed/>
    <w:rsid w:val="00f134c1"/>
    <w:pPr>
      <w:spacing w:before="0" w:after="120"/>
      <w:ind w:left="283" w:hanging="0"/>
    </w:pPr>
    <w:rPr/>
  </w:style>
  <w:style w:type="paragraph" w:styleId="NoSpacing">
    <w:name w:val="No Spacing"/>
    <w:qFormat/>
    <w:pPr>
      <w:widowControl/>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Style27">
    <w:name w:val="Заголовок таблицы"/>
    <w:basedOn w:val="Style25"/>
    <w:qFormat/>
    <w:pPr>
      <w:suppressLineNumbers/>
      <w:jc w:val="center"/>
    </w:pPr>
    <w:rPr>
      <w:b/>
      <w:bCs/>
    </w:rPr>
  </w:style>
  <w:style w:type="paragraph" w:styleId="ConsPlusNormal1">
    <w:name w:val="ConsPlusNormal"/>
    <w:qFormat/>
    <w:pPr>
      <w:widowControl w:val="false"/>
      <w:suppressAutoHyphens w:val="true"/>
      <w:bidi w:val="0"/>
      <w:spacing w:before="0" w:after="0"/>
      <w:ind w:firstLine="720"/>
      <w:jc w:val="left"/>
    </w:pPr>
    <w:rPr>
      <w:rFonts w:ascii="Arial" w:hAnsi="Arial" w:eastAsia="Times New Roman" w:cs="Arial"/>
      <w:color w:val="auto"/>
      <w:kern w:val="2"/>
      <w:sz w:val="20"/>
      <w:szCs w:val="20"/>
      <w:lang w:val="ru-RU" w:eastAsia="zh-CN" w:bidi="ar-SA"/>
    </w:rPr>
  </w:style>
  <w:style w:type="paragraph" w:styleId="Normal2">
    <w:name w:val="Normal_2"/>
    <w:qFormat/>
    <w:pPr>
      <w:widowControl/>
      <w:suppressAutoHyphens w:val="true"/>
      <w:bidi w:val="0"/>
      <w:spacing w:lineRule="auto" w:line="276" w:before="0" w:after="200"/>
      <w:jc w:val="left"/>
    </w:pPr>
    <w:rPr>
      <w:rFonts w:ascii="Calibri" w:hAnsi="Calibri" w:eastAsia="Times New Roman" w:cs="Times New Roman"/>
      <w:color w:val="auto"/>
      <w:kern w:val="2"/>
      <w:sz w:val="22"/>
      <w:szCs w:val="22"/>
      <w:lang w:val="ru-RU" w:eastAsia="zh-CN" w:bidi="ar-SA"/>
    </w:rPr>
  </w:style>
  <w:style w:type="paragraph" w:styleId="5">
    <w:name w:val="Обычный5"/>
    <w:qFormat/>
    <w:pPr>
      <w:widowControl w:val="false"/>
      <w:suppressAutoHyphens w:val="true"/>
      <w:bidi w:val="0"/>
      <w:spacing w:before="260" w:after="0"/>
      <w:jc w:val="both"/>
    </w:pPr>
    <w:rPr>
      <w:rFonts w:ascii="Times New Roman" w:hAnsi="Times New Roman" w:eastAsia="Times New Roman" w:cs="Times New Roman"/>
      <w:color w:val="auto"/>
      <w:kern w:val="2"/>
      <w:sz w:val="24"/>
      <w:szCs w:val="20"/>
      <w:lang w:val="ru-RU" w:eastAsia="zh-CN" w:bidi="ar-SA"/>
    </w:rPr>
  </w:style>
  <w:style w:type="paragraph" w:styleId="Style28">
    <w:name w:val="Текст выноски"/>
    <w:basedOn w:val="Normal"/>
    <w:qFormat/>
    <w:pPr>
      <w:spacing w:lineRule="exact" w:line="240"/>
    </w:pPr>
    <w:rPr>
      <w:rFonts w:ascii="Tahoma" w:hAnsi="Tahoma" w:cs="Tahoma"/>
      <w:sz w:val="16"/>
      <w:szCs w:val="16"/>
    </w:rPr>
  </w:style>
  <w:style w:type="paragraph" w:styleId="Style29">
    <w:name w:val="Текст примечания"/>
    <w:basedOn w:val="Normal"/>
    <w:qFormat/>
    <w:pPr>
      <w:spacing w:lineRule="exact" w:line="240"/>
    </w:pPr>
    <w:rPr>
      <w:sz w:val="20"/>
      <w:szCs w:val="20"/>
    </w:rPr>
  </w:style>
  <w:style w:type="paragraph" w:styleId="Western">
    <w:name w:val="western"/>
    <w:basedOn w:val="Normal"/>
    <w:qFormat/>
    <w:pPr>
      <w:spacing w:lineRule="exact" w:line="240" w:before="280" w:after="119"/>
    </w:pPr>
    <w:rPr/>
  </w:style>
  <w:style w:type="paragraph" w:styleId="ConsNormal">
    <w:name w:val="ConsNormal"/>
    <w:qFormat/>
    <w:pPr>
      <w:widowControl w:val="false"/>
      <w:suppressAutoHyphens w:val="true"/>
      <w:bidi w:val="0"/>
      <w:spacing w:lineRule="auto" w:line="276" w:before="0" w:after="0"/>
      <w:ind w:right="19772" w:firstLine="720"/>
      <w:jc w:val="left"/>
    </w:pPr>
    <w:rPr>
      <w:rFonts w:ascii="Times New Roman" w:hAnsi="Times New Roman" w:eastAsia="Times New Roman" w:cs="Times New Roman"/>
      <w:color w:val="auto"/>
      <w:kern w:val="2"/>
      <w:sz w:val="28"/>
      <w:szCs w:val="28"/>
      <w:lang w:val="ru-RU" w:eastAsia="zh-CN" w:bidi="ar-SA"/>
    </w:rPr>
  </w:style>
  <w:style w:type="paragraph" w:styleId="Style30">
    <w:name w:val="Название объекта"/>
    <w:basedOn w:val="Normal"/>
    <w:qFormat/>
    <w:pPr>
      <w:spacing w:before="120" w:after="120"/>
    </w:pPr>
    <w:rPr>
      <w:rFonts w:cs="Arial"/>
      <w:i/>
      <w:i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06557356161AAF3938123594DF1E42ADF0B66C51D27F5C8BABB2754D78117A25F339B3CoFj5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964</TotalTime>
  <Application>LibreOffice/7.2.7.2$Windows_X86_64 LibreOffice_project/8d71d29d553c0f7dcbfa38fbfda25ee34cce99a2</Application>
  <AppVersion>15.0000</AppVersion>
  <Pages>5</Pages>
  <Words>1446</Words>
  <Characters>10074</Characters>
  <CharactersWithSpaces>11560</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dc:description/>
  <dc:language>ru-RU</dc:language>
  <cp:lastModifiedBy/>
  <cp:lastPrinted>2026-06-11T09:48:33Z</cp:lastPrinted>
  <dcterms:modified xsi:type="dcterms:W3CDTF">2026-06-19T08:58:29Z</dcterms:modified>
  <cp:revision>143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