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3325" w:rsidRDefault="00015500" w:rsidP="00EC3325">
      <w:pPr>
        <w:widowControl w:val="0"/>
        <w:jc w:val="center"/>
        <w:rPr>
          <w:b/>
          <w:caps/>
        </w:rPr>
      </w:pPr>
      <w:r>
        <w:rPr>
          <w:b/>
          <w:caps/>
        </w:rPr>
        <w:t>Р</w:t>
      </w:r>
      <w:r w:rsidR="004460A0">
        <w:rPr>
          <w:b/>
          <w:caps/>
        </w:rPr>
        <w:t xml:space="preserve">АСЧЕТ </w:t>
      </w:r>
      <w:r w:rsidR="00EC3325">
        <w:rPr>
          <w:b/>
          <w:caps/>
        </w:rPr>
        <w:t>начальной (максимальной) цены контракта</w:t>
      </w:r>
    </w:p>
    <w:p w:rsidR="00EC3325" w:rsidRDefault="00EC3325" w:rsidP="00EC3325">
      <w:pPr>
        <w:pStyle w:val="a3"/>
        <w:widowControl w:val="0"/>
        <w:spacing w:after="0"/>
        <w:ind w:left="11560"/>
        <w:rPr>
          <w:lang w:val="ru-RU"/>
        </w:rPr>
      </w:pPr>
    </w:p>
    <w:p w:rsidR="004460A0" w:rsidRDefault="004460A0" w:rsidP="004460A0">
      <w:pPr>
        <w:pStyle w:val="a3"/>
        <w:tabs>
          <w:tab w:val="num" w:pos="360"/>
        </w:tabs>
        <w:spacing w:after="0"/>
        <w:rPr>
          <w:rFonts w:ascii="Times New Roman" w:hAnsi="Times New Roman" w:cs="Times New Roman"/>
          <w:lang w:val="ru-RU"/>
        </w:rPr>
      </w:pPr>
      <w:r>
        <w:rPr>
          <w:rFonts w:ascii="Times New Roman" w:hAnsi="Times New Roman" w:cs="Times New Roman"/>
          <w:lang w:val="ru-RU"/>
        </w:rPr>
        <w:t xml:space="preserve">           </w:t>
      </w:r>
      <w:r>
        <w:rPr>
          <w:rFonts w:ascii="Times New Roman" w:hAnsi="Times New Roman" w:cs="Times New Roman"/>
        </w:rPr>
        <w:t xml:space="preserve">Начальная (максимальная) цена контракта определена на основании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утвержденных Приказом Министерства экономического развития РФ от 2 октября 2013г №567 и в соответствии с Приказом </w:t>
      </w:r>
      <w:proofErr w:type="spellStart"/>
      <w:r>
        <w:rPr>
          <w:rFonts w:ascii="Times New Roman" w:hAnsi="Times New Roman" w:cs="Times New Roman"/>
        </w:rPr>
        <w:t>Росфинмониторинга</w:t>
      </w:r>
      <w:proofErr w:type="spellEnd"/>
      <w:r>
        <w:rPr>
          <w:rFonts w:ascii="Times New Roman" w:hAnsi="Times New Roman" w:cs="Times New Roman"/>
        </w:rPr>
        <w:t xml:space="preserve"> от </w:t>
      </w:r>
      <w:r w:rsidR="008C72BF">
        <w:rPr>
          <w:rFonts w:ascii="Times New Roman" w:hAnsi="Times New Roman" w:cs="Times New Roman"/>
          <w:lang w:val="ru-RU"/>
        </w:rPr>
        <w:t>20</w:t>
      </w:r>
      <w:r>
        <w:rPr>
          <w:rFonts w:ascii="Times New Roman" w:hAnsi="Times New Roman" w:cs="Times New Roman"/>
        </w:rPr>
        <w:t>.</w:t>
      </w:r>
      <w:r w:rsidR="002422D1">
        <w:rPr>
          <w:rFonts w:ascii="Times New Roman" w:hAnsi="Times New Roman" w:cs="Times New Roman"/>
          <w:lang w:val="ru-RU"/>
        </w:rPr>
        <w:t>0</w:t>
      </w:r>
      <w:r w:rsidR="002418FC">
        <w:rPr>
          <w:rFonts w:ascii="Times New Roman" w:hAnsi="Times New Roman" w:cs="Times New Roman"/>
          <w:lang w:val="ru-RU"/>
        </w:rPr>
        <w:t>5</w:t>
      </w:r>
      <w:r w:rsidR="002422D1">
        <w:rPr>
          <w:rFonts w:ascii="Times New Roman" w:hAnsi="Times New Roman" w:cs="Times New Roman"/>
          <w:lang w:val="ru-RU"/>
        </w:rPr>
        <w:t>.202</w:t>
      </w:r>
      <w:r w:rsidR="008C72BF">
        <w:rPr>
          <w:rFonts w:ascii="Times New Roman" w:hAnsi="Times New Roman" w:cs="Times New Roman"/>
          <w:lang w:val="ru-RU"/>
        </w:rPr>
        <w:t>6</w:t>
      </w:r>
      <w:r w:rsidR="002422D1">
        <w:rPr>
          <w:rFonts w:ascii="Times New Roman" w:hAnsi="Times New Roman" w:cs="Times New Roman"/>
        </w:rPr>
        <w:t xml:space="preserve"> № 1</w:t>
      </w:r>
      <w:r w:rsidR="008C72BF">
        <w:rPr>
          <w:rFonts w:ascii="Times New Roman" w:hAnsi="Times New Roman" w:cs="Times New Roman"/>
          <w:lang w:val="ru-RU"/>
        </w:rPr>
        <w:t>05</w:t>
      </w:r>
      <w:r>
        <w:rPr>
          <w:rFonts w:ascii="Times New Roman" w:hAnsi="Times New Roman" w:cs="Times New Roman"/>
          <w:b/>
          <w:i/>
        </w:rPr>
        <w:t xml:space="preserve"> </w:t>
      </w:r>
      <w:r>
        <w:rPr>
          <w:rFonts w:ascii="Times New Roman" w:hAnsi="Times New Roman" w:cs="Times New Roman"/>
        </w:rPr>
        <w:t>«Об утверждении нормативных затрат на обеспечение функций межрегиональных управлений Федеральной службы по финансовому мониторингу»</w:t>
      </w:r>
      <w:r>
        <w:rPr>
          <w:rFonts w:ascii="Times New Roman" w:hAnsi="Times New Roman" w:cs="Times New Roman"/>
          <w:lang w:val="ru-RU"/>
        </w:rPr>
        <w:t>.</w:t>
      </w:r>
    </w:p>
    <w:p w:rsidR="00BF64C7" w:rsidRDefault="004460A0" w:rsidP="0097257F">
      <w:pPr>
        <w:pStyle w:val="a3"/>
        <w:tabs>
          <w:tab w:val="num" w:pos="360"/>
        </w:tabs>
        <w:spacing w:after="0"/>
        <w:rPr>
          <w:rFonts w:ascii="Times New Roman" w:hAnsi="Times New Roman" w:cs="Times New Roman"/>
          <w:bCs/>
        </w:rPr>
      </w:pPr>
      <w:r>
        <w:rPr>
          <w:rFonts w:ascii="Times New Roman" w:hAnsi="Times New Roman" w:cs="Times New Roman"/>
          <w:bCs/>
        </w:rPr>
        <w:t xml:space="preserve">    </w:t>
      </w:r>
      <w:r>
        <w:rPr>
          <w:rFonts w:ascii="Times New Roman" w:hAnsi="Times New Roman" w:cs="Times New Roman"/>
          <w:bCs/>
          <w:lang w:val="ru-RU"/>
        </w:rPr>
        <w:t xml:space="preserve">       </w:t>
      </w:r>
      <w:r>
        <w:rPr>
          <w:rFonts w:ascii="Times New Roman" w:hAnsi="Times New Roman" w:cs="Times New Roman"/>
          <w:bCs/>
        </w:rPr>
        <w:t xml:space="preserve">Для проведения расчета начальной (максимальной) цены контракта использован метод сопоставимых </w:t>
      </w:r>
      <w:r>
        <w:rPr>
          <w:rFonts w:ascii="Times New Roman" w:hAnsi="Times New Roman" w:cs="Times New Roman"/>
          <w:bCs/>
          <w:lang w:val="ru-RU"/>
        </w:rPr>
        <w:t xml:space="preserve">рыночных </w:t>
      </w:r>
      <w:r>
        <w:rPr>
          <w:rFonts w:ascii="Times New Roman" w:hAnsi="Times New Roman" w:cs="Times New Roman"/>
          <w:bCs/>
        </w:rPr>
        <w:t xml:space="preserve">цен (анализ рынка). </w:t>
      </w:r>
    </w:p>
    <w:p w:rsidR="00796BA2" w:rsidRDefault="00796BA2" w:rsidP="0097257F">
      <w:pPr>
        <w:pStyle w:val="a3"/>
        <w:tabs>
          <w:tab w:val="num" w:pos="360"/>
        </w:tabs>
        <w:spacing w:after="0"/>
        <w:rPr>
          <w:rFonts w:ascii="Times New Roman" w:hAnsi="Times New Roman" w:cs="Times New Roman"/>
          <w:lang w:val="ru-RU"/>
        </w:rPr>
      </w:pPr>
    </w:p>
    <w:tbl>
      <w:tblPr>
        <w:tblW w:w="1038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559"/>
        <w:gridCol w:w="1559"/>
        <w:gridCol w:w="1560"/>
        <w:gridCol w:w="992"/>
        <w:gridCol w:w="1276"/>
        <w:gridCol w:w="1451"/>
      </w:tblGrid>
      <w:tr w:rsidR="00B83E7E" w:rsidTr="00296427">
        <w:trPr>
          <w:trHeight w:val="615"/>
        </w:trPr>
        <w:tc>
          <w:tcPr>
            <w:tcW w:w="1985" w:type="dxa"/>
            <w:tcBorders>
              <w:top w:val="single" w:sz="4" w:space="0" w:color="auto"/>
              <w:left w:val="single" w:sz="4" w:space="0" w:color="auto"/>
              <w:bottom w:val="single" w:sz="4" w:space="0" w:color="auto"/>
              <w:right w:val="single" w:sz="4" w:space="0" w:color="auto"/>
            </w:tcBorders>
            <w:hideMark/>
          </w:tcPr>
          <w:p w:rsidR="00B83E7E" w:rsidRPr="005F149C" w:rsidRDefault="005F149C" w:rsidP="005F149C">
            <w:pPr>
              <w:widowControl w:val="0"/>
              <w:tabs>
                <w:tab w:val="left" w:pos="360"/>
                <w:tab w:val="left" w:pos="468"/>
                <w:tab w:val="center" w:pos="1581"/>
              </w:tabs>
              <w:autoSpaceDE w:val="0"/>
              <w:autoSpaceDN w:val="0"/>
              <w:adjustRightInd w:val="0"/>
              <w:jc w:val="center"/>
              <w:rPr>
                <w:bCs/>
              </w:rPr>
            </w:pPr>
            <w:r w:rsidRPr="005F149C">
              <w:rPr>
                <w:bCs/>
              </w:rPr>
              <w:t>Наименование</w:t>
            </w:r>
          </w:p>
        </w:tc>
        <w:tc>
          <w:tcPr>
            <w:tcW w:w="1559" w:type="dxa"/>
            <w:tcBorders>
              <w:top w:val="single" w:sz="4" w:space="0" w:color="auto"/>
              <w:left w:val="single" w:sz="4" w:space="0" w:color="auto"/>
              <w:bottom w:val="single" w:sz="4" w:space="0" w:color="auto"/>
              <w:right w:val="single" w:sz="4" w:space="0" w:color="auto"/>
            </w:tcBorders>
          </w:tcPr>
          <w:p w:rsidR="00B83E7E" w:rsidRDefault="00B83E7E" w:rsidP="00DF5A28">
            <w:pPr>
              <w:widowControl w:val="0"/>
              <w:tabs>
                <w:tab w:val="left" w:pos="360"/>
              </w:tabs>
              <w:autoSpaceDE w:val="0"/>
              <w:autoSpaceDN w:val="0"/>
              <w:adjustRightInd w:val="0"/>
              <w:jc w:val="center"/>
              <w:rPr>
                <w:b/>
                <w:bCs/>
              </w:rPr>
            </w:pPr>
            <w:r>
              <w:rPr>
                <w:bCs/>
                <w:sz w:val="20"/>
                <w:szCs w:val="20"/>
              </w:rPr>
              <w:t>Предложение №1</w:t>
            </w:r>
          </w:p>
        </w:tc>
        <w:tc>
          <w:tcPr>
            <w:tcW w:w="1559" w:type="dxa"/>
            <w:tcBorders>
              <w:top w:val="single" w:sz="4" w:space="0" w:color="auto"/>
              <w:left w:val="single" w:sz="4" w:space="0" w:color="auto"/>
              <w:bottom w:val="single" w:sz="4" w:space="0" w:color="auto"/>
              <w:right w:val="single" w:sz="4" w:space="0" w:color="auto"/>
            </w:tcBorders>
          </w:tcPr>
          <w:p w:rsidR="00B83E7E" w:rsidRDefault="00B83E7E" w:rsidP="00DF5A28">
            <w:pPr>
              <w:widowControl w:val="0"/>
              <w:tabs>
                <w:tab w:val="left" w:pos="360"/>
              </w:tabs>
              <w:autoSpaceDE w:val="0"/>
              <w:autoSpaceDN w:val="0"/>
              <w:adjustRightInd w:val="0"/>
              <w:jc w:val="center"/>
              <w:rPr>
                <w:b/>
                <w:bCs/>
              </w:rPr>
            </w:pPr>
            <w:r w:rsidRPr="00BF64C7">
              <w:rPr>
                <w:bCs/>
                <w:sz w:val="20"/>
                <w:szCs w:val="20"/>
              </w:rPr>
              <w:t>Предложение</w:t>
            </w:r>
            <w:r>
              <w:rPr>
                <w:bCs/>
                <w:sz w:val="20"/>
                <w:szCs w:val="20"/>
              </w:rPr>
              <w:t xml:space="preserve"> №2</w:t>
            </w:r>
          </w:p>
        </w:tc>
        <w:tc>
          <w:tcPr>
            <w:tcW w:w="1560" w:type="dxa"/>
            <w:tcBorders>
              <w:top w:val="single" w:sz="4" w:space="0" w:color="auto"/>
              <w:left w:val="single" w:sz="4" w:space="0" w:color="auto"/>
              <w:bottom w:val="single" w:sz="4" w:space="0" w:color="auto"/>
              <w:right w:val="single" w:sz="4" w:space="0" w:color="auto"/>
            </w:tcBorders>
          </w:tcPr>
          <w:p w:rsidR="00B83E7E" w:rsidRDefault="00B83E7E" w:rsidP="00DF5A28">
            <w:pPr>
              <w:widowControl w:val="0"/>
              <w:tabs>
                <w:tab w:val="left" w:pos="360"/>
              </w:tabs>
              <w:autoSpaceDE w:val="0"/>
              <w:autoSpaceDN w:val="0"/>
              <w:adjustRightInd w:val="0"/>
              <w:jc w:val="center"/>
              <w:rPr>
                <w:b/>
                <w:bCs/>
              </w:rPr>
            </w:pPr>
            <w:r w:rsidRPr="00BF64C7">
              <w:rPr>
                <w:bCs/>
                <w:sz w:val="20"/>
                <w:szCs w:val="20"/>
              </w:rPr>
              <w:t>Предложение</w:t>
            </w:r>
            <w:r>
              <w:rPr>
                <w:bCs/>
                <w:sz w:val="20"/>
                <w:szCs w:val="20"/>
              </w:rPr>
              <w:t xml:space="preserve"> №3</w:t>
            </w:r>
          </w:p>
        </w:tc>
        <w:tc>
          <w:tcPr>
            <w:tcW w:w="992" w:type="dxa"/>
            <w:tcBorders>
              <w:top w:val="single" w:sz="4" w:space="0" w:color="auto"/>
              <w:left w:val="single" w:sz="4" w:space="0" w:color="auto"/>
              <w:bottom w:val="single" w:sz="4" w:space="0" w:color="auto"/>
              <w:right w:val="single" w:sz="4" w:space="0" w:color="auto"/>
            </w:tcBorders>
          </w:tcPr>
          <w:p w:rsidR="00B83E7E" w:rsidRPr="005F149C" w:rsidRDefault="005F149C" w:rsidP="00DF5A28">
            <w:pPr>
              <w:widowControl w:val="0"/>
              <w:tabs>
                <w:tab w:val="left" w:pos="360"/>
              </w:tabs>
              <w:autoSpaceDE w:val="0"/>
              <w:autoSpaceDN w:val="0"/>
              <w:adjustRightInd w:val="0"/>
              <w:jc w:val="center"/>
              <w:rPr>
                <w:bCs/>
              </w:rPr>
            </w:pPr>
            <w:r w:rsidRPr="005F149C">
              <w:rPr>
                <w:bCs/>
              </w:rPr>
              <w:t>Кол-во обучающихся</w:t>
            </w:r>
          </w:p>
        </w:tc>
        <w:tc>
          <w:tcPr>
            <w:tcW w:w="1276" w:type="dxa"/>
            <w:tcBorders>
              <w:top w:val="single" w:sz="4" w:space="0" w:color="auto"/>
              <w:left w:val="single" w:sz="4" w:space="0" w:color="auto"/>
              <w:bottom w:val="single" w:sz="4" w:space="0" w:color="auto"/>
              <w:right w:val="single" w:sz="4" w:space="0" w:color="auto"/>
            </w:tcBorders>
            <w:hideMark/>
          </w:tcPr>
          <w:p w:rsidR="00B83E7E" w:rsidRPr="005F149C" w:rsidRDefault="00B83E7E" w:rsidP="00DF5A28">
            <w:pPr>
              <w:widowControl w:val="0"/>
              <w:tabs>
                <w:tab w:val="left" w:pos="360"/>
              </w:tabs>
              <w:autoSpaceDE w:val="0"/>
              <w:autoSpaceDN w:val="0"/>
              <w:adjustRightInd w:val="0"/>
              <w:jc w:val="center"/>
              <w:rPr>
                <w:bCs/>
              </w:rPr>
            </w:pPr>
            <w:r w:rsidRPr="005F149C">
              <w:rPr>
                <w:bCs/>
              </w:rPr>
              <w:t>Цена за ед., руб.</w:t>
            </w:r>
          </w:p>
        </w:tc>
        <w:tc>
          <w:tcPr>
            <w:tcW w:w="1451" w:type="dxa"/>
            <w:tcBorders>
              <w:top w:val="single" w:sz="4" w:space="0" w:color="auto"/>
              <w:left w:val="single" w:sz="4" w:space="0" w:color="auto"/>
              <w:bottom w:val="single" w:sz="4" w:space="0" w:color="auto"/>
              <w:right w:val="single" w:sz="4" w:space="0" w:color="auto"/>
            </w:tcBorders>
          </w:tcPr>
          <w:p w:rsidR="00B83E7E" w:rsidRPr="005F149C" w:rsidRDefault="00B83E7E" w:rsidP="00DF5A28">
            <w:pPr>
              <w:widowControl w:val="0"/>
              <w:tabs>
                <w:tab w:val="left" w:pos="360"/>
              </w:tabs>
              <w:autoSpaceDE w:val="0"/>
              <w:autoSpaceDN w:val="0"/>
              <w:adjustRightInd w:val="0"/>
              <w:jc w:val="center"/>
              <w:rPr>
                <w:bCs/>
              </w:rPr>
            </w:pPr>
            <w:r w:rsidRPr="005F149C">
              <w:rPr>
                <w:bCs/>
              </w:rPr>
              <w:t>Итого, руб.</w:t>
            </w:r>
          </w:p>
        </w:tc>
      </w:tr>
      <w:tr w:rsidR="006571B8" w:rsidTr="00296427">
        <w:tc>
          <w:tcPr>
            <w:tcW w:w="1985" w:type="dxa"/>
          </w:tcPr>
          <w:p w:rsidR="00D9427B" w:rsidRDefault="00697894" w:rsidP="00D9427B">
            <w:pPr>
              <w:rPr>
                <w:sz w:val="22"/>
                <w:szCs w:val="22"/>
              </w:rPr>
            </w:pPr>
            <w:r>
              <w:rPr>
                <w:sz w:val="22"/>
                <w:szCs w:val="22"/>
              </w:rPr>
              <w:t>Повы</w:t>
            </w:r>
            <w:r w:rsidR="005F149C">
              <w:rPr>
                <w:sz w:val="22"/>
                <w:szCs w:val="22"/>
              </w:rPr>
              <w:t>шение квалификации по программе «</w:t>
            </w:r>
            <w:r w:rsidR="00D9427B">
              <w:rPr>
                <w:sz w:val="22"/>
                <w:szCs w:val="22"/>
              </w:rPr>
              <w:t>Т</w:t>
            </w:r>
            <w:r w:rsidR="00D9427B" w:rsidRPr="00D9427B">
              <w:rPr>
                <w:sz w:val="22"/>
                <w:szCs w:val="22"/>
              </w:rPr>
              <w:t>ехническая защита информации. Организация защиты информации, содержащий сведения составляющие государственную тайну</w:t>
            </w:r>
            <w:r w:rsidR="00D9427B">
              <w:rPr>
                <w:sz w:val="22"/>
                <w:szCs w:val="22"/>
              </w:rPr>
              <w:t>»</w:t>
            </w:r>
          </w:p>
          <w:p w:rsidR="005F149C" w:rsidRPr="008C72BF" w:rsidRDefault="005F149C" w:rsidP="006571B8">
            <w:pP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6571B8" w:rsidRDefault="00D9427B" w:rsidP="006571B8">
            <w:pPr>
              <w:widowControl w:val="0"/>
              <w:tabs>
                <w:tab w:val="left" w:pos="360"/>
              </w:tabs>
              <w:autoSpaceDE w:val="0"/>
              <w:autoSpaceDN w:val="0"/>
              <w:adjustRightInd w:val="0"/>
              <w:jc w:val="center"/>
              <w:rPr>
                <w:bCs/>
              </w:rPr>
            </w:pPr>
            <w:r>
              <w:rPr>
                <w:bCs/>
              </w:rPr>
              <w:t>51 000,</w:t>
            </w:r>
            <w:bookmarkStart w:id="0" w:name="_GoBack"/>
            <w:bookmarkEnd w:id="0"/>
            <w:r>
              <w:rPr>
                <w:bCs/>
              </w:rPr>
              <w:t>00</w:t>
            </w:r>
          </w:p>
        </w:tc>
        <w:tc>
          <w:tcPr>
            <w:tcW w:w="1559" w:type="dxa"/>
            <w:tcBorders>
              <w:top w:val="single" w:sz="4" w:space="0" w:color="auto"/>
              <w:left w:val="single" w:sz="4" w:space="0" w:color="auto"/>
              <w:bottom w:val="single" w:sz="4" w:space="0" w:color="auto"/>
              <w:right w:val="single" w:sz="4" w:space="0" w:color="auto"/>
            </w:tcBorders>
          </w:tcPr>
          <w:p w:rsidR="006571B8" w:rsidRDefault="00D9427B" w:rsidP="006571B8">
            <w:pPr>
              <w:widowControl w:val="0"/>
              <w:tabs>
                <w:tab w:val="left" w:pos="360"/>
              </w:tabs>
              <w:autoSpaceDE w:val="0"/>
              <w:autoSpaceDN w:val="0"/>
              <w:adjustRightInd w:val="0"/>
              <w:jc w:val="center"/>
              <w:rPr>
                <w:bCs/>
              </w:rPr>
            </w:pPr>
            <w:r>
              <w:rPr>
                <w:bCs/>
              </w:rPr>
              <w:t>60</w:t>
            </w:r>
            <w:r w:rsidR="005F149C">
              <w:rPr>
                <w:bCs/>
              </w:rPr>
              <w:t> 000,00</w:t>
            </w:r>
          </w:p>
        </w:tc>
        <w:tc>
          <w:tcPr>
            <w:tcW w:w="1560" w:type="dxa"/>
            <w:tcBorders>
              <w:top w:val="single" w:sz="4" w:space="0" w:color="auto"/>
              <w:left w:val="single" w:sz="4" w:space="0" w:color="auto"/>
              <w:bottom w:val="single" w:sz="4" w:space="0" w:color="auto"/>
              <w:right w:val="single" w:sz="4" w:space="0" w:color="auto"/>
            </w:tcBorders>
          </w:tcPr>
          <w:p w:rsidR="006571B8" w:rsidRDefault="00D9427B" w:rsidP="006571B8">
            <w:pPr>
              <w:widowControl w:val="0"/>
              <w:tabs>
                <w:tab w:val="left" w:pos="360"/>
              </w:tabs>
              <w:autoSpaceDE w:val="0"/>
              <w:autoSpaceDN w:val="0"/>
              <w:adjustRightInd w:val="0"/>
              <w:jc w:val="center"/>
              <w:rPr>
                <w:bCs/>
              </w:rPr>
            </w:pPr>
            <w:r>
              <w:rPr>
                <w:bCs/>
              </w:rPr>
              <w:t>62</w:t>
            </w:r>
            <w:r w:rsidR="005F149C">
              <w:rPr>
                <w:bCs/>
              </w:rPr>
              <w:t> 000,00</w:t>
            </w:r>
          </w:p>
        </w:tc>
        <w:tc>
          <w:tcPr>
            <w:tcW w:w="992" w:type="dxa"/>
            <w:tcBorders>
              <w:top w:val="single" w:sz="4" w:space="0" w:color="auto"/>
              <w:left w:val="single" w:sz="4" w:space="0" w:color="auto"/>
              <w:bottom w:val="single" w:sz="4" w:space="0" w:color="auto"/>
              <w:right w:val="single" w:sz="4" w:space="0" w:color="auto"/>
            </w:tcBorders>
          </w:tcPr>
          <w:p w:rsidR="006571B8" w:rsidRPr="006571B8" w:rsidRDefault="005F149C" w:rsidP="006571B8">
            <w:pPr>
              <w:widowControl w:val="0"/>
              <w:tabs>
                <w:tab w:val="left" w:pos="360"/>
              </w:tabs>
              <w:autoSpaceDE w:val="0"/>
              <w:autoSpaceDN w:val="0"/>
              <w:adjustRightInd w:val="0"/>
              <w:jc w:val="center"/>
              <w:rPr>
                <w:bCs/>
                <w:sz w:val="22"/>
                <w:szCs w:val="22"/>
              </w:rPr>
            </w:pPr>
            <w:r>
              <w:rPr>
                <w:bCs/>
                <w:sz w:val="22"/>
                <w:szCs w:val="22"/>
              </w:rPr>
              <w:t>1</w:t>
            </w:r>
          </w:p>
        </w:tc>
        <w:tc>
          <w:tcPr>
            <w:tcW w:w="1276" w:type="dxa"/>
            <w:tcBorders>
              <w:top w:val="single" w:sz="4" w:space="0" w:color="auto"/>
              <w:left w:val="single" w:sz="4" w:space="0" w:color="auto"/>
              <w:bottom w:val="single" w:sz="4" w:space="0" w:color="auto"/>
              <w:right w:val="single" w:sz="4" w:space="0" w:color="auto"/>
            </w:tcBorders>
          </w:tcPr>
          <w:p w:rsidR="006571B8" w:rsidRDefault="00D9427B" w:rsidP="006571B8">
            <w:pPr>
              <w:widowControl w:val="0"/>
              <w:tabs>
                <w:tab w:val="left" w:pos="360"/>
              </w:tabs>
              <w:autoSpaceDE w:val="0"/>
              <w:autoSpaceDN w:val="0"/>
              <w:adjustRightInd w:val="0"/>
              <w:jc w:val="center"/>
              <w:rPr>
                <w:bCs/>
              </w:rPr>
            </w:pPr>
            <w:r>
              <w:rPr>
                <w:bCs/>
              </w:rPr>
              <w:t>51 000,00</w:t>
            </w:r>
          </w:p>
        </w:tc>
        <w:tc>
          <w:tcPr>
            <w:tcW w:w="1451" w:type="dxa"/>
            <w:tcBorders>
              <w:top w:val="single" w:sz="4" w:space="0" w:color="auto"/>
              <w:left w:val="single" w:sz="4" w:space="0" w:color="auto"/>
              <w:bottom w:val="single" w:sz="4" w:space="0" w:color="auto"/>
              <w:right w:val="single" w:sz="4" w:space="0" w:color="auto"/>
            </w:tcBorders>
          </w:tcPr>
          <w:p w:rsidR="006571B8" w:rsidRDefault="00D9427B" w:rsidP="006571B8">
            <w:pPr>
              <w:widowControl w:val="0"/>
              <w:tabs>
                <w:tab w:val="left" w:pos="360"/>
              </w:tabs>
              <w:autoSpaceDE w:val="0"/>
              <w:autoSpaceDN w:val="0"/>
              <w:adjustRightInd w:val="0"/>
              <w:jc w:val="center"/>
              <w:rPr>
                <w:bCs/>
              </w:rPr>
            </w:pPr>
            <w:r>
              <w:rPr>
                <w:bCs/>
              </w:rPr>
              <w:t>51 000,00</w:t>
            </w:r>
          </w:p>
        </w:tc>
      </w:tr>
      <w:tr w:rsidR="006571B8" w:rsidTr="00137C86">
        <w:tc>
          <w:tcPr>
            <w:tcW w:w="8931" w:type="dxa"/>
            <w:gridSpan w:val="6"/>
            <w:tcBorders>
              <w:top w:val="single" w:sz="4" w:space="0" w:color="auto"/>
              <w:left w:val="single" w:sz="4" w:space="0" w:color="auto"/>
              <w:bottom w:val="single" w:sz="4" w:space="0" w:color="auto"/>
              <w:right w:val="single" w:sz="4" w:space="0" w:color="auto"/>
            </w:tcBorders>
            <w:hideMark/>
          </w:tcPr>
          <w:p w:rsidR="006571B8" w:rsidRPr="00EC3325" w:rsidRDefault="006571B8" w:rsidP="006571B8">
            <w:pPr>
              <w:widowControl w:val="0"/>
              <w:tabs>
                <w:tab w:val="left" w:pos="360"/>
              </w:tabs>
              <w:autoSpaceDE w:val="0"/>
              <w:autoSpaceDN w:val="0"/>
              <w:adjustRightInd w:val="0"/>
              <w:jc w:val="right"/>
              <w:rPr>
                <w:b/>
                <w:bCs/>
              </w:rPr>
            </w:pPr>
            <w:r>
              <w:rPr>
                <w:bCs/>
              </w:rPr>
              <w:t>Наименьшая цена</w:t>
            </w:r>
          </w:p>
        </w:tc>
        <w:tc>
          <w:tcPr>
            <w:tcW w:w="1451" w:type="dxa"/>
            <w:tcBorders>
              <w:top w:val="single" w:sz="4" w:space="0" w:color="auto"/>
              <w:left w:val="single" w:sz="4" w:space="0" w:color="auto"/>
              <w:bottom w:val="single" w:sz="4" w:space="0" w:color="auto"/>
              <w:right w:val="single" w:sz="4" w:space="0" w:color="auto"/>
            </w:tcBorders>
          </w:tcPr>
          <w:p w:rsidR="006571B8" w:rsidRPr="009D6F65" w:rsidRDefault="00D9427B" w:rsidP="006571B8">
            <w:pPr>
              <w:widowControl w:val="0"/>
              <w:tabs>
                <w:tab w:val="left" w:pos="360"/>
              </w:tabs>
              <w:autoSpaceDE w:val="0"/>
              <w:autoSpaceDN w:val="0"/>
              <w:adjustRightInd w:val="0"/>
              <w:jc w:val="center"/>
              <w:rPr>
                <w:b/>
                <w:bCs/>
                <w:color w:val="000000" w:themeColor="text1"/>
              </w:rPr>
            </w:pPr>
            <w:r>
              <w:rPr>
                <w:bCs/>
              </w:rPr>
              <w:t>51 000,00</w:t>
            </w:r>
          </w:p>
        </w:tc>
      </w:tr>
    </w:tbl>
    <w:p w:rsidR="00D9427B" w:rsidRDefault="00D9427B" w:rsidP="0097257F">
      <w:pPr>
        <w:pStyle w:val="a3"/>
        <w:tabs>
          <w:tab w:val="num" w:pos="360"/>
        </w:tabs>
        <w:spacing w:after="0"/>
        <w:rPr>
          <w:rFonts w:ascii="Times New Roman" w:hAnsi="Times New Roman" w:cs="Times New Roman"/>
          <w:lang w:val="ru-RU"/>
        </w:rPr>
      </w:pPr>
    </w:p>
    <w:p w:rsidR="00BF64C7" w:rsidRDefault="00D9427B" w:rsidP="0097257F">
      <w:pPr>
        <w:pStyle w:val="a3"/>
        <w:tabs>
          <w:tab w:val="num" w:pos="360"/>
        </w:tabs>
        <w:spacing w:after="0"/>
        <w:rPr>
          <w:rFonts w:ascii="Times New Roman" w:hAnsi="Times New Roman" w:cs="Times New Roman"/>
          <w:lang w:val="ru-RU"/>
        </w:rPr>
      </w:pPr>
      <w:r w:rsidRPr="00D9427B">
        <w:rPr>
          <w:rFonts w:ascii="Times New Roman" w:hAnsi="Times New Roman" w:cs="Times New Roman"/>
          <w:lang w:val="ru-RU"/>
        </w:rPr>
        <w:t xml:space="preserve">По результатам расчетов стоимость </w:t>
      </w:r>
      <w:r>
        <w:rPr>
          <w:rFonts w:ascii="Times New Roman" w:hAnsi="Times New Roman" w:cs="Times New Roman"/>
          <w:lang w:val="ru-RU"/>
        </w:rPr>
        <w:t xml:space="preserve">образовательных </w:t>
      </w:r>
      <w:r w:rsidRPr="00D9427B">
        <w:rPr>
          <w:rFonts w:ascii="Times New Roman" w:hAnsi="Times New Roman" w:cs="Times New Roman"/>
          <w:lang w:val="ru-RU"/>
        </w:rPr>
        <w:t xml:space="preserve">услуг составила </w:t>
      </w:r>
      <w:r>
        <w:rPr>
          <w:bCs/>
        </w:rPr>
        <w:t xml:space="preserve">51 000 </w:t>
      </w:r>
      <w:r>
        <w:rPr>
          <w:rFonts w:ascii="Times New Roman" w:hAnsi="Times New Roman" w:cs="Times New Roman"/>
          <w:lang w:val="ru-RU"/>
        </w:rPr>
        <w:t>руб. 00</w:t>
      </w:r>
      <w:r w:rsidRPr="00D9427B">
        <w:rPr>
          <w:rFonts w:ascii="Times New Roman" w:hAnsi="Times New Roman" w:cs="Times New Roman"/>
          <w:lang w:val="ru-RU"/>
        </w:rPr>
        <w:t xml:space="preserve"> коп. вместе с тем руководствуясь частью 2 статьи 72 и частью 3 статьи 219 Бюджетного кодекса Российской Федерации и принимая во внимание доведенные лимиты бюджетных обязательств на 2026г. начальная (максимальная) цена контракта устанавливается в размере </w:t>
      </w:r>
      <w:r>
        <w:rPr>
          <w:rFonts w:ascii="Times New Roman" w:hAnsi="Times New Roman" w:cs="Times New Roman"/>
          <w:lang w:val="ru-RU"/>
        </w:rPr>
        <w:t>21 423 руб. 96</w:t>
      </w:r>
      <w:r w:rsidRPr="00D9427B">
        <w:rPr>
          <w:rFonts w:ascii="Times New Roman" w:hAnsi="Times New Roman" w:cs="Times New Roman"/>
          <w:lang w:val="ru-RU"/>
        </w:rPr>
        <w:t xml:space="preserve"> коп.</w:t>
      </w:r>
    </w:p>
    <w:sectPr w:rsidR="00BF64C7" w:rsidSect="008C72BF">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0B5"/>
    <w:rsid w:val="00015500"/>
    <w:rsid w:val="00023375"/>
    <w:rsid w:val="00035250"/>
    <w:rsid w:val="00036321"/>
    <w:rsid w:val="00061F03"/>
    <w:rsid w:val="000C03F8"/>
    <w:rsid w:val="000F446D"/>
    <w:rsid w:val="0020330F"/>
    <w:rsid w:val="002418FC"/>
    <w:rsid w:val="002422D1"/>
    <w:rsid w:val="00296427"/>
    <w:rsid w:val="002C66F7"/>
    <w:rsid w:val="002C6AC9"/>
    <w:rsid w:val="002D7D59"/>
    <w:rsid w:val="003278B7"/>
    <w:rsid w:val="0034684A"/>
    <w:rsid w:val="003B65C0"/>
    <w:rsid w:val="003C56EC"/>
    <w:rsid w:val="003D0507"/>
    <w:rsid w:val="0043221A"/>
    <w:rsid w:val="004460A0"/>
    <w:rsid w:val="00574B27"/>
    <w:rsid w:val="005B3A3E"/>
    <w:rsid w:val="005B53EE"/>
    <w:rsid w:val="005F149C"/>
    <w:rsid w:val="0060718A"/>
    <w:rsid w:val="00624A8A"/>
    <w:rsid w:val="006571B8"/>
    <w:rsid w:val="006666A8"/>
    <w:rsid w:val="00697894"/>
    <w:rsid w:val="006B1615"/>
    <w:rsid w:val="006C41E9"/>
    <w:rsid w:val="00725823"/>
    <w:rsid w:val="007268CE"/>
    <w:rsid w:val="007809A1"/>
    <w:rsid w:val="00796BA2"/>
    <w:rsid w:val="0082061A"/>
    <w:rsid w:val="008274A0"/>
    <w:rsid w:val="008B58CA"/>
    <w:rsid w:val="008C72BF"/>
    <w:rsid w:val="009073E2"/>
    <w:rsid w:val="0091716B"/>
    <w:rsid w:val="0097257F"/>
    <w:rsid w:val="009854A5"/>
    <w:rsid w:val="009B2B2C"/>
    <w:rsid w:val="009D6F65"/>
    <w:rsid w:val="00A660B5"/>
    <w:rsid w:val="00AB03DD"/>
    <w:rsid w:val="00AB4CF6"/>
    <w:rsid w:val="00AF55C2"/>
    <w:rsid w:val="00B31C17"/>
    <w:rsid w:val="00B66194"/>
    <w:rsid w:val="00B83E7E"/>
    <w:rsid w:val="00BF64C7"/>
    <w:rsid w:val="00D56FBE"/>
    <w:rsid w:val="00D62006"/>
    <w:rsid w:val="00D87FA0"/>
    <w:rsid w:val="00D9427B"/>
    <w:rsid w:val="00DA32AB"/>
    <w:rsid w:val="00EB4239"/>
    <w:rsid w:val="00EC3325"/>
    <w:rsid w:val="00F958FE"/>
    <w:rsid w:val="00FE085D"/>
    <w:rsid w:val="00FF6AC8"/>
    <w:rsid w:val="00FF6D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ECD1FE-3EAE-4C2A-B532-E1E1A15E1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3325"/>
    <w:pPr>
      <w:spacing w:after="0" w:line="240" w:lineRule="auto"/>
      <w:jc w:val="both"/>
    </w:pPr>
    <w:rPr>
      <w:rFonts w:ascii="Times New Roman" w:eastAsia="Times New Roman" w:hAnsi="Times New Roman" w:cs="Times New Roman"/>
      <w:sz w:val="24"/>
      <w:szCs w:val="24"/>
      <w:lang w:eastAsia="ru-RU"/>
    </w:rPr>
  </w:style>
  <w:style w:type="paragraph" w:styleId="4">
    <w:name w:val="heading 4"/>
    <w:basedOn w:val="a"/>
    <w:next w:val="a"/>
    <w:link w:val="40"/>
    <w:semiHidden/>
    <w:unhideWhenUsed/>
    <w:qFormat/>
    <w:rsid w:val="00EC3325"/>
    <w:pPr>
      <w:keepNext/>
      <w:spacing w:before="240" w:after="60"/>
      <w:outlineLvl w:val="3"/>
    </w:pPr>
    <w:rPr>
      <w:rFonts w:ascii="Arial" w:hAnsi="Arial"/>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semiHidden/>
    <w:rsid w:val="00EC3325"/>
    <w:rPr>
      <w:rFonts w:ascii="Arial" w:eastAsia="Times New Roman" w:hAnsi="Arial" w:cs="Times New Roman"/>
      <w:sz w:val="24"/>
      <w:szCs w:val="20"/>
      <w:lang w:val="x-none" w:eastAsia="x-none"/>
    </w:rPr>
  </w:style>
  <w:style w:type="character" w:customStyle="1" w:styleId="1">
    <w:name w:val="Основной текст Знак1"/>
    <w:aliases w:val="Список 1 Знак,body text Знак,NoticeText-List Знак,Основной текст1 Знак,Основной текст Знак Знак Знак Знак Знак Знак Знак Знак Знак Знак Знак Знак Знак Знак Знак Знак Знак Знак Знак Знак Знак Знак Знак Знак Знак Зн Знак,Çàã1 Знак"/>
    <w:link w:val="a3"/>
    <w:uiPriority w:val="99"/>
    <w:semiHidden/>
    <w:locked/>
    <w:rsid w:val="00EC3325"/>
    <w:rPr>
      <w:sz w:val="24"/>
      <w:szCs w:val="24"/>
      <w:lang w:val="x-none" w:eastAsia="x-none"/>
    </w:rPr>
  </w:style>
  <w:style w:type="paragraph" w:styleId="a3">
    <w:name w:val="Body Text"/>
    <w:aliases w:val="Список 1,body text,NoticeText-List,Основной текст1,Основной текст Знак Знак Знак Знак Знак Знак Знак Знак Знак Знак Знак Знак Знак Знак Знак Знак Знак Знак Знак Знак Знак Знак Знак Знак Знак Зн,Çàã1,BO,ID,body indent"/>
    <w:basedOn w:val="a"/>
    <w:link w:val="1"/>
    <w:uiPriority w:val="99"/>
    <w:semiHidden/>
    <w:unhideWhenUsed/>
    <w:rsid w:val="00EC3325"/>
    <w:pPr>
      <w:spacing w:after="120"/>
    </w:pPr>
    <w:rPr>
      <w:rFonts w:asciiTheme="minorHAnsi" w:eastAsiaTheme="minorHAnsi" w:hAnsiTheme="minorHAnsi" w:cstheme="minorBidi"/>
      <w:lang w:val="x-none" w:eastAsia="x-none"/>
    </w:rPr>
  </w:style>
  <w:style w:type="character" w:customStyle="1" w:styleId="a4">
    <w:name w:val="Основной текст Знак"/>
    <w:basedOn w:val="a0"/>
    <w:uiPriority w:val="99"/>
    <w:semiHidden/>
    <w:rsid w:val="00EC3325"/>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35250"/>
    <w:rPr>
      <w:rFonts w:ascii="Segoe UI" w:hAnsi="Segoe UI" w:cs="Segoe UI"/>
      <w:sz w:val="18"/>
      <w:szCs w:val="18"/>
    </w:rPr>
  </w:style>
  <w:style w:type="character" w:customStyle="1" w:styleId="a6">
    <w:name w:val="Текст выноски Знак"/>
    <w:basedOn w:val="a0"/>
    <w:link w:val="a5"/>
    <w:uiPriority w:val="99"/>
    <w:semiHidden/>
    <w:rsid w:val="00035250"/>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652283">
      <w:bodyDiv w:val="1"/>
      <w:marLeft w:val="0"/>
      <w:marRight w:val="0"/>
      <w:marTop w:val="0"/>
      <w:marBottom w:val="0"/>
      <w:divBdr>
        <w:top w:val="none" w:sz="0" w:space="0" w:color="auto"/>
        <w:left w:val="none" w:sz="0" w:space="0" w:color="auto"/>
        <w:bottom w:val="none" w:sz="0" w:space="0" w:color="auto"/>
        <w:right w:val="none" w:sz="0" w:space="0" w:color="auto"/>
      </w:divBdr>
    </w:div>
    <w:div w:id="442114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07815F-9EA2-4E64-A4DF-D65E0769F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554</TotalTime>
  <Pages>1</Pages>
  <Words>213</Words>
  <Characters>1216</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77</cp:revision>
  <cp:lastPrinted>2026-07-23T11:19:00Z</cp:lastPrinted>
  <dcterms:created xsi:type="dcterms:W3CDTF">2019-04-19T07:47:00Z</dcterms:created>
  <dcterms:modified xsi:type="dcterms:W3CDTF">2026-07-23T11:19:00Z</dcterms:modified>
</cp:coreProperties>
</file>