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Контракт</w:t>
      </w:r>
      <w:bookmarkEnd w:id="0"/>
      <w:r>
        <w:rPr>
          <w:b/>
          <w:bCs/>
        </w:rPr>
        <w:t xml:space="preserve"> № </w:t>
      </w:r>
      <w:r>
        <w:rPr>
          <w:b/>
          <w:bCs/>
        </w:rPr>
        <w:t>99</w:t>
      </w:r>
      <w:r>
        <w:rPr>
          <w:b/>
          <w:bCs/>
        </w:rPr>
        <w:t>/26</w:t>
      </w:r>
    </w:p>
    <w:p>
      <w:pPr>
        <w:pStyle w:val="Normal"/>
        <w:jc w:val="center"/>
        <w:rPr>
          <w:b/>
        </w:rPr>
      </w:pPr>
      <w:r>
        <w:rPr>
          <w:b/>
        </w:rPr>
        <w:t>на поставку товаров для государственных нужд</w:t>
      </w:r>
    </w:p>
    <w:p>
      <w:pPr>
        <w:pStyle w:val="Normal"/>
        <w:jc w:val="center"/>
        <w:rPr>
          <w:b/>
          <w:shd w:fill="FFFF00" w:val="clear"/>
        </w:rPr>
      </w:pPr>
      <w:r>
        <w:rPr>
          <w:b/>
          <w:shd w:fill="FFFF00" w:val="clear"/>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 ию</w:t>
      </w:r>
      <w:r>
        <w:rPr/>
        <w:t>л</w:t>
      </w:r>
      <w:r>
        <w:rPr/>
        <w:t>я  2026г.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w:t>
      </w:r>
      <w:r>
        <w:rPr/>
        <w:t>_____________________</w:t>
      </w:r>
      <w:r>
        <w:rPr/>
        <w:t xml:space="preserve">, действующей на основании доверенности </w:t>
      </w:r>
      <w:r>
        <w:rPr/>
        <w:t>_____</w:t>
      </w:r>
      <w:r>
        <w:rPr/>
        <w:t>,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b/>
          <w:bCs/>
        </w:rPr>
      </w:pPr>
      <w:r>
        <w:rPr>
          <w:b/>
        </w:rPr>
        <w:t xml:space="preserve">Контракт 1. Предмет </w:t>
      </w:r>
      <w:r>
        <w:rPr>
          <w:b/>
          <w:bCs/>
        </w:rPr>
        <w:t>Контракта</w:t>
      </w:r>
    </w:p>
    <w:p>
      <w:pPr>
        <w:pStyle w:val="Normal"/>
        <w:numPr>
          <w:ilvl w:val="0"/>
          <w:numId w:val="0"/>
        </w:numPr>
        <w:ind w:hanging="0" w:left="0"/>
        <w:jc w:val="both"/>
        <w:outlineLvl w:val="0"/>
        <w:rPr>
          <w:b/>
          <w:bCs/>
        </w:rPr>
      </w:pPr>
      <w:r>
        <w:rPr/>
        <w:t xml:space="preserve">1.1. Поставщик по настоящему </w:t>
      </w:r>
      <w:r>
        <w:rPr>
          <w:bCs/>
        </w:rPr>
        <w:t>Контракту</w:t>
      </w:r>
      <w:r>
        <w:rPr/>
        <w:t xml:space="preserve"> обязуется поставить товар:</w:t>
      </w:r>
      <w:bookmarkStart w:id="3" w:name="_Hlk174882135"/>
      <w:r>
        <w:rPr/>
        <w:t xml:space="preserve"> </w:t>
      </w:r>
      <w:bookmarkEnd w:id="3"/>
      <w:r>
        <w:rPr>
          <w:rFonts w:eastAsia="Times New Roman" w:cs="Times New Roman"/>
          <w:b/>
          <w:bCs/>
          <w:color w:val="auto"/>
          <w:kern w:val="0"/>
          <w:sz w:val="20"/>
          <w:szCs w:val="20"/>
          <w:lang w:val="ru-RU" w:eastAsia="ru-RU" w:bidi="ar-SA"/>
        </w:rPr>
        <w:t xml:space="preserve">Перчатки диагностические смотровые нитриловые неопудренные текстурированные нестерильные одноразовые размер XL </w:t>
      </w:r>
      <w:r>
        <w:rPr>
          <w:rFonts w:eastAsia="Times New Roman" w:cs="Times New Roman"/>
          <w:color w:val="auto"/>
          <w:kern w:val="0"/>
          <w:sz w:val="20"/>
          <w:szCs w:val="20"/>
          <w:lang w:val="ru-RU" w:eastAsia="ru-RU" w:bidi="ar-SA"/>
        </w:rPr>
        <w:t xml:space="preserve"> и пере</w:t>
      </w:r>
      <w:r>
        <w:rPr/>
        <w:t xml:space="preserve">дать его Заказчику, а Заказчик по-настоящему </w:t>
      </w:r>
      <w:r>
        <w:rPr>
          <w:bCs/>
        </w:rPr>
        <w:t>Контракт у</w:t>
      </w:r>
      <w:r>
        <w:rPr/>
        <w:t xml:space="preserve"> обязуется принять и оплатить поставленный Поставщиком Товар, в соответствии с условиями, установленными настоящим Контрактом. Наименование и количество Товара устанавливается в спецификации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rPr>
        <w:t>________</w:t>
      </w:r>
      <w:r>
        <w:rPr/>
        <w:t xml:space="preserve"> рублей (__________ руб. ___ копеек).  НДС _________ руб. </w:t>
      </w:r>
      <w:r>
        <w:rPr>
          <w:bCs/>
        </w:rPr>
        <w:t xml:space="preserve"> </w:t>
      </w:r>
      <w:r>
        <w:rPr/>
        <w:t xml:space="preserve">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Контракта. указанная в п. 2.1 не подлежит изменению и включает в себя НДС. Поставщик не вправе предъявлять к оплате суммы сверх установленной в п. 2.1 Контракта.</w:t>
      </w:r>
    </w:p>
    <w:p>
      <w:pPr>
        <w:pStyle w:val="Normal"/>
        <w:widowControl w:val="false"/>
        <w:jc w:val="both"/>
        <w:rPr/>
      </w:pPr>
      <w:r>
        <w:rPr/>
        <w:t>2.3. Цена Контракта является твердой и определяется на весь срок исполнения Контракта.  В случае изменения законодательства Российской Федерации в отношении условий налогообложения Поставщика цена Контракта не подлежит изменяю и включает в себя НДС. Поставщик не вправе предъявлять к оплате сумма сверх установленной в п. 2.1 Контракта.</w:t>
      </w:r>
    </w:p>
    <w:p>
      <w:pPr>
        <w:pStyle w:val="BodyTextIndent"/>
        <w:tabs>
          <w:tab w:val="clear" w:pos="708"/>
          <w:tab w:val="left" w:pos="540" w:leader="none"/>
        </w:tabs>
        <w:ind w:hanging="0"/>
        <w:rPr>
          <w:lang w:val="ru-RU"/>
        </w:rPr>
      </w:pPr>
      <w:r>
        <w:rPr>
          <w:lang w:val="ru-RU"/>
        </w:rPr>
        <w:t xml:space="preserve">2.4. </w:t>
      </w:r>
      <w:r>
        <w:rPr>
          <w:rFonts w:eastAsia="Times New Roman"/>
          <w:color w:themeColor="dark1" w:val="000000"/>
          <w:lang w:val="ru-RU"/>
        </w:rPr>
        <w:t>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dark1" w:val="000000"/>
          <w:sz w:val="24"/>
          <w:lang w:val="ru-RU"/>
        </w:rPr>
        <w:t xml:space="preserve">. </w:t>
      </w:r>
      <w:r>
        <w:rPr>
          <w:rFonts w:eastAsia="Times New Roman"/>
          <w:color w:themeColor="dark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  3.2.4 Требовать уплаты неустойки (штрафа, пени) в соответствии с разделом 8 Контракта.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fill="FFFFFF" w:val="clear"/>
        <w:tabs>
          <w:tab w:val="clear" w:pos="708"/>
          <w:tab w:val="left" w:pos="0" w:leader="none"/>
          <w:tab w:val="left" w:pos="900" w:leader="none"/>
        </w:tabs>
        <w:jc w:val="center"/>
        <w:rPr>
          <w:b/>
        </w:rPr>
      </w:pPr>
      <w:r>
        <w:rPr>
          <w:b/>
        </w:rPr>
        <w:t>4. Сроки и условия поставки Товара</w:t>
      </w:r>
    </w:p>
    <w:p>
      <w:pPr>
        <w:pStyle w:val="Normal"/>
        <w:shd w:fill="FFFFFF" w:val="clear"/>
        <w:tabs>
          <w:tab w:val="clear" w:pos="708"/>
          <w:tab w:val="left" w:pos="0" w:leader="none"/>
          <w:tab w:val="left" w:pos="900" w:leader="none"/>
        </w:tabs>
        <w:jc w:val="both"/>
        <w:rPr/>
      </w:pPr>
      <w:r>
        <w:rPr/>
        <w:t xml:space="preserve">4.1. Поставка товара осуществляется в течение </w:t>
      </w:r>
      <w:r>
        <w:rPr/>
        <w:t>14</w:t>
      </w:r>
      <w:r>
        <w:rPr/>
        <w:t xml:space="preserve"> (</w:t>
      </w:r>
      <w:r>
        <w:rPr/>
        <w:t>четырнадцать</w:t>
      </w:r>
      <w:r>
        <w:rPr/>
        <w:t>) рабочих  дней, следующих за днем заключения контракта.</w:t>
      </w:r>
    </w:p>
    <w:p>
      <w:pPr>
        <w:pStyle w:val="Normal"/>
        <w:shd w:fill="FFFFFF" w:val="clear"/>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fill="FFFFFF" w:val="clear"/>
        <w:tabs>
          <w:tab w:val="clear" w:pos="708"/>
          <w:tab w:val="left" w:pos="0" w:leader="none"/>
          <w:tab w:val="left" w:pos="900" w:leader="none"/>
        </w:tabs>
        <w:jc w:val="both"/>
        <w:rPr>
          <w:color w:themeColor="dark1" w:val="000000"/>
        </w:rPr>
      </w:pPr>
      <w:r>
        <w:rPr/>
        <w:t xml:space="preserve">4.3. </w:t>
      </w:r>
      <w:r>
        <w:rPr>
          <w:color w:themeColor="dark1" w:val="000000"/>
        </w:rPr>
        <w:t>Датой поставки Товара считается дата подписания Заказчиком счет-фактуры (УПД) или товарной накладной.</w:t>
      </w:r>
    </w:p>
    <w:p>
      <w:pPr>
        <w:pStyle w:val="Normal"/>
        <w:jc w:val="both"/>
        <w:rPr>
          <w:color w:themeColor="dark1" w:val="000000"/>
        </w:rPr>
      </w:pPr>
      <w:r>
        <w:rPr>
          <w:color w:themeColor="dark1" w:val="000000"/>
        </w:rPr>
        <w:t>4.4. Вместе с Товаром Поставщик передает Заказчику оригиналы следующих документов:</w:t>
      </w:r>
    </w:p>
    <w:p>
      <w:pPr>
        <w:pStyle w:val="Normal"/>
        <w:shd w:fill="FFFFFF" w:val="clear"/>
        <w:tabs>
          <w:tab w:val="clear" w:pos="708"/>
          <w:tab w:val="left" w:pos="0" w:leader="none"/>
          <w:tab w:val="left" w:pos="900" w:leader="none"/>
        </w:tabs>
        <w:jc w:val="both"/>
        <w:rPr>
          <w:color w:themeColor="dark1" w:val="000000"/>
        </w:rPr>
      </w:pPr>
      <w:r>
        <w:rPr>
          <w:color w:themeColor="dark1" w:val="000000"/>
        </w:rPr>
        <w:t> </w:t>
      </w:r>
      <w:r>
        <w:rPr>
          <w:color w:themeColor="dark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течение 3 рабочих дней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контракта,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Контракту.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Контракта;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shd w:fill="FFFF00" w:val="clear"/>
        </w:rPr>
        <w:t>_____________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Контракта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 xml:space="preserve">Настоящий Контракт вступает в силу с момента заключения и действует до </w:t>
      </w:r>
      <w:r>
        <w:rPr>
          <w:rFonts w:ascii="Times New Roman" w:hAnsi="Times New Roman"/>
          <w:sz w:val="20"/>
          <w:szCs w:val="20"/>
        </w:rPr>
        <w:t>14</w:t>
      </w:r>
      <w:r>
        <w:rPr>
          <w:rFonts w:ascii="Times New Roman" w:hAnsi="Times New Roman"/>
          <w:sz w:val="20"/>
          <w:szCs w:val="20"/>
        </w:rPr>
        <w:t>.0</w:t>
      </w:r>
      <w:r>
        <w:rPr>
          <w:rFonts w:ascii="Times New Roman" w:hAnsi="Times New Roman"/>
          <w:sz w:val="20"/>
          <w:szCs w:val="20"/>
        </w:rPr>
        <w:t>8</w:t>
      </w:r>
      <w:r>
        <w:rPr>
          <w:rFonts w:ascii="Times New Roman" w:hAnsi="Times New Roman"/>
          <w:sz w:val="20"/>
          <w:szCs w:val="20"/>
        </w:rPr>
        <w:t>.2026 г., 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fill="FFFFFF" w:val="clear"/>
        <w:jc w:val="center"/>
        <w:rPr>
          <w:b/>
        </w:rPr>
      </w:pPr>
      <w:r>
        <w:rPr>
          <w:b/>
        </w:rPr>
        <w:t>10. Переход права собственности и риск случайной гибели Товара</w:t>
      </w:r>
    </w:p>
    <w:p>
      <w:pPr>
        <w:pStyle w:val="Normal"/>
        <w:shd w:fill="FFFFFF" w:val="clear"/>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fill="FFFFFF" w:val="clear"/>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fill="FFFFFF" w:val="clear"/>
        <w:tabs>
          <w:tab w:val="clear" w:pos="708"/>
          <w:tab w:val="left" w:pos="540" w:leader="none"/>
          <w:tab w:val="left" w:pos="1248" w:leader="none"/>
        </w:tabs>
        <w:jc w:val="both"/>
        <w:rPr/>
      </w:pPr>
      <w:r>
        <w:rPr/>
      </w:r>
    </w:p>
    <w:p>
      <w:pPr>
        <w:pStyle w:val="Normal"/>
        <w:shd w:fill="FFFFFF" w:val="clear"/>
        <w:tabs>
          <w:tab w:val="clear" w:pos="708"/>
          <w:tab w:val="left" w:pos="540" w:leader="none"/>
          <w:tab w:val="left" w:pos="1248" w:leader="none"/>
        </w:tabs>
        <w:jc w:val="center"/>
        <w:rPr>
          <w:b/>
        </w:rPr>
      </w:pPr>
      <w:r>
        <w:rPr>
          <w:b/>
        </w:rPr>
        <w:t>11. Противодействие коррупции</w:t>
      </w:r>
    </w:p>
    <w:p>
      <w:pPr>
        <w:pStyle w:val="Normal"/>
        <w:shd w:fill="FFFFFF" w:val="clear"/>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fill="FFFFFF" w:val="clear"/>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fill="FFFFFF" w:val="clear"/>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fill="FFFFFF" w:val="clear"/>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fill="FFFFFF" w:val="clear"/>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fill="FFFFFF" w:val="clear"/>
        <w:tabs>
          <w:tab w:val="clear" w:pos="708"/>
          <w:tab w:val="left" w:pos="540" w:leader="none"/>
          <w:tab w:val="left" w:pos="1248" w:leader="none"/>
        </w:tabs>
        <w:jc w:val="center"/>
        <w:rPr/>
      </w:pPr>
      <w:r>
        <w:rPr/>
      </w:r>
    </w:p>
    <w:p>
      <w:pPr>
        <w:pStyle w:val="Normal"/>
        <w:shd w:fill="FFFFFF" w:val="clear"/>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fill="FFFFFF" w:val="clear"/>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Pr>
      <w:tblGrid>
        <w:gridCol w:w="5636"/>
        <w:gridCol w:w="4820"/>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rPr/>
            </w:pPr>
            <w:r>
              <w:rPr/>
              <w:t>Банковские реквизиты:</w:t>
            </w:r>
          </w:p>
          <w:p>
            <w:pPr>
              <w:pStyle w:val="Normal"/>
              <w:rPr/>
            </w:pPr>
            <w:r>
              <w:rPr/>
              <w:t>ИНН 4205012290  КПП 420501001</w:t>
            </w:r>
          </w:p>
          <w:p>
            <w:pPr>
              <w:pStyle w:val="Normal"/>
              <w:widowControl/>
              <w:overflowPunct w:val="false"/>
              <w:spacing w:before="0" w:after="0"/>
              <w:jc w:val="left"/>
              <w:textAlignment w:val="auto"/>
              <w:rPr>
                <w:b/>
                <w:szCs w:val="24"/>
              </w:rPr>
            </w:pPr>
            <w:r>
              <w:rPr>
                <w:b/>
                <w:szCs w:val="24"/>
              </w:rPr>
              <w:t>УФК по Новосибирской области (НИИ КПССЗ л/с 20396Х66880)</w:t>
            </w:r>
          </w:p>
          <w:p>
            <w:pPr>
              <w:pStyle w:val="Normal"/>
              <w:widowControl/>
              <w:overflowPunct w:val="false"/>
              <w:spacing w:before="0" w:after="0"/>
              <w:jc w:val="left"/>
              <w:textAlignment w:val="auto"/>
              <w:rPr>
                <w:b/>
                <w:szCs w:val="24"/>
              </w:rPr>
            </w:pPr>
            <w:r>
              <w:rPr>
                <w:b/>
                <w:szCs w:val="24"/>
              </w:rPr>
              <w:t>УФК по Новосибирской области (НИИ КПССЗ л/с 22396Х66880)</w:t>
            </w:r>
          </w:p>
          <w:p>
            <w:pPr>
              <w:pStyle w:val="Normal"/>
              <w:widowControl/>
              <w:overflowPunct w:val="false"/>
              <w:spacing w:before="0" w:after="0"/>
              <w:jc w:val="left"/>
              <w:textAlignment w:val="auto"/>
              <w:rPr>
                <w:b/>
                <w:szCs w:val="24"/>
              </w:rPr>
            </w:pPr>
            <w:r>
              <w:rPr>
                <w:b/>
                <w:szCs w:val="24"/>
              </w:rPr>
              <w:t>УФК по Новосибирской области (НИИ КПССЗ л/с 21396Х66880)</w:t>
            </w:r>
          </w:p>
          <w:p>
            <w:pPr>
              <w:pStyle w:val="Normal"/>
              <w:widowControl/>
              <w:overflowPunct w:val="false"/>
              <w:spacing w:before="0" w:after="0"/>
              <w:jc w:val="left"/>
              <w:textAlignment w:val="auto"/>
              <w:rPr>
                <w:szCs w:val="24"/>
              </w:rPr>
            </w:pPr>
            <w:r>
              <w:rPr>
                <w:szCs w:val="24"/>
              </w:rPr>
              <w:t>ИНН 4205012290  КПП 420501001</w:t>
            </w:r>
          </w:p>
          <w:p>
            <w:pPr>
              <w:pStyle w:val="Normal"/>
              <w:widowControl/>
              <w:overflowPunct w:val="false"/>
              <w:spacing w:before="0" w:after="0"/>
              <w:jc w:val="left"/>
              <w:textAlignment w:val="auto"/>
              <w:rPr>
                <w:szCs w:val="24"/>
              </w:rPr>
            </w:pPr>
            <w:r>
              <w:rPr>
                <w:szCs w:val="24"/>
              </w:rPr>
              <w:t>р/с 03214643000000015106</w:t>
            </w:r>
          </w:p>
          <w:p>
            <w:pPr>
              <w:pStyle w:val="Normal"/>
              <w:widowControl/>
              <w:overflowPunct w:val="false"/>
              <w:spacing w:before="0" w:after="0"/>
              <w:jc w:val="left"/>
              <w:textAlignment w:val="auto"/>
              <w:rPr/>
            </w:pPr>
            <w:r>
              <w:rPr>
                <w:rFonts w:eastAsia="Times New Roman" w:cs="Times New Roman"/>
                <w:color w:val="auto"/>
                <w:sz w:val="24"/>
                <w:szCs w:val="24"/>
                <w:lang w:val="ru-RU" w:eastAsia="zh-CN" w:bidi="ar-SA"/>
              </w:rPr>
              <w:t>ОКЦ № 1 СибГУ Банка России</w:t>
            </w:r>
            <w:r>
              <w:rPr>
                <w:szCs w:val="24"/>
              </w:rPr>
              <w:t>//УФК по Новосибирской области, г. Новосибирск</w:t>
            </w:r>
          </w:p>
          <w:p>
            <w:pPr>
              <w:pStyle w:val="Normal"/>
              <w:widowControl/>
              <w:overflowPunct w:val="false"/>
              <w:spacing w:before="0" w:after="0"/>
              <w:jc w:val="left"/>
              <w:textAlignment w:val="auto"/>
              <w:rPr>
                <w:szCs w:val="24"/>
              </w:rPr>
            </w:pPr>
            <w:r>
              <w:rPr>
                <w:szCs w:val="24"/>
              </w:rPr>
              <w:t>БИК 015004950</w:t>
            </w:r>
          </w:p>
          <w:p>
            <w:pPr>
              <w:pStyle w:val="Normal"/>
              <w:widowControl/>
              <w:overflowPunct w:val="false"/>
              <w:spacing w:before="0" w:after="0"/>
              <w:jc w:val="left"/>
              <w:textAlignment w:val="auto"/>
              <w:rPr>
                <w:szCs w:val="24"/>
              </w:rPr>
            </w:pPr>
            <w:r>
              <w:rPr>
                <w:szCs w:val="24"/>
              </w:rPr>
              <w:t>к/с 40102810445370000043</w:t>
            </w:r>
          </w:p>
          <w:p>
            <w:pPr>
              <w:pStyle w:val="Normal"/>
              <w:widowControl/>
              <w:overflowPunct w:val="false"/>
              <w:spacing w:before="0" w:after="0"/>
              <w:jc w:val="left"/>
              <w:textAlignment w:val="auto"/>
              <w:rPr/>
            </w:pPr>
            <w:r>
              <w:rPr>
                <w:b/>
                <w:szCs w:val="24"/>
                <w:u w:val="single"/>
              </w:rPr>
              <w:t>КБК 00000000000000000</w:t>
            </w:r>
            <w:r>
              <w:rPr>
                <w:b/>
                <w:szCs w:val="24"/>
                <w:u w:val="single"/>
                <w:lang w:val="en-US"/>
              </w:rPr>
              <w:t>130</w:t>
            </w:r>
          </w:p>
          <w:p>
            <w:pPr>
              <w:pStyle w:val="Normal"/>
              <w:widowControl/>
              <w:overflowPunct w:val="false"/>
              <w:spacing w:before="0" w:after="0"/>
              <w:jc w:val="left"/>
              <w:textAlignment w:val="auto"/>
              <w:rPr>
                <w:szCs w:val="24"/>
              </w:rPr>
            </w:pPr>
            <w:r>
              <w:rPr>
                <w:szCs w:val="24"/>
              </w:rPr>
              <w:t>ОГРН 1034205024479</w:t>
            </w:r>
          </w:p>
          <w:p>
            <w:pPr>
              <w:pStyle w:val="Normal"/>
              <w:widowControl/>
              <w:overflowPunct w:val="false"/>
              <w:spacing w:before="0" w:after="0"/>
              <w:jc w:val="left"/>
              <w:textAlignment w:val="auto"/>
              <w:rPr>
                <w:szCs w:val="24"/>
              </w:rPr>
            </w:pPr>
            <w:r>
              <w:rPr>
                <w:szCs w:val="24"/>
              </w:rPr>
              <w:t>ОКПО 55608705</w:t>
            </w:r>
          </w:p>
          <w:p>
            <w:pPr>
              <w:pStyle w:val="Normal"/>
              <w:widowControl/>
              <w:overflowPunct w:val="false"/>
              <w:spacing w:before="0" w:after="0"/>
              <w:jc w:val="left"/>
              <w:textAlignment w:val="auto"/>
              <w:rPr>
                <w:szCs w:val="24"/>
              </w:rPr>
            </w:pPr>
            <w:r>
              <w:rPr>
                <w:szCs w:val="24"/>
              </w:rPr>
              <w:t>ОКАТО 32401000000</w:t>
            </w:r>
          </w:p>
          <w:p>
            <w:pPr>
              <w:pStyle w:val="Normal"/>
              <w:widowControl/>
              <w:overflowPunct w:val="false"/>
              <w:spacing w:before="0" w:after="0"/>
              <w:jc w:val="left"/>
              <w:textAlignment w:val="auto"/>
              <w:rPr>
                <w:szCs w:val="24"/>
              </w:rPr>
            </w:pPr>
            <w:r>
              <w:rPr>
                <w:szCs w:val="24"/>
              </w:rPr>
              <w:t>ОКТМО 32701000</w:t>
            </w:r>
          </w:p>
          <w:p>
            <w:pPr>
              <w:pStyle w:val="Normal"/>
              <w:widowControl/>
              <w:overflowPunct w:val="false"/>
              <w:spacing w:before="0" w:after="0"/>
              <w:jc w:val="left"/>
              <w:textAlignment w:val="auto"/>
              <w:rPr>
                <w:szCs w:val="24"/>
              </w:rPr>
            </w:pPr>
            <w:r>
              <w:rPr>
                <w:szCs w:val="24"/>
              </w:rPr>
              <w:t>ОКОГУ 1330612</w:t>
            </w:r>
          </w:p>
          <w:p>
            <w:pPr>
              <w:pStyle w:val="Normal"/>
              <w:widowControl/>
              <w:overflowPunct w:val="false"/>
              <w:spacing w:before="0" w:after="0"/>
              <w:jc w:val="left"/>
              <w:textAlignment w:val="auto"/>
              <w:rPr>
                <w:szCs w:val="24"/>
              </w:rPr>
            </w:pPr>
            <w:r>
              <w:rPr>
                <w:szCs w:val="24"/>
              </w:rPr>
              <w:t>ОКФС 12</w:t>
            </w:r>
          </w:p>
          <w:p>
            <w:pPr>
              <w:pStyle w:val="Normal"/>
              <w:widowControl/>
              <w:overflowPunct w:val="false"/>
              <w:spacing w:before="0" w:after="0"/>
              <w:jc w:val="left"/>
              <w:textAlignment w:val="auto"/>
              <w:rPr>
                <w:szCs w:val="24"/>
              </w:rPr>
            </w:pPr>
            <w:r>
              <w:rPr>
                <w:szCs w:val="24"/>
              </w:rPr>
              <w:t>ОКОПФ 75103</w:t>
            </w:r>
          </w:p>
          <w:p>
            <w:pPr>
              <w:pStyle w:val="Normal"/>
              <w:jc w:val="both"/>
              <w:rPr/>
            </w:pPr>
            <w:r>
              <w:rPr/>
            </w:r>
          </w:p>
          <w:p>
            <w:pPr>
              <w:pStyle w:val="11"/>
              <w:rPr>
                <w:rFonts w:ascii="Times New Roman" w:hAnsi="Times New Roman" w:cs="Times New Roman"/>
                <w:sz w:val="20"/>
                <w:szCs w:val="20"/>
              </w:rPr>
            </w:pPr>
            <w:r>
              <w:rPr>
                <w:rFonts w:cs="Times New Roman" w:ascii="Times New Roman" w:hAnsi="Times New Roman"/>
                <w:sz w:val="20"/>
                <w:szCs w:val="20"/>
              </w:rPr>
              <w:t>И.О. Н</w:t>
            </w:r>
            <w:r>
              <w:rPr>
                <w:rFonts w:cs="Times New Roman" w:ascii="Times New Roman" w:hAnsi="Times New Roman"/>
                <w:sz w:val="20"/>
                <w:szCs w:val="20"/>
              </w:rPr>
              <w:t>ачальник</w:t>
            </w:r>
            <w:r>
              <w:rPr>
                <w:rFonts w:cs="Times New Roman" w:ascii="Times New Roman" w:hAnsi="Times New Roman"/>
                <w:sz w:val="20"/>
                <w:szCs w:val="20"/>
              </w:rPr>
              <w:t>а</w:t>
            </w:r>
            <w:r>
              <w:rPr>
                <w:rFonts w:cs="Times New Roman" w:ascii="Times New Roman" w:hAnsi="Times New Roman"/>
                <w:sz w:val="20"/>
                <w:szCs w:val="20"/>
              </w:rPr>
              <w:t xml:space="preserve"> отдела обеспечения</w:t>
            </w:r>
          </w:p>
          <w:p>
            <w:pPr>
              <w:pStyle w:val="11"/>
              <w:rPr>
                <w:rFonts w:ascii="Times New Roman" w:hAnsi="Times New Roman" w:cs="Times New Roman"/>
                <w:sz w:val="20"/>
                <w:szCs w:val="20"/>
              </w:rPr>
            </w:pPr>
            <w:r>
              <w:rPr>
                <w:rFonts w:cs="Times New Roman" w:ascii="Times New Roman" w:hAnsi="Times New Roman"/>
                <w:sz w:val="20"/>
                <w:szCs w:val="20"/>
              </w:rPr>
              <w:t>лекарственными изделиями и</w:t>
            </w:r>
          </w:p>
          <w:p>
            <w:pPr>
              <w:pStyle w:val="11"/>
              <w:rPr>
                <w:rFonts w:ascii="Times New Roman" w:hAnsi="Times New Roman" w:cs="Times New Roman"/>
                <w:sz w:val="20"/>
                <w:szCs w:val="20"/>
              </w:rPr>
            </w:pPr>
            <w:r>
              <w:rPr>
                <w:rFonts w:cs="Times New Roman" w:ascii="Times New Roman" w:hAnsi="Times New Roman"/>
                <w:sz w:val="20"/>
                <w:szCs w:val="20"/>
              </w:rPr>
              <w:t>медицинскими изделиями</w:t>
            </w:r>
          </w:p>
          <w:p>
            <w:pPr>
              <w:pStyle w:val="11"/>
              <w:rPr>
                <w:rFonts w:ascii="Times New Roman" w:hAnsi="Times New Roman" w:cs="Times New Roman"/>
                <w:sz w:val="20"/>
                <w:szCs w:val="20"/>
              </w:rPr>
            </w:pPr>
            <w:r>
              <w:rPr>
                <w:rFonts w:cs="Times New Roman" w:ascii="Times New Roman" w:hAnsi="Times New Roman"/>
                <w:sz w:val="20"/>
                <w:szCs w:val="20"/>
              </w:rPr>
            </w:r>
          </w:p>
          <w:p>
            <w:pPr>
              <w:pStyle w:val="Normal"/>
              <w:rPr/>
            </w:pPr>
            <w:r>
              <w:rPr/>
            </w:r>
          </w:p>
          <w:p>
            <w:pPr>
              <w:pStyle w:val="Normal"/>
              <w:rPr/>
            </w:pPr>
            <w:r>
              <w:rPr/>
            </w:r>
          </w:p>
        </w:tc>
        <w:tc>
          <w:tcPr>
            <w:tcW w:w="4820" w:type="dxa"/>
            <w:tcBorders/>
          </w:tcPr>
          <w:p>
            <w:pPr>
              <w:pStyle w:val="Normal"/>
              <w:jc w:val="both"/>
              <w:rPr/>
            </w:pPr>
            <w:r>
              <w:rPr/>
            </w:r>
          </w:p>
          <w:p>
            <w:pPr>
              <w:pStyle w:val="Normal"/>
              <w:jc w:val="both"/>
              <w:rPr>
                <w:b/>
                <w:bCs/>
                <w:shd w:fill="FFFF00" w:val="clear"/>
              </w:rPr>
            </w:pPr>
            <w:r>
              <w:rPr>
                <w:b/>
                <w:bCs/>
                <w:shd w:fill="FFFF00" w:val="clear"/>
              </w:rPr>
              <w:t>Поставщик:</w:t>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shd w:fill="FFFF00" w:val="clear"/>
              </w:rPr>
            </w:pPr>
            <w:r>
              <w:rPr>
                <w:shd w:fill="FFFF00" w:val="clear"/>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default" r:id="rId2"/>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Контракту </w:t>
      </w:r>
      <w:r>
        <w:rPr>
          <w:b/>
          <w:bCs/>
        </w:rPr>
        <w:t>№ 9</w:t>
      </w:r>
      <w:r>
        <w:rPr>
          <w:b/>
          <w:bCs/>
        </w:rPr>
        <w:t>9</w:t>
      </w:r>
      <w:r>
        <w:rPr>
          <w:b/>
          <w:bCs/>
        </w:rPr>
        <w:t>/26</w:t>
      </w:r>
    </w:p>
    <w:p>
      <w:pPr>
        <w:pStyle w:val="Normal"/>
        <w:spacing w:before="0" w:after="60"/>
        <w:jc w:val="right"/>
        <w:rPr>
          <w:b/>
          <w:bCs/>
        </w:rPr>
      </w:pPr>
      <w:r>
        <w:rPr/>
        <w:t xml:space="preserve">                                                                                                                                </w:t>
      </w:r>
      <w:r>
        <w:rPr>
          <w:rFonts w:eastAsia="Calibri"/>
          <w:lang w:eastAsia="en-US"/>
        </w:rPr>
        <w:t>«      »ию</w:t>
      </w:r>
      <w:r>
        <w:rPr>
          <w:rFonts w:eastAsia="Calibri"/>
          <w:lang w:eastAsia="en-US"/>
        </w:rPr>
        <w:t>л</w:t>
      </w:r>
      <w:r>
        <w:rPr>
          <w:rFonts w:eastAsia="Calibri"/>
          <w:lang w:eastAsia="en-US"/>
        </w:rPr>
        <w:t>я 2026г.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0" w:type="dxa"/>
        <w:tblLayout w:type="fixed"/>
        <w:tblCellMar>
          <w:top w:w="0" w:type="dxa"/>
          <w:left w:w="108" w:type="dxa"/>
          <w:bottom w:w="0" w:type="dxa"/>
          <w:right w:w="108" w:type="dxa"/>
        </w:tblCellMar>
      </w:tblPr>
      <w:tblGrid>
        <w:gridCol w:w="562"/>
        <w:gridCol w:w="38"/>
        <w:gridCol w:w="7764"/>
        <w:gridCol w:w="399"/>
        <w:gridCol w:w="1155"/>
        <w:gridCol w:w="1256"/>
        <w:gridCol w:w="2412"/>
        <w:gridCol w:w="2128"/>
      </w:tblGrid>
      <w:tr>
        <w:trPr>
          <w:trHeight w:val="574" w:hRule="atLeast"/>
        </w:trPr>
        <w:tc>
          <w:tcPr>
            <w:tcW w:w="6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auto" w:val="clear"/>
              </w:rPr>
            </w:pPr>
            <w:r>
              <w:rPr>
                <w:shd w:fill="auto" w:val="clear"/>
              </w:rPr>
              <w:t>№</w:t>
            </w:r>
          </w:p>
          <w:p>
            <w:pPr>
              <w:pStyle w:val="Normal"/>
              <w:widowControl w:val="false"/>
              <w:jc w:val="center"/>
              <w:rPr>
                <w:shd w:fill="auto" w:val="clear"/>
              </w:rPr>
            </w:pPr>
            <w:r>
              <w:rPr>
                <w:shd w:fill="auto" w:val="clear"/>
              </w:rPr>
              <w:t>п/п</w:t>
            </w:r>
          </w:p>
        </w:tc>
        <w:tc>
          <w:tcPr>
            <w:tcW w:w="7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auto" w:val="clear"/>
              </w:rPr>
            </w:pPr>
            <w:r>
              <w:rPr>
                <w:shd w:fill="auto" w:val="clear"/>
              </w:rPr>
              <w:t>Наименование, минимальные технические (качественные) характеристики  товара</w:t>
            </w:r>
          </w:p>
        </w:tc>
        <w:tc>
          <w:tcPr>
            <w:tcW w:w="15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hd w:fill="auto" w:val="clear"/>
              </w:rPr>
              <w:t>Кол-во</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hd w:fill="auto" w:val="clear"/>
              </w:rPr>
            </w:pPr>
            <w:r>
              <w:rPr>
                <w:shd w:fill="auto" w:val="clear"/>
              </w:rPr>
              <w:t>Ед. изм.</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val="clear"/>
              <w:jc w:val="center"/>
              <w:rPr>
                <w:shd w:fill="auto" w:val="clear"/>
              </w:rPr>
            </w:pPr>
            <w:r>
              <w:rPr>
                <w:color w:val="000000"/>
                <w:spacing w:val="-11"/>
                <w:shd w:fill="auto" w:val="clear"/>
              </w:rPr>
              <w:t>Стоимость единицы с НДС , рублей</w:t>
            </w:r>
          </w:p>
        </w:tc>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fill="FFFFFF" w:val="clear"/>
              <w:jc w:val="center"/>
              <w:rPr>
                <w:shd w:fill="auto" w:val="clear"/>
              </w:rPr>
            </w:pPr>
            <w:r>
              <w:rPr>
                <w:color w:val="000000"/>
                <w:spacing w:val="-11"/>
                <w:shd w:fill="auto" w:val="clear"/>
              </w:rPr>
              <w:t>Общая стоимость с НДС, рублей</w:t>
            </w:r>
          </w:p>
        </w:tc>
      </w:tr>
      <w:tr>
        <w:trPr>
          <w:trHeight w:val="406" w:hRule="atLeast"/>
        </w:trPr>
        <w:tc>
          <w:tcPr>
            <w:tcW w:w="600" w:type="dxa"/>
            <w:gridSpan w:val="2"/>
            <w:tcBorders>
              <w:top w:val="single" w:sz="4" w:space="0" w:color="000000"/>
              <w:left w:val="single" w:sz="10" w:space="0" w:color="000000"/>
              <w:bottom w:val="single" w:sz="4" w:space="0" w:color="000000"/>
              <w:right w:val="single" w:sz="4" w:space="0" w:color="000000"/>
            </w:tcBorders>
            <w:vAlign w:val="center"/>
          </w:tcPr>
          <w:p>
            <w:pPr>
              <w:pStyle w:val="Normal"/>
              <w:jc w:val="center"/>
              <w:rPr>
                <w:shd w:fill="auto" w:val="clear"/>
              </w:rPr>
            </w:pPr>
            <w:r>
              <w:rPr>
                <w:shd w:fill="auto" w:val="clear"/>
              </w:rPr>
              <w:t>1</w:t>
            </w:r>
          </w:p>
        </w:tc>
        <w:tc>
          <w:tcPr>
            <w:tcW w:w="7764" w:type="dxa"/>
            <w:tcBorders>
              <w:top w:val="single" w:sz="4" w:space="0" w:color="000001"/>
              <w:left w:val="single" w:sz="4" w:space="0" w:color="000001"/>
              <w:bottom w:val="single" w:sz="4" w:space="0" w:color="000000"/>
              <w:right w:val="single" w:sz="4" w:space="0" w:color="000000"/>
            </w:tcBorders>
          </w:tcPr>
          <w:p>
            <w:pPr>
              <w:pStyle w:val="Normal"/>
              <w:rPr>
                <w:rFonts w:ascii="Times New Roman" w:hAnsi="Times New Roman" w:cs="Times New Roman"/>
                <w:b/>
                <w:bCs/>
                <w:sz w:val="16"/>
                <w:szCs w:val="16"/>
                <w:shd w:fill="FFFFFF" w:val="clear"/>
              </w:rPr>
            </w:pPr>
            <w:r>
              <w:rPr>
                <w:rFonts w:cs="Times New Roman"/>
                <w:b/>
                <w:bCs/>
                <w:sz w:val="16"/>
                <w:szCs w:val="16"/>
                <w:shd w:fill="FFFFFF" w:val="clear"/>
              </w:rPr>
              <w:t xml:space="preserve">Наименование товара, работы, услуги: </w:t>
            </w:r>
            <w:r>
              <w:rPr>
                <w:rFonts w:cs="Times New Roman"/>
                <w:b/>
                <w:bCs/>
                <w:sz w:val="16"/>
                <w:szCs w:val="16"/>
                <w:shd w:fill="FFFFFF" w:val="clear"/>
              </w:rPr>
              <w:t>Перчатки диагностические смотровые нитриловые неопудренные текстурированные нестерильные одноразовые размер XL</w:t>
            </w:r>
          </w:p>
          <w:tbl>
            <w:tblPr>
              <w:tblW w:w="7423" w:type="dxa"/>
              <w:jc w:val="left"/>
              <w:tblInd w:w="50" w:type="dxa"/>
              <w:tblLayout w:type="fixed"/>
              <w:tblCellMar>
                <w:top w:w="0" w:type="dxa"/>
                <w:left w:w="108" w:type="dxa"/>
                <w:bottom w:w="0" w:type="dxa"/>
                <w:right w:w="108" w:type="dxa"/>
              </w:tblCellMar>
            </w:tblPr>
            <w:tblGrid>
              <w:gridCol w:w="2606"/>
              <w:gridCol w:w="3120"/>
              <w:gridCol w:w="1697"/>
            </w:tblGrid>
            <w:tr>
              <w:trPr/>
              <w:tc>
                <w:tcPr>
                  <w:tcW w:w="2606" w:type="dxa"/>
                  <w:tcBorders>
                    <w:top w:val="single" w:sz="4" w:space="0" w:color="000000"/>
                    <w:left w:val="single" w:sz="4" w:space="0" w:color="000000"/>
                    <w:bottom w:val="single" w:sz="4" w:space="0" w:color="000000"/>
                    <w:right w:val="single" w:sz="4" w:space="0" w:color="000000"/>
                  </w:tcBorders>
                </w:tcPr>
                <w:p>
                  <w:pPr>
                    <w:pStyle w:val="NoSpacing"/>
                    <w:rPr>
                      <w:sz w:val="16"/>
                      <w:szCs w:val="16"/>
                      <w:shd w:fill="auto" w:val="clear"/>
                    </w:rPr>
                  </w:pPr>
                  <w:r>
                    <w:rPr>
                      <w:rFonts w:eastAsia="Times New Roman" w:ascii="Times New Roman" w:hAnsi="Times New Roman"/>
                      <w:b/>
                      <w:bCs/>
                      <w:caps/>
                      <w:sz w:val="16"/>
                      <w:szCs w:val="16"/>
                      <w:shd w:fill="auto" w:val="clear"/>
                    </w:rPr>
                    <w:t>НАИМЕНОВАНИЕ ХАРАКТЕРИСТИКИ</w:t>
                  </w:r>
                </w:p>
              </w:tc>
              <w:tc>
                <w:tcPr>
                  <w:tcW w:w="3120" w:type="dxa"/>
                  <w:tcBorders>
                    <w:top w:val="single" w:sz="4" w:space="0" w:color="000000"/>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
                      <w:sz w:val="16"/>
                      <w:szCs w:val="16"/>
                      <w:lang w:eastAsia="ru-RU"/>
                    </w:rPr>
                    <w:t>ЗНАЧЕНИЕ ХАРАКТЕРИСТИКИ</w:t>
                  </w:r>
                </w:p>
              </w:tc>
              <w:tc>
                <w:tcPr>
                  <w:tcW w:w="1697" w:type="dxa"/>
                  <w:tcBorders>
                    <w:top w:val="single" w:sz="4" w:space="0" w:color="000000"/>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
                      <w:sz w:val="16"/>
                      <w:szCs w:val="16"/>
                      <w:lang w:eastAsia="ru-RU"/>
                    </w:rPr>
                    <w:t>ЕДИНИЦА ИЗМЕРЕНИЯ ХАРАКТЕРИСТИКИ</w:t>
                  </w:r>
                </w:p>
              </w:tc>
            </w:tr>
            <w:tr>
              <w:trPr/>
              <w:tc>
                <w:tcPr>
                  <w:tcW w:w="2606" w:type="dxa"/>
                  <w:tcBorders>
                    <w:top w:val="single" w:sz="4" w:space="0" w:color="000000"/>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Cs/>
                      <w:sz w:val="16"/>
                      <w:szCs w:val="16"/>
                      <w:lang w:eastAsia="ru-RU"/>
                    </w:rPr>
                    <w:t>Описание</w:t>
                  </w:r>
                </w:p>
              </w:tc>
              <w:tc>
                <w:tcPr>
                  <w:tcW w:w="3120" w:type="dxa"/>
                  <w:tcBorders>
                    <w:top w:val="single" w:sz="4" w:space="0" w:color="000000"/>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 w:val="false"/>
                      <w:bCs/>
                      <w:i w:val="false"/>
                      <w:caps w:val="false"/>
                      <w:smallCaps w:val="false"/>
                      <w:color w:val="000000"/>
                      <w:spacing w:val="0"/>
                      <w:sz w:val="16"/>
                      <w:szCs w:val="16"/>
                      <w:lang w:eastAsia="ru-RU"/>
                    </w:rPr>
                    <w:t>Одноразовые перчатки, изготовленные на основе нитрильного латекса, неопудренные, нестерильные</w:t>
                  </w:r>
                </w:p>
              </w:tc>
              <w:tc>
                <w:tcPr>
                  <w:tcW w:w="169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eastAsia="Times New Roman"/>
                      <w:b/>
                      <w:sz w:val="16"/>
                      <w:szCs w:val="16"/>
                      <w:lang w:eastAsia="ru-RU"/>
                    </w:rPr>
                  </w:pPr>
                  <w:r>
                    <w:rPr>
                      <w:rFonts w:eastAsia="Times New Roman" w:ascii="Times New Roman" w:hAnsi="Times New Roman"/>
                      <w:b/>
                      <w:sz w:val="16"/>
                      <w:szCs w:val="16"/>
                      <w:lang w:eastAsia="ru-RU"/>
                    </w:rPr>
                  </w:r>
                </w:p>
              </w:tc>
            </w:tr>
            <w:tr>
              <w:trPr/>
              <w:tc>
                <w:tcPr>
                  <w:tcW w:w="2606" w:type="dxa"/>
                  <w:tcBorders>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Cs/>
                      <w:sz w:val="16"/>
                      <w:szCs w:val="16"/>
                      <w:lang w:eastAsia="ru-RU"/>
                    </w:rPr>
                    <w:t>Минимальная толщина т</w:t>
                  </w:r>
                  <w:r>
                    <w:rPr>
                      <w:rFonts w:ascii="Times New Roman" w:hAnsi="Times New Roman"/>
                      <w:b w:val="false"/>
                      <w:i w:val="false"/>
                      <w:caps w:val="false"/>
                      <w:smallCaps w:val="false"/>
                      <w:color w:val="000000"/>
                      <w:spacing w:val="0"/>
                      <w:sz w:val="16"/>
                      <w:szCs w:val="16"/>
                    </w:rPr>
                    <w:t>екстурированной поверхности в области пальцев</w:t>
                  </w:r>
                </w:p>
              </w:tc>
              <w:tc>
                <w:tcPr>
                  <w:tcW w:w="3120" w:type="dxa"/>
                  <w:tcBorders>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 w:val="false"/>
                      <w:bCs/>
                      <w:i w:val="false"/>
                      <w:caps w:val="false"/>
                      <w:smallCaps w:val="false"/>
                      <w:color w:val="000000"/>
                      <w:spacing w:val="0"/>
                      <w:sz w:val="16"/>
                      <w:szCs w:val="16"/>
                      <w:lang w:eastAsia="ru-RU"/>
                    </w:rPr>
                    <w:t>0,11</w:t>
                  </w:r>
                </w:p>
              </w:tc>
              <w:tc>
                <w:tcPr>
                  <w:tcW w:w="1697" w:type="dxa"/>
                  <w:tcBorders>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sz w:val="16"/>
                      <w:szCs w:val="16"/>
                      <w:lang w:eastAsia="ru-RU"/>
                    </w:rPr>
                    <w:t>миллиметр</w:t>
                  </w:r>
                </w:p>
              </w:tc>
            </w:tr>
            <w:tr>
              <w:trPr/>
              <w:tc>
                <w:tcPr>
                  <w:tcW w:w="2606" w:type="dxa"/>
                  <w:tcBorders>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Cs/>
                      <w:sz w:val="16"/>
                      <w:szCs w:val="16"/>
                      <w:lang w:eastAsia="ru-RU"/>
                    </w:rPr>
                    <w:t>Размер</w:t>
                  </w:r>
                </w:p>
              </w:tc>
              <w:tc>
                <w:tcPr>
                  <w:tcW w:w="3120" w:type="dxa"/>
                  <w:tcBorders>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Cs/>
                      <w:sz w:val="16"/>
                      <w:szCs w:val="16"/>
                      <w:lang w:val="en-US" w:eastAsia="ru-RU"/>
                    </w:rPr>
                    <w:t>XL</w:t>
                  </w:r>
                </w:p>
              </w:tc>
              <w:tc>
                <w:tcPr>
                  <w:tcW w:w="1697" w:type="dxa"/>
                  <w:tcBorders>
                    <w:left w:val="single" w:sz="4" w:space="0" w:color="000000"/>
                    <w:bottom w:val="single" w:sz="4" w:space="0" w:color="000000"/>
                    <w:right w:val="single" w:sz="4" w:space="0" w:color="000000"/>
                  </w:tcBorders>
                </w:tcPr>
                <w:p>
                  <w:pPr>
                    <w:pStyle w:val="NoSpacing"/>
                    <w:rPr>
                      <w:rFonts w:ascii="Times New Roman" w:hAnsi="Times New Roman"/>
                      <w:sz w:val="16"/>
                      <w:szCs w:val="16"/>
                    </w:rPr>
                  </w:pPr>
                  <w:r>
                    <w:rPr>
                      <w:rFonts w:ascii="Times New Roman" w:hAnsi="Times New Roman"/>
                      <w:sz w:val="16"/>
                      <w:szCs w:val="16"/>
                    </w:rPr>
                  </w:r>
                </w:p>
              </w:tc>
            </w:tr>
            <w:tr>
              <w:trPr>
                <w:trHeight w:val="285" w:hRule="atLeast"/>
              </w:trPr>
              <w:tc>
                <w:tcPr>
                  <w:tcW w:w="2606" w:type="dxa"/>
                  <w:tcBorders>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Cs/>
                      <w:sz w:val="16"/>
                      <w:szCs w:val="16"/>
                      <w:lang w:eastAsia="ru-RU"/>
                    </w:rPr>
                    <w:t>Маркировка индивидуальной упаковки</w:t>
                  </w:r>
                </w:p>
              </w:tc>
              <w:tc>
                <w:tcPr>
                  <w:tcW w:w="3120" w:type="dxa"/>
                  <w:tcBorders>
                    <w:left w:val="single" w:sz="4" w:space="0" w:color="000000"/>
                    <w:bottom w:val="single" w:sz="4" w:space="0" w:color="000000"/>
                    <w:right w:val="single" w:sz="4" w:space="0" w:color="000000"/>
                  </w:tcBorders>
                </w:tcPr>
                <w:p>
                  <w:pPr>
                    <w:pStyle w:val="NoSpacing"/>
                    <w:rPr>
                      <w:sz w:val="16"/>
                      <w:szCs w:val="16"/>
                    </w:rPr>
                  </w:pPr>
                  <w:r>
                    <w:rPr>
                      <w:rFonts w:eastAsia="Times New Roman" w:ascii="Times New Roman" w:hAnsi="Times New Roman"/>
                      <w:bCs/>
                      <w:sz w:val="16"/>
                      <w:szCs w:val="16"/>
                      <w:lang w:eastAsia="ru-RU"/>
                    </w:rPr>
                    <w:t>В соответствии с ГОСТ Р 52239-2024</w:t>
                  </w:r>
                </w:p>
              </w:tc>
              <w:tc>
                <w:tcPr>
                  <w:tcW w:w="1697" w:type="dxa"/>
                  <w:tcBorders>
                    <w:left w:val="single" w:sz="4" w:space="0" w:color="000000"/>
                    <w:bottom w:val="single" w:sz="4" w:space="0" w:color="000000"/>
                    <w:right w:val="single" w:sz="4" w:space="0" w:color="000000"/>
                  </w:tcBorders>
                </w:tcPr>
                <w:p>
                  <w:pPr>
                    <w:pStyle w:val="NoSpacing"/>
                    <w:rPr>
                      <w:rFonts w:ascii="Times New Roman" w:hAnsi="Times New Roman" w:eastAsia="Times New Roman"/>
                      <w:sz w:val="16"/>
                      <w:szCs w:val="16"/>
                      <w:lang w:eastAsia="ru-RU"/>
                    </w:rPr>
                  </w:pPr>
                  <w:r>
                    <w:rPr>
                      <w:rFonts w:eastAsia="Times New Roman" w:ascii="Times New Roman" w:hAnsi="Times New Roman"/>
                      <w:sz w:val="16"/>
                      <w:szCs w:val="16"/>
                      <w:lang w:eastAsia="ru-RU"/>
                    </w:rPr>
                  </w:r>
                </w:p>
              </w:tc>
            </w:tr>
          </w:tbl>
          <w:p>
            <w:pPr>
              <w:pStyle w:val="Normal"/>
              <w:rPr>
                <w:rFonts w:ascii="Times New Roman" w:hAnsi="Times New Roman" w:cs="Times New Roman"/>
                <w:b/>
                <w:bCs/>
                <w:sz w:val="16"/>
                <w:szCs w:val="16"/>
                <w:shd w:fill="FFFFFF" w:val="clear"/>
              </w:rPr>
            </w:pPr>
            <w:r>
              <w:rPr>
                <w:rFonts w:cs="Times New Roman"/>
                <w:b/>
                <w:bCs/>
                <w:sz w:val="16"/>
                <w:szCs w:val="16"/>
                <w:shd w:fill="FFFFFF" w:val="clear"/>
              </w:rPr>
            </w:r>
          </w:p>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Страна происхождения товара:</w:t>
            </w:r>
          </w:p>
          <w:p>
            <w:pPr>
              <w:pStyle w:val="Normal"/>
              <w:spacing w:before="0" w:after="200"/>
              <w:rPr>
                <w:rFonts w:ascii="Times New Roman" w:hAnsi="Times New Roman" w:cs="Times New Roman"/>
                <w:b w:val="false"/>
                <w:bCs w:val="false"/>
                <w:sz w:val="16"/>
                <w:szCs w:val="16"/>
              </w:rPr>
            </w:pPr>
            <w:r>
              <w:rPr>
                <w:rFonts w:cs="Times New Roman"/>
                <w:b w:val="false"/>
                <w:bCs w:val="false"/>
                <w:sz w:val="16"/>
                <w:szCs w:val="16"/>
              </w:rPr>
              <w:t xml:space="preserve">ОКПД 2: </w:t>
            </w:r>
            <w:r>
              <w:rPr>
                <w:rFonts w:cs="Times New Roman"/>
                <w:b w:val="false"/>
                <w:bCs w:val="false"/>
                <w:sz w:val="16"/>
                <w:szCs w:val="16"/>
              </w:rPr>
              <w:t>22.19.60.119</w:t>
            </w: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hd w:fill="auto" w:val="clear"/>
              </w:rPr>
            </w:pPr>
            <w:r>
              <w:rPr>
                <w:shd w:fill="auto" w:val="clear"/>
              </w:rPr>
              <w:t>1</w:t>
            </w:r>
            <w:r>
              <w:rPr>
                <w:shd w:fill="auto" w:val="clear"/>
              </w:rPr>
              <w:t>500</w:t>
            </w:r>
          </w:p>
        </w:tc>
        <w:tc>
          <w:tcPr>
            <w:tcW w:w="1256" w:type="dxa"/>
            <w:tcBorders>
              <w:top w:val="single" w:sz="4" w:space="0" w:color="000001"/>
              <w:left w:val="single" w:sz="4" w:space="0" w:color="000001"/>
              <w:bottom w:val="single" w:sz="4" w:space="0" w:color="000000"/>
            </w:tcBorders>
            <w:vAlign w:val="center"/>
          </w:tcPr>
          <w:p>
            <w:pPr>
              <w:pStyle w:val="Normal"/>
              <w:jc w:val="center"/>
              <w:rPr>
                <w:shd w:fill="auto" w:val="clear"/>
              </w:rPr>
            </w:pPr>
            <w:r>
              <w:rPr>
                <w:shd w:fill="auto" w:val="clear"/>
              </w:rPr>
              <w:t>Пара (2 шт)</w:t>
            </w:r>
          </w:p>
        </w:tc>
        <w:tc>
          <w:tcPr>
            <w:tcW w:w="24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hd w:fill="auto" w:val="clear"/>
              </w:rPr>
            </w:pPr>
            <w:r>
              <w:rPr>
                <w:shd w:fill="auto" w:val="clear"/>
              </w:rPr>
            </w:r>
          </w:p>
        </w:tc>
        <w:tc>
          <w:tcPr>
            <w:tcW w:w="2128" w:type="dxa"/>
            <w:tcBorders>
              <w:top w:val="single" w:sz="4" w:space="0" w:color="000000"/>
              <w:left w:val="single" w:sz="4" w:space="0" w:color="000000"/>
              <w:bottom w:val="single" w:sz="4" w:space="0" w:color="000000"/>
              <w:right w:val="single" w:sz="10" w:space="0" w:color="000000"/>
            </w:tcBorders>
            <w:vAlign w:val="center"/>
          </w:tcPr>
          <w:p>
            <w:pPr>
              <w:pStyle w:val="Normal"/>
              <w:jc w:val="center"/>
              <w:rPr>
                <w:b/>
                <w:bCs/>
                <w:shd w:fill="auto" w:val="clear"/>
              </w:rPr>
            </w:pPr>
            <w:r>
              <w:rPr>
                <w:b/>
                <w:bCs/>
                <w:shd w:fill="auto" w:val="clear"/>
              </w:rPr>
            </w:r>
          </w:p>
        </w:tc>
      </w:tr>
      <w:tr>
        <w:trPr>
          <w:trHeight w:val="574"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jc w:val="center"/>
              <w:rPr>
                <w:b/>
                <w:bCs/>
                <w:shd w:fill="auto" w:val="clear"/>
              </w:rPr>
            </w:pPr>
            <w:r>
              <w:rPr>
                <w:b/>
                <w:bCs/>
                <w:shd w:fill="auto" w:val="clear"/>
              </w:rPr>
            </w:r>
          </w:p>
        </w:tc>
        <w:tc>
          <w:tcPr>
            <w:tcW w:w="13024" w:type="dxa"/>
            <w:gridSpan w:val="6"/>
            <w:tcBorders>
              <w:top w:val="single" w:sz="4" w:space="0" w:color="000000"/>
              <w:left w:val="single" w:sz="4" w:space="0" w:color="000000"/>
              <w:bottom w:val="single" w:sz="4" w:space="0" w:color="000000"/>
              <w:right w:val="single" w:sz="4" w:space="0" w:color="000000"/>
            </w:tcBorders>
          </w:tcPr>
          <w:p>
            <w:pPr>
              <w:pStyle w:val="Normal"/>
              <w:jc w:val="center"/>
              <w:rPr>
                <w:shd w:fill="auto" w:val="clear"/>
              </w:rPr>
            </w:pPr>
            <w:r>
              <w:rPr>
                <w:b/>
                <w:bCs/>
                <w:shd w:fill="auto" w:val="clear"/>
              </w:rPr>
              <w:t>ИТОГО:</w:t>
            </w:r>
          </w:p>
        </w:tc>
        <w:tc>
          <w:tcPr>
            <w:tcW w:w="2128" w:type="dxa"/>
            <w:tcBorders>
              <w:top w:val="single" w:sz="4" w:space="0" w:color="000000"/>
              <w:left w:val="single" w:sz="4" w:space="0" w:color="000000"/>
              <w:bottom w:val="single" w:sz="4" w:space="0" w:color="000000"/>
              <w:right w:val="single" w:sz="4" w:space="0" w:color="000000"/>
            </w:tcBorders>
          </w:tcPr>
          <w:p>
            <w:pPr>
              <w:pStyle w:val="Normal"/>
              <w:jc w:val="center"/>
              <w:rPr>
                <w:b/>
                <w:bCs/>
                <w:shd w:fill="auto" w:val="clear"/>
              </w:rPr>
            </w:pPr>
            <w:r>
              <w:rPr>
                <w:b/>
                <w:bCs/>
                <w:shd w:fill="auto" w:val="clear"/>
              </w:rPr>
            </w:r>
          </w:p>
        </w:tc>
      </w:tr>
      <w:tr>
        <w:trPr>
          <w:trHeight w:val="1831" w:hRule="atLeast"/>
        </w:trPr>
        <w:tc>
          <w:tcPr>
            <w:tcW w:w="8763" w:type="dxa"/>
            <w:gridSpan w:val="4"/>
            <w:tcBorders/>
          </w:tcPr>
          <w:p>
            <w:pPr>
              <w:pStyle w:val="11"/>
              <w:rPr>
                <w:shd w:fill="auto" w:val="clear"/>
              </w:rPr>
            </w:pPr>
            <w:r>
              <w:rPr>
                <w:rFonts w:cs="Times New Roman" w:ascii="Times New Roman" w:hAnsi="Times New Roman"/>
                <w:b/>
                <w:bCs/>
                <w:sz w:val="20"/>
                <w:szCs w:val="20"/>
                <w:shd w:fill="auto" w:val="clear"/>
              </w:rPr>
              <w:t>Заказчик</w:t>
            </w:r>
          </w:p>
          <w:p>
            <w:pPr>
              <w:pStyle w:val="Normal"/>
              <w:rPr>
                <w:shd w:fill="auto" w:val="clear"/>
              </w:rPr>
            </w:pPr>
            <w:r>
              <w:rPr>
                <w:shd w:fill="auto" w:val="clear"/>
              </w:rPr>
              <w:t>____________</w:t>
            </w:r>
          </w:p>
          <w:p>
            <w:pPr>
              <w:pStyle w:val="Normal"/>
              <w:tabs>
                <w:tab w:val="clear" w:pos="708"/>
                <w:tab w:val="left" w:pos="7680" w:leader="none"/>
              </w:tabs>
              <w:rPr>
                <w:shd w:fill="auto" w:val="clear"/>
              </w:rPr>
            </w:pPr>
            <w:r>
              <w:rPr>
                <w:shd w:fill="auto" w:val="clear"/>
              </w:rPr>
              <w:t>м.п.</w:t>
            </w:r>
          </w:p>
        </w:tc>
        <w:tc>
          <w:tcPr>
            <w:tcW w:w="6951" w:type="dxa"/>
            <w:gridSpan w:val="4"/>
            <w:tcBorders/>
          </w:tcPr>
          <w:p>
            <w:pPr>
              <w:pStyle w:val="Normal"/>
              <w:tabs>
                <w:tab w:val="clear" w:pos="708"/>
                <w:tab w:val="left" w:pos="7680" w:leader="none"/>
              </w:tabs>
              <w:rPr>
                <w:shd w:fill="auto" w:val="clear"/>
              </w:rPr>
            </w:pPr>
            <w:r>
              <w:rPr>
                <w:b/>
                <w:color w:val="000000"/>
                <w:shd w:fill="auto" w:val="clear"/>
              </w:rPr>
              <w:t>Пост</w:t>
            </w:r>
            <w:r>
              <w:rPr>
                <w:b/>
                <w:color w:val="000000"/>
                <w:shd w:fill="auto" w:val="clear"/>
              </w:rPr>
              <w:t>а</w:t>
            </w:r>
            <w:r>
              <w:rPr>
                <w:b/>
                <w:color w:val="000000"/>
                <w:shd w:fill="auto" w:val="clear"/>
              </w:rPr>
              <w:t>вщик</w:t>
            </w:r>
          </w:p>
          <w:p>
            <w:pPr>
              <w:pStyle w:val="Normal"/>
              <w:tabs>
                <w:tab w:val="clear" w:pos="708"/>
                <w:tab w:val="left" w:pos="7680" w:leader="none"/>
              </w:tabs>
              <w:rPr>
                <w:shd w:fill="auto" w:val="clear"/>
              </w:rPr>
            </w:pPr>
            <w:r>
              <w:rPr>
                <w:bCs/>
                <w:color w:val="000000"/>
                <w:shd w:fill="auto" w:val="clear"/>
              </w:rPr>
              <w:t>______________/</w:t>
            </w:r>
            <w:r>
              <w:rPr>
                <w:shd w:fill="auto" w:val="clear"/>
              </w:rPr>
              <w:t xml:space="preserve"> </w:t>
            </w:r>
            <w:r>
              <w:rPr>
                <w:bCs/>
                <w:color w:val="000000"/>
                <w:shd w:fill="auto" w:val="clear"/>
              </w:rPr>
              <w:t>______________</w:t>
            </w:r>
          </w:p>
          <w:p>
            <w:pPr>
              <w:pStyle w:val="Normal"/>
              <w:rPr>
                <w:shd w:fill="auto" w:val="clear"/>
              </w:rPr>
            </w:pPr>
            <w:r>
              <w:rPr>
                <w:shd w:fill="auto" w:val="clear"/>
              </w:rPr>
              <w:t>м.п.</w:t>
            </w:r>
          </w:p>
        </w:tc>
      </w:tr>
    </w:tbl>
    <w:p>
      <w:pPr>
        <w:pStyle w:val="Normal"/>
        <w:spacing w:before="0" w:after="60"/>
        <w:rPr>
          <w:b/>
          <w:bCs/>
          <w:sz w:val="24"/>
          <w:szCs w:val="24"/>
        </w:rPr>
      </w:pPr>
      <w:r>
        <w:rPr>
          <w:b/>
          <w:bCs/>
          <w:sz w:val="24"/>
          <w:szCs w:val="24"/>
        </w:rPr>
      </w:r>
    </w:p>
    <w:sectPr>
      <w:footerReference w:type="default" r:id="rId3"/>
      <w:footerReference w:type="first" r:id="rId4"/>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pPr>
      <w:keepNext w:val="true"/>
      <w:keepLines/>
      <w:numPr>
        <w:ilvl w:val="0"/>
        <w:numId w:val="0"/>
      </w:numPr>
      <w:spacing w:before="480" w:after="200"/>
      <w:outlineLvl w:val="0"/>
    </w:pPr>
    <w:rPr>
      <w:rFonts w:ascii="Arial" w:hAnsi="Arial" w:eastAsia="Arial" w:cs="Arial"/>
      <w:sz w:val="40"/>
      <w:szCs w:val="40"/>
    </w:rPr>
  </w:style>
  <w:style w:type="paragraph" w:styleId="Heading2">
    <w:name w:val="heading 2"/>
    <w:basedOn w:val="Normal"/>
    <w:next w:val="Normal"/>
    <w:link w:val="2"/>
    <w:qFormat/>
    <w:pPr>
      <w:keepNext w:val="true"/>
      <w:keepLines/>
      <w:numPr>
        <w:ilvl w:val="0"/>
        <w:numId w:val="0"/>
      </w:numPr>
      <w:spacing w:before="360" w:after="200"/>
      <w:outlineLvl w:val="1"/>
    </w:pPr>
    <w:rPr>
      <w:rFonts w:ascii="Arial" w:hAnsi="Arial" w:eastAsia="Arial" w:cs="Arial"/>
      <w:sz w:val="34"/>
    </w:rPr>
  </w:style>
  <w:style w:type="paragraph" w:styleId="Heading3">
    <w:name w:val="heading 3"/>
    <w:basedOn w:val="Normal"/>
    <w:next w:val="Normal"/>
    <w:link w:val="3"/>
    <w:qFormat/>
    <w:pPr>
      <w:keepNext w:val="true"/>
      <w:keepLines/>
      <w:numPr>
        <w:ilvl w:val="0"/>
        <w:numId w:val="0"/>
      </w:numPr>
      <w:spacing w:before="320" w:after="200"/>
      <w:outlineLvl w:val="2"/>
    </w:pPr>
    <w:rPr>
      <w:rFonts w:ascii="Arial" w:hAnsi="Arial" w:eastAsia="Arial" w:cs="Arial"/>
      <w:sz w:val="30"/>
      <w:szCs w:val="30"/>
    </w:rPr>
  </w:style>
  <w:style w:type="paragraph" w:styleId="Heading4">
    <w:name w:val="heading 4"/>
    <w:basedOn w:val="Normal"/>
    <w:next w:val="Normal"/>
    <w:link w:val="4"/>
    <w:qFormat/>
    <w:pPr>
      <w:keepNext w:val="true"/>
      <w:keepLines/>
      <w:numPr>
        <w:ilvl w:val="0"/>
        <w:numId w:val="0"/>
      </w:numPr>
      <w:spacing w:before="320" w:after="200"/>
      <w:outlineLvl w:val="3"/>
    </w:pPr>
    <w:rPr>
      <w:rFonts w:ascii="Arial" w:hAnsi="Arial" w:eastAsia="Arial" w:cs="Arial"/>
      <w:b/>
      <w:bCs/>
      <w:sz w:val="26"/>
      <w:szCs w:val="26"/>
    </w:rPr>
  </w:style>
  <w:style w:type="paragraph" w:styleId="Heading5">
    <w:name w:val="heading 5"/>
    <w:basedOn w:val="Normal"/>
    <w:next w:val="Normal"/>
    <w:link w:val="5"/>
    <w:qFormat/>
    <w:pPr>
      <w:keepNext w:val="true"/>
      <w:keepLines/>
      <w:numPr>
        <w:ilvl w:val="0"/>
        <w:numId w:val="0"/>
      </w:numPr>
      <w:spacing w:before="320" w:after="200"/>
      <w:outlineLvl w:val="4"/>
    </w:pPr>
    <w:rPr>
      <w:rFonts w:ascii="Arial" w:hAnsi="Arial" w:eastAsia="Arial" w:cs="Arial"/>
      <w:b/>
      <w:bCs/>
      <w:sz w:val="24"/>
      <w:szCs w:val="24"/>
    </w:rPr>
  </w:style>
  <w:style w:type="paragraph" w:styleId="Heading6">
    <w:name w:val="heading 6"/>
    <w:basedOn w:val="Normal"/>
    <w:next w:val="Normal"/>
    <w:link w:val="6"/>
    <w:qFormat/>
    <w:pPr>
      <w:keepNext w:val="true"/>
      <w:keepLines/>
      <w:numPr>
        <w:ilvl w:val="0"/>
        <w:numId w:val="0"/>
      </w:numPr>
      <w:spacing w:before="320" w:after="200"/>
      <w:outlineLvl w:val="5"/>
    </w:pPr>
    <w:rPr>
      <w:rFonts w:ascii="Arial" w:hAnsi="Arial" w:eastAsia="Arial" w:cs="Arial"/>
      <w:b/>
      <w:bCs/>
      <w:sz w:val="22"/>
      <w:szCs w:val="22"/>
    </w:rPr>
  </w:style>
  <w:style w:type="paragraph" w:styleId="Heading7">
    <w:name w:val="heading 7"/>
    <w:basedOn w:val="Normal"/>
    <w:next w:val="Normal"/>
    <w:link w:val="7"/>
    <w:qFormat/>
    <w:pPr>
      <w:keepNext w:val="true"/>
      <w:keepLines/>
      <w:numPr>
        <w:ilvl w:val="0"/>
        <w:numId w:val="0"/>
      </w:numPr>
      <w:spacing w:before="320" w:after="200"/>
      <w:outlineLvl w:val="6"/>
    </w:pPr>
    <w:rPr>
      <w:rFonts w:ascii="Arial" w:hAnsi="Arial" w:eastAsia="Arial" w:cs="Arial"/>
      <w:b/>
      <w:bCs/>
      <w:i/>
      <w:iCs/>
      <w:sz w:val="22"/>
      <w:szCs w:val="22"/>
    </w:rPr>
  </w:style>
  <w:style w:type="paragraph" w:styleId="Heading8">
    <w:name w:val="heading 8"/>
    <w:basedOn w:val="Normal"/>
    <w:next w:val="Normal"/>
    <w:link w:val="8"/>
    <w:qFormat/>
    <w:pPr>
      <w:keepNext w:val="true"/>
      <w:keepLines/>
      <w:numPr>
        <w:ilvl w:val="0"/>
        <w:numId w:val="0"/>
      </w:numPr>
      <w:spacing w:before="320" w:after="200"/>
      <w:outlineLvl w:val="7"/>
    </w:pPr>
    <w:rPr>
      <w:rFonts w:ascii="Arial" w:hAnsi="Arial" w:eastAsia="Arial" w:cs="Arial"/>
      <w:i/>
      <w:iCs/>
      <w:sz w:val="22"/>
      <w:szCs w:val="22"/>
    </w:rPr>
  </w:style>
  <w:style w:type="paragraph" w:styleId="Heading9">
    <w:name w:val="heading 9"/>
    <w:basedOn w:val="Normal"/>
    <w:next w:val="Normal"/>
    <w:link w:val="9"/>
    <w:qFormat/>
    <w:pPr>
      <w:keepNext w:val="true"/>
      <w:keepLines/>
      <w:numPr>
        <w:ilvl w:val="0"/>
        <w:numId w:val="0"/>
      </w:numPr>
      <w:spacing w:before="320" w:after="200"/>
      <w:outlineLvl w:val="8"/>
    </w:pPr>
    <w:rPr>
      <w:rFonts w:ascii="Arial" w:hAnsi="Arial" w:eastAsia="Arial" w:cs="Arial"/>
      <w:i/>
      <w:iCs/>
      <w:sz w:val="21"/>
      <w:szCs w:val="21"/>
    </w:rPr>
  </w:style>
  <w:style w:type="character" w:styleId="DefaultParagraphFont">
    <w:name w:val="Default Paragraph Font"/>
    <w:qFormat/>
    <w:rPr/>
  </w:style>
  <w:style w:type="character" w:styleId="1">
    <w:name w:val="Заголовок 1 Знак"/>
    <w:basedOn w:val="DefaultParagraphFont"/>
    <w:qFormat/>
    <w:rPr>
      <w:rFonts w:ascii="Arial" w:hAnsi="Arial" w:eastAsia="Arial" w:cs="Arial"/>
      <w:sz w:val="40"/>
      <w:szCs w:val="40"/>
    </w:rPr>
  </w:style>
  <w:style w:type="character" w:styleId="2">
    <w:name w:val="Заголовок 2 Знак"/>
    <w:basedOn w:val="DefaultParagraphFont"/>
    <w:qFormat/>
    <w:rPr>
      <w:rFonts w:ascii="Arial" w:hAnsi="Arial" w:eastAsia="Arial" w:cs="Arial"/>
      <w:sz w:val="34"/>
    </w:rPr>
  </w:style>
  <w:style w:type="character" w:styleId="3">
    <w:name w:val="Заголовок 3 Знак"/>
    <w:basedOn w:val="DefaultParagraphFont"/>
    <w:qFormat/>
    <w:rPr>
      <w:rFonts w:ascii="Arial" w:hAnsi="Arial" w:eastAsia="Arial" w:cs="Arial"/>
      <w:sz w:val="30"/>
      <w:szCs w:val="30"/>
    </w:rPr>
  </w:style>
  <w:style w:type="character" w:styleId="4">
    <w:name w:val="Заголовок 4 Знак"/>
    <w:basedOn w:val="DefaultParagraphFont"/>
    <w:qFormat/>
    <w:rPr>
      <w:rFonts w:ascii="Arial" w:hAnsi="Arial" w:eastAsia="Arial" w:cs="Arial"/>
      <w:b/>
      <w:bCs/>
      <w:sz w:val="26"/>
      <w:szCs w:val="26"/>
    </w:rPr>
  </w:style>
  <w:style w:type="character" w:styleId="5">
    <w:name w:val="Заголовок 5 Знак"/>
    <w:basedOn w:val="DefaultParagraphFont"/>
    <w:qFormat/>
    <w:rPr>
      <w:rFonts w:ascii="Arial" w:hAnsi="Arial" w:eastAsia="Arial" w:cs="Arial"/>
      <w:b/>
      <w:bCs/>
      <w:sz w:val="24"/>
      <w:szCs w:val="24"/>
    </w:rPr>
  </w:style>
  <w:style w:type="character" w:styleId="6">
    <w:name w:val="Заголовок 6 Знак"/>
    <w:basedOn w:val="DefaultParagraphFont"/>
    <w:qFormat/>
    <w:rPr>
      <w:rFonts w:ascii="Arial" w:hAnsi="Arial" w:eastAsia="Arial" w:cs="Arial"/>
      <w:b/>
      <w:bCs/>
      <w:sz w:val="22"/>
      <w:szCs w:val="22"/>
    </w:rPr>
  </w:style>
  <w:style w:type="character" w:styleId="7">
    <w:name w:val="Заголовок 7 Знак"/>
    <w:basedOn w:val="DefaultParagraphFont"/>
    <w:qFormat/>
    <w:rPr>
      <w:rFonts w:ascii="Arial" w:hAnsi="Arial" w:eastAsia="Arial" w:cs="Arial"/>
      <w:b/>
      <w:bCs/>
      <w:i/>
      <w:iCs/>
      <w:sz w:val="22"/>
      <w:szCs w:val="22"/>
    </w:rPr>
  </w:style>
  <w:style w:type="character" w:styleId="8">
    <w:name w:val="Заголовок 8 Знак"/>
    <w:basedOn w:val="DefaultParagraphFont"/>
    <w:qFormat/>
    <w:rPr>
      <w:rFonts w:ascii="Arial" w:hAnsi="Arial" w:eastAsia="Arial" w:cs="Arial"/>
      <w:i/>
      <w:iCs/>
      <w:sz w:val="22"/>
      <w:szCs w:val="22"/>
    </w:rPr>
  </w:style>
  <w:style w:type="character" w:styleId="9">
    <w:name w:val="Заголовок 9 Знак"/>
    <w:basedOn w:val="DefaultParagraphFont"/>
    <w:qFormat/>
    <w:rPr>
      <w:rFonts w:ascii="Arial" w:hAnsi="Arial" w:eastAsia="Arial" w:cs="Arial"/>
      <w:i/>
      <w:iCs/>
      <w:sz w:val="21"/>
      <w:szCs w:val="21"/>
    </w:rPr>
  </w:style>
  <w:style w:type="character" w:styleId="Style5">
    <w:name w:val="Заголовок Знак"/>
    <w:basedOn w:val="DefaultParagraphFont"/>
    <w:qFormat/>
    <w:rPr>
      <w:sz w:val="48"/>
      <w:szCs w:val="48"/>
    </w:rPr>
  </w:style>
  <w:style w:type="character" w:styleId="Style6">
    <w:name w:val="Подзаголовок Знак"/>
    <w:basedOn w:val="DefaultParagraphFont"/>
    <w:qFormat/>
    <w:rPr>
      <w:sz w:val="24"/>
      <w:szCs w:val="24"/>
    </w:rPr>
  </w:style>
  <w:style w:type="character" w:styleId="21">
    <w:name w:val="Цитата 2 Знак"/>
    <w:link w:val="Quote"/>
    <w:qFormat/>
    <w:rPr>
      <w:i/>
    </w:rPr>
  </w:style>
  <w:style w:type="character" w:styleId="Style7">
    <w:name w:val="Выделенная цитата Знак"/>
    <w:link w:val="IntenseQuote"/>
    <w:qFormat/>
    <w:rPr>
      <w:i/>
    </w:rPr>
  </w:style>
  <w:style w:type="character" w:styleId="HeaderChar">
    <w:name w:val="Header Char"/>
    <w:basedOn w:val="DefaultParagraphFont"/>
    <w:qFormat/>
    <w:rPr/>
  </w:style>
  <w:style w:type="character" w:styleId="FooterChar">
    <w:name w:val="Footer Char"/>
    <w:basedOn w:val="DefaultParagraphFont"/>
    <w:qFormat/>
    <w:rPr/>
  </w:style>
  <w:style w:type="character" w:styleId="CaptionChar">
    <w:name w:val="Caption Char"/>
    <w:qFormat/>
    <w:rPr/>
  </w:style>
  <w:style w:type="character" w:styleId="Style8">
    <w:name w:val="Текст сноски Знак"/>
    <w:qFormat/>
    <w:rPr>
      <w:sz w:val="18"/>
    </w:rPr>
  </w:style>
  <w:style w:type="character" w:styleId="Style9">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0">
    <w:name w:val="Текст концевой сноски Знак"/>
    <w:qFormat/>
    <w:rPr>
      <w:sz w:val="20"/>
    </w:rPr>
  </w:style>
  <w:style w:type="character" w:styleId="Style11">
    <w:name w:val="Символ концевой сноски"/>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12">
    <w:name w:val="Основной текст с отступом Знак"/>
    <w:qFormat/>
    <w:rPr>
      <w:rFonts w:ascii="Times New Roman" w:hAnsi="Times New Roman" w:cs="Times New Roman"/>
      <w:sz w:val="20"/>
      <w:lang w:val="en-US" w:eastAsia="ru-RU"/>
    </w:rPr>
  </w:style>
  <w:style w:type="character" w:styleId="ConsPlusNormal">
    <w:name w:val="ConsPlusNormal Знак"/>
    <w:link w:val="ConsPlusNormal1"/>
    <w:qFormat/>
    <w:rPr>
      <w:rFonts w:ascii="Arial" w:hAnsi="Arial"/>
      <w:sz w:val="22"/>
      <w:lang w:eastAsia="ru-RU"/>
    </w:rPr>
  </w:style>
  <w:style w:type="character" w:styleId="Emphasis">
    <w:name w:val="Emphasis"/>
    <w:qFormat/>
    <w:rPr>
      <w:rFonts w:cs="Times New Roman"/>
      <w:i/>
    </w:rPr>
  </w:style>
  <w:style w:type="character" w:styleId="Style13">
    <w:name w:val="Верхний колонтитул Знак"/>
    <w:qFormat/>
    <w:rPr>
      <w:rFonts w:ascii="Times New Roman" w:hAnsi="Times New Roman" w:eastAsia="Times New Roman"/>
      <w:sz w:val="20"/>
      <w:szCs w:val="20"/>
    </w:rPr>
  </w:style>
  <w:style w:type="character" w:styleId="Style14">
    <w:name w:val="Нижний колонтитул Знак"/>
    <w:qFormat/>
    <w:rPr>
      <w:rFonts w:ascii="Times New Roman" w:hAnsi="Times New Roman" w:eastAsia="Times New Roman"/>
      <w:sz w:val="20"/>
      <w:szCs w:val="20"/>
    </w:rPr>
  </w:style>
  <w:style w:type="character" w:styleId="gd">
    <w:name w:val="gd"/>
    <w:basedOn w:val="DefaultParagraphFont"/>
    <w:qFormat/>
    <w:rPr/>
  </w:style>
  <w:style w:type="character" w:styleId="CommentReference">
    <w:name w:val="annotation reference"/>
    <w:basedOn w:val="DefaultParagraphFont"/>
    <w:qFormat/>
    <w:rPr>
      <w:sz w:val="16"/>
      <w:szCs w:val="16"/>
    </w:rPr>
  </w:style>
  <w:style w:type="character" w:styleId="Style15">
    <w:name w:val="Текст примечания Знак"/>
    <w:basedOn w:val="DefaultParagraphFont"/>
    <w:qFormat/>
    <w:rPr>
      <w:rFonts w:ascii="Times New Roman" w:hAnsi="Times New Roman" w:eastAsia="Times New Roman"/>
    </w:rPr>
  </w:style>
  <w:style w:type="character" w:styleId="Style16">
    <w:name w:val="Тема примечания Знак"/>
    <w:basedOn w:val="Style15"/>
    <w:link w:val="annotationsubject"/>
    <w:qFormat/>
    <w:rPr>
      <w:rFonts w:ascii="Times New Roman" w:hAnsi="Times New Roman" w:eastAsia="Times New Roman"/>
      <w:b/>
      <w:bCs/>
    </w:rPr>
  </w:style>
  <w:style w:type="character" w:styleId="Style17">
    <w:name w:val="Текст выноски Знак"/>
    <w:basedOn w:val="DefaultParagraphFont"/>
    <w:link w:val="BalloonText"/>
    <w:qFormat/>
    <w:rPr>
      <w:rFonts w:ascii="Tahoma" w:hAnsi="Tahoma" w:eastAsia="Times New Roman" w:cs="Tahoma"/>
      <w:sz w:val="16"/>
      <w:szCs w:val="16"/>
    </w:rPr>
  </w:style>
  <w:style w:type="character" w:styleId="Style18">
    <w:name w:val="Без интервала Знак"/>
    <w:link w:val="NoSpacing"/>
    <w:qFormat/>
    <w:rPr>
      <w:sz w:val="24"/>
      <w:szCs w:val="24"/>
    </w:rPr>
  </w:style>
  <w:style w:type="character" w:styleId="Hyperlink">
    <w:name w:val="Hyperlink"/>
    <w:basedOn w:val="DefaultParagraphFont"/>
    <w:rPr>
      <w:color w:themeColor="hyperlink" w:val="0000FF"/>
      <w:u w:val="single"/>
    </w:rPr>
  </w:style>
  <w:style w:type="character" w:styleId="apple-converted-space">
    <w:name w:val="apple-converted-space"/>
    <w:basedOn w:val="DefaultParagraphFont"/>
    <w:qFormat/>
    <w:rPr/>
  </w:style>
  <w:style w:type="character" w:styleId="Strong">
    <w:name w:val="Strong"/>
    <w:qFormat/>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qFormat/>
    <w:pPr>
      <w:spacing w:before="0" w:after="0"/>
      <w:ind w:left="720"/>
      <w:contextualSpacing/>
    </w:pPr>
    <w:rPr/>
  </w:style>
  <w:style w:type="paragraph" w:styleId="Title">
    <w:name w:val="Title"/>
    <w:basedOn w:val="Normal"/>
    <w:next w:val="Normal"/>
    <w:link w:val="Style5"/>
    <w:qFormat/>
    <w:pPr>
      <w:spacing w:before="300" w:after="200"/>
      <w:contextualSpacing/>
    </w:pPr>
    <w:rPr>
      <w:sz w:val="48"/>
      <w:szCs w:val="48"/>
    </w:rPr>
  </w:style>
  <w:style w:type="paragraph" w:styleId="Subtitle">
    <w:name w:val="Subtitle"/>
    <w:basedOn w:val="Normal"/>
    <w:next w:val="Normal"/>
    <w:link w:val="Style6"/>
    <w:qFormat/>
    <w:pPr>
      <w:spacing w:before="200" w:after="200"/>
    </w:pPr>
    <w:rPr>
      <w:sz w:val="24"/>
      <w:szCs w:val="24"/>
    </w:rPr>
  </w:style>
  <w:style w:type="paragraph" w:styleId="Quote">
    <w:name w:val="Quote"/>
    <w:basedOn w:val="Normal"/>
    <w:next w:val="Normal"/>
    <w:link w:val="21"/>
    <w:qFormat/>
    <w:pPr>
      <w:ind w:left="720" w:right="720"/>
    </w:pPr>
    <w:rPr>
      <w:i/>
    </w:rPr>
  </w:style>
  <w:style w:type="paragraph" w:styleId="IntenseQuote">
    <w:name w:val="Intense Quote"/>
    <w:basedOn w:val="Normal"/>
    <w:next w:val="Normal"/>
    <w:link w:val="Style7"/>
    <w:qFormat/>
    <w:pPr>
      <w:pBdr>
        <w:top w:val="single" w:sz="4" w:space="5" w:color="FFFFFF"/>
        <w:left w:val="single" w:sz="4" w:space="10" w:color="FFFFFF"/>
        <w:bottom w:val="single" w:sz="4" w:space="5" w:color="FFFFFF"/>
        <w:right w:val="single" w:sz="4" w:space="10" w:color="FFFFFF"/>
      </w:pBdr>
      <w:shd w:fill="F2F2F2" w:val="clear"/>
      <w:ind w:left="720" w:right="720"/>
    </w:pPr>
    <w:rPr>
      <w:i/>
    </w:rPr>
  </w:style>
  <w:style w:type="paragraph" w:styleId="FootnoteText">
    <w:name w:val="footnote text"/>
    <w:basedOn w:val="Normal"/>
    <w:link w:val="Style8"/>
    <w:pPr>
      <w:spacing w:before="0" w:after="40"/>
    </w:pPr>
    <w:rPr>
      <w:sz w:val="18"/>
    </w:rPr>
  </w:style>
  <w:style w:type="paragraph" w:styleId="EndnoteText">
    <w:name w:val="endnote text"/>
    <w:basedOn w:val="Normal"/>
    <w:link w:val="Style10"/>
    <w:pPr/>
    <w:rPr/>
  </w:style>
  <w:style w:type="paragraph" w:styleId="TOC1">
    <w:name w:val="toc 1"/>
    <w:basedOn w:val="Normal"/>
    <w:next w:val="Normal"/>
    <w:pPr>
      <w:spacing w:before="0" w:after="57"/>
    </w:pPr>
    <w:rPr/>
  </w:style>
  <w:style w:type="paragraph" w:styleId="TOC2">
    <w:name w:val="toc 2"/>
    <w:basedOn w:val="Normal"/>
    <w:next w:val="Normal"/>
    <w:pPr>
      <w:spacing w:before="0" w:after="57"/>
      <w:ind w:left="283"/>
    </w:pPr>
    <w:rPr/>
  </w:style>
  <w:style w:type="paragraph" w:styleId="TOC3">
    <w:name w:val="toc 3"/>
    <w:basedOn w:val="Normal"/>
    <w:next w:val="Normal"/>
    <w:pPr>
      <w:spacing w:before="0" w:after="57"/>
      <w:ind w:left="567"/>
    </w:pPr>
    <w:rPr/>
  </w:style>
  <w:style w:type="paragraph" w:styleId="TOC4">
    <w:name w:val="toc 4"/>
    <w:basedOn w:val="Normal"/>
    <w:next w:val="Normal"/>
    <w:pPr>
      <w:spacing w:before="0" w:after="57"/>
      <w:ind w:left="850"/>
    </w:pPr>
    <w:rPr/>
  </w:style>
  <w:style w:type="paragraph" w:styleId="TOC5">
    <w:name w:val="toc 5"/>
    <w:basedOn w:val="Normal"/>
    <w:next w:val="Normal"/>
    <w:pPr>
      <w:spacing w:before="0" w:after="57"/>
      <w:ind w:left="1134"/>
    </w:pPr>
    <w:rPr/>
  </w:style>
  <w:style w:type="paragraph" w:styleId="TOC6">
    <w:name w:val="toc 6"/>
    <w:basedOn w:val="Normal"/>
    <w:next w:val="Normal"/>
    <w:pPr>
      <w:spacing w:before="0" w:after="57"/>
      <w:ind w:left="1417"/>
    </w:pPr>
    <w:rPr/>
  </w:style>
  <w:style w:type="paragraph" w:styleId="TOC7">
    <w:name w:val="toc 7"/>
    <w:basedOn w:val="Normal"/>
    <w:next w:val="Normal"/>
    <w:pPr>
      <w:spacing w:before="0" w:after="57"/>
      <w:ind w:left="1701"/>
    </w:pPr>
    <w:rPr/>
  </w:style>
  <w:style w:type="paragraph" w:styleId="TOC8">
    <w:name w:val="toc 8"/>
    <w:basedOn w:val="Normal"/>
    <w:next w:val="Normal"/>
    <w:pPr>
      <w:spacing w:before="0" w:after="57"/>
      <w:ind w:left="1984"/>
    </w:pPr>
    <w:rPr/>
  </w:style>
  <w:style w:type="paragraph" w:styleId="TOC9">
    <w:name w:val="toc 9"/>
    <w:basedOn w:val="Normal"/>
    <w:next w:val="Normal"/>
    <w:pPr>
      <w:spacing w:before="0" w:after="57"/>
      <w:ind w:left="2268"/>
    </w:pPr>
    <w:rPr/>
  </w:style>
  <w:style w:type="paragraph" w:styleId="IndexHeading">
    <w:name w:val="index heading"/>
    <w:basedOn w:val="Style19"/>
    <w:pPr/>
    <w:rPr/>
  </w:style>
  <w:style w:type="paragraph" w:styleId="TOCHeading">
    <w:name w:val="TOC Heading"/>
    <w:qFormat/>
    <w:pPr>
      <w:widowControl/>
      <w:suppressAutoHyphens w:val="true"/>
      <w:kinsoku w:val="true"/>
      <w:overflowPunct w:val="true"/>
      <w:autoSpaceDE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pPr/>
    <w:rPr/>
  </w:style>
  <w:style w:type="paragraph" w:styleId="BodyTextIndent">
    <w:name w:val="Body Text Indent"/>
    <w:basedOn w:val="Normal"/>
    <w:link w:val="Style12"/>
    <w:pPr>
      <w:ind w:firstLine="709"/>
      <w:jc w:val="both"/>
    </w:pPr>
    <w:rPr>
      <w:rFonts w:eastAsia="Calibri"/>
      <w:lang w:val="en-US"/>
    </w:rPr>
  </w:style>
  <w:style w:type="paragraph" w:styleId="ConsPlusNormal1">
    <w:name w:val="ConsPlusNormal"/>
    <w:link w:val="ConsPlusNormal"/>
    <w:qFormat/>
    <w:pPr>
      <w:widowControl w:val="false"/>
      <w:suppressAutoHyphens w:val="true"/>
      <w:kinsoku w:val="true"/>
      <w:overflowPunct w:val="true"/>
      <w:autoSpaceDE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name w:val="1CStyle12"/>
    <w:qFormat/>
    <w:pPr>
      <w:widowControl/>
      <w:suppressAutoHyphens w:val="true"/>
      <w:kinsoku w:val="true"/>
      <w:overflowPunct w:val="true"/>
      <w:autoSpaceDE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13"/>
    <w:pPr>
      <w:tabs>
        <w:tab w:val="clear" w:pos="708"/>
        <w:tab w:val="center" w:pos="4677" w:leader="none"/>
        <w:tab w:val="right" w:pos="9355" w:leader="none"/>
      </w:tabs>
    </w:pPr>
    <w:rPr/>
  </w:style>
  <w:style w:type="paragraph" w:styleId="Footer">
    <w:name w:val="footer"/>
    <w:basedOn w:val="Normal"/>
    <w:link w:val="Style14"/>
    <w:pPr>
      <w:tabs>
        <w:tab w:val="clear" w:pos="708"/>
        <w:tab w:val="center" w:pos="4677" w:leader="none"/>
        <w:tab w:val="right" w:pos="9355" w:leader="none"/>
      </w:tabs>
    </w:pPr>
    <w:rPr/>
  </w:style>
  <w:style w:type="paragraph" w:styleId="CommentText">
    <w:name w:val="annotation text"/>
    <w:basedOn w:val="Normal"/>
    <w:link w:val="Style15"/>
    <w:pPr/>
    <w:rPr/>
  </w:style>
  <w:style w:type="paragraph" w:styleId="annotationsubject">
    <w:name w:val="annotation subject"/>
    <w:basedOn w:val="CommentText"/>
    <w:next w:val="CommentText"/>
    <w:link w:val="Style16"/>
    <w:qFormat/>
    <w:pPr/>
    <w:rPr>
      <w:b/>
      <w:bCs/>
    </w:rPr>
  </w:style>
  <w:style w:type="paragraph" w:styleId="BalloonText">
    <w:name w:val="Balloon Text"/>
    <w:basedOn w:val="Normal"/>
    <w:link w:val="Style17"/>
    <w:qFormat/>
    <w:pPr/>
    <w:rPr>
      <w:rFonts w:ascii="Tahoma" w:hAnsi="Tahoma" w:cs="Tahoma"/>
      <w:sz w:val="16"/>
      <w:szCs w:val="16"/>
    </w:rPr>
  </w:style>
  <w:style w:type="paragraph" w:styleId="NoSpacing">
    <w:name w:val="No Spacing"/>
    <w:link w:val="Style18"/>
    <w:qFormat/>
    <w:pPr>
      <w:widowControl/>
      <w:suppressAutoHyphens w:val="true"/>
      <w:kinsoku w:val="true"/>
      <w:overflowPunct w:val="true"/>
      <w:autoSpaceDE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name w:val="Без интервала1"/>
    <w:qFormat/>
    <w:pPr>
      <w:widowControl/>
      <w:suppressAutoHyphens w:val="true"/>
      <w:kinsoku w:val="true"/>
      <w:overflowPunct w:val="true"/>
      <w:autoSpaceDE w:val="true"/>
      <w:bidi w:val="0"/>
      <w:spacing w:before="0" w:after="0"/>
      <w:jc w:val="left"/>
    </w:pPr>
    <w:rPr>
      <w:rFonts w:ascii="Calibri" w:hAnsi="Calibri" w:eastAsia="Times New Roman" w:cs="Calibri"/>
      <w:color w:val="auto"/>
      <w:kern w:val="0"/>
      <w:sz w:val="22"/>
      <w:szCs w:val="22"/>
      <w:lang w:val="ru-RU" w:eastAsia="en-US" w:bidi="ar-SA"/>
    </w:rPr>
  </w:style>
  <w:style w:type="paragraph" w:styleId="Style22">
    <w:name w:val="Без интервала"/>
    <w:qFormat/>
    <w:pPr>
      <w:widowControl/>
      <w:suppressAutoHyphens w:val="true"/>
      <w:kinsoku w:val="true"/>
      <w:overflowPunct w:val="true"/>
      <w:autoSpaceDE w:val="true"/>
      <w:bidi w:val="0"/>
      <w:spacing w:before="0" w:after="0"/>
      <w:jc w:val="left"/>
    </w:pPr>
    <w:rPr>
      <w:rFonts w:ascii="Calibri" w:hAnsi="Calibri" w:eastAsia="Calibri" w:cs="Times New Roman"/>
      <w:color w:val="auto"/>
      <w:kern w:val="0"/>
      <w:sz w:val="22"/>
      <w:szCs w:val="22"/>
      <w:lang w:val="ru-RU" w:eastAsia="zh-CN" w:bidi="ar-SA"/>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paragraph" w:styleId="Style23">
    <w:name w:val="Содержимое таблицы"/>
    <w:basedOn w:val="Normal"/>
    <w:qFormat/>
    <w:pPr>
      <w:widowControl w:val="false"/>
      <w:suppressLineNumbers/>
    </w:pPr>
    <w:rPr/>
  </w:style>
  <w:style w:type="numbering" w:styleId="Style24">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LibreOffice/25.2.6.2$Linux_X86_64 LibreOffice_project/520$Build-2</Application>
  <AppVersion>15.0000</AppVersion>
  <Pages>7</Pages>
  <Words>3241</Words>
  <Characters>23421</Characters>
  <CharactersWithSpaces>27196</CharactersWithSpaces>
  <Paragraphs>182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2026-07-01T16:32:32Z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