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ОПИСАНИЕ ОБЪЕКТА ЗАКУПКИ</w:t>
      </w:r>
    </w:p>
    <w:p w14:paraId="03000000">
      <w:pPr>
        <w:pStyle w:val="Style_2"/>
        <w:ind/>
        <w:contextualSpacing w:val="1"/>
        <w:jc w:val="center"/>
        <w:rPr>
          <w:rFonts w:ascii="Times New Roman" w:hAnsi="Times New Roman"/>
          <w:b w:val="1"/>
          <w:sz w:val="24"/>
        </w:rPr>
      </w:pPr>
    </w:p>
    <w:p w14:paraId="04000000">
      <w:pPr>
        <w:pStyle w:val="Style_2"/>
        <w:ind/>
        <w:contextualSpacing w:val="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Корректировка проектно-сметной документации по</w:t>
      </w:r>
      <w:r>
        <w:rPr>
          <w:rFonts w:ascii="Times New Roman" w:hAnsi="Times New Roman"/>
          <w:sz w:val="24"/>
        </w:rPr>
        <w:t xml:space="preserve"> капитальному ремонту </w:t>
      </w:r>
      <w:r>
        <w:br/>
      </w:r>
      <w:r>
        <w:rPr>
          <w:rFonts w:ascii="Times New Roman" w:hAnsi="Times New Roman"/>
          <w:sz w:val="24"/>
        </w:rPr>
        <w:t xml:space="preserve">с выполнением мероприятий антитеррористической </w:t>
      </w:r>
      <w:r>
        <w:rPr>
          <w:rFonts w:ascii="Times New Roman" w:hAnsi="Times New Roman"/>
          <w:sz w:val="24"/>
        </w:rPr>
        <w:t>и инженерной защищенности, систем механической, пожарной и иной безопасности, систем видеонаблюдения и контроля управления доступом прокуратуры Юго-Западного административного округа и Черемушкинской межрайонной прокуратуры по адресу: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г. Москва, ул. Наметкина, д. 11, корп. 2,</w:t>
      </w:r>
    </w:p>
    <w:p w14:paraId="05000000">
      <w:pPr>
        <w:pStyle w:val="Style_2"/>
        <w:ind/>
        <w:contextualSpacing w:val="1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(</w:t>
      </w:r>
      <w:r>
        <w:rPr>
          <w:rFonts w:ascii="Times New Roman" w:hAnsi="Times New Roman"/>
          <w:b w:val="0"/>
          <w:sz w:val="24"/>
        </w:rPr>
        <w:t>Этап 1. Корректировка проектной и сметной документации. Проектные работы.)</w:t>
      </w:r>
    </w:p>
    <w:p w14:paraId="06000000">
      <w:pPr>
        <w:pStyle w:val="Style_2"/>
        <w:ind/>
        <w:contextualSpacing w:val="1"/>
        <w:rPr>
          <w:rFonts w:ascii="Times New Roman" w:hAnsi="Times New Roman"/>
          <w:sz w:val="24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8"/>
        <w:gridCol w:w="7763"/>
      </w:tblGrid>
      <w:tr>
        <w:trPr>
          <w:trHeight w:hRule="atLeast" w:val="309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выполнения работ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Москва, ул. Наметкина, д. 11, корп. 2</w:t>
            </w:r>
          </w:p>
        </w:tc>
      </w:tr>
      <w:tr>
        <w:trPr>
          <w:trHeight w:hRule="atLeast" w:val="309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bookmarkStart w:id="1" w:name="_Hlk126238592"/>
            <w:r>
              <w:rPr>
                <w:rFonts w:ascii="Times New Roman" w:hAnsi="Times New Roman"/>
                <w:sz w:val="24"/>
              </w:rPr>
              <w:t xml:space="preserve">момента заключения Контракта, но не позднее </w:t>
            </w:r>
            <w:r>
              <w:rPr>
                <w:rFonts w:ascii="Times New Roman" w:hAnsi="Times New Roman"/>
                <w:sz w:val="24"/>
              </w:rPr>
              <w:t>«01</w:t>
            </w:r>
            <w:r>
              <w:rPr>
                <w:rFonts w:ascii="Times New Roman" w:hAnsi="Times New Roman"/>
                <w:sz w:val="24"/>
              </w:rPr>
              <w:t>» ноября</w:t>
            </w:r>
            <w:r>
              <w:rPr>
                <w:rFonts w:ascii="Times New Roman" w:hAnsi="Times New Roman"/>
                <w:sz w:val="24"/>
              </w:rPr>
              <w:t xml:space="preserve"> 2026</w:t>
            </w:r>
            <w:r>
              <w:rPr>
                <w:rFonts w:ascii="Times New Roman" w:hAnsi="Times New Roman"/>
                <w:sz w:val="24"/>
              </w:rPr>
              <w:t xml:space="preserve"> года включительно</w:t>
            </w:r>
            <w:bookmarkEnd w:id="1"/>
          </w:p>
        </w:tc>
      </w:tr>
      <w:tr>
        <w:trPr>
          <w:trHeight w:hRule="atLeast" w:val="309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 </w:t>
            </w:r>
            <w:r>
              <w:rPr>
                <w:rFonts w:ascii="Times New Roman" w:hAnsi="Times New Roman"/>
                <w:sz w:val="24"/>
              </w:rPr>
              <w:t>контракта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2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Корректировка </w:t>
            </w:r>
            <w:r>
              <w:rPr>
                <w:rFonts w:ascii="Times New Roman" w:hAnsi="Times New Roman"/>
                <w:sz w:val="24"/>
              </w:rPr>
              <w:t>проектно-сметной документации по</w:t>
            </w:r>
            <w:r>
              <w:rPr>
                <w:rFonts w:ascii="Times New Roman" w:hAnsi="Times New Roman"/>
                <w:sz w:val="24"/>
              </w:rPr>
              <w:t xml:space="preserve"> капитальному ремонту с выполнением мероприятий антитеррористической и инженерной защищенности, систем механической, пожарной и иной безопасности, систем видеонаблюдения и контроля управления доступом прокуратуры Юго-Западного административного округа и Черемушкинской межрайонной прокуратуры по адресу: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г. Москва, ул. Наметкина, д. 11, корп. </w:t>
            </w: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b w:val="0"/>
                <w:sz w:val="24"/>
              </w:rPr>
              <w:t>(</w:t>
            </w:r>
            <w:r>
              <w:rPr>
                <w:rFonts w:ascii="Times New Roman" w:hAnsi="Times New Roman"/>
                <w:b w:val="0"/>
                <w:sz w:val="24"/>
              </w:rPr>
              <w:t>Этап 1. Корректировка проектной и сметной документации. Проектные работы.)</w:t>
            </w:r>
          </w:p>
        </w:tc>
      </w:tr>
      <w:tr>
        <w:trPr>
          <w:trHeight w:hRule="atLeast" w:val="309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Помещения в здании, расположенном по адресу: </w:t>
            </w:r>
            <w:r>
              <w:rPr>
                <w:rFonts w:ascii="Times New Roman" w:hAnsi="Times New Roman"/>
                <w:sz w:val="24"/>
              </w:rPr>
              <w:t>г. Москва, ул. Наметкина, д. 11, корп. 2</w:t>
            </w:r>
            <w:r>
              <w:rPr>
                <w:rFonts w:ascii="Times New Roman" w:hAnsi="Times New Roman"/>
                <w:sz w:val="24"/>
              </w:rPr>
              <w:t xml:space="preserve"> в том числе</w:t>
            </w:r>
            <w:r>
              <w:rPr>
                <w:rFonts w:ascii="Times New Roman" w:hAnsi="Times New Roman"/>
                <w:sz w:val="24"/>
              </w:rPr>
              <w:t xml:space="preserve"> системы и сети инженерно-технического обеспечения указанных помещений.</w:t>
            </w:r>
          </w:p>
        </w:tc>
      </w:tr>
      <w:tr>
        <w:trPr>
          <w:trHeight w:hRule="atLeast" w:val="314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объекта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Административное здание</w:t>
            </w:r>
          </w:p>
        </w:tc>
      </w:tr>
      <w:tr>
        <w:trPr>
          <w:trHeight w:hRule="atLeast" w:val="314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Технические характеристики здания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Здание постройки: </w:t>
            </w:r>
            <w:r>
              <w:rPr>
                <w:rFonts w:ascii="Times New Roman" w:hAnsi="Times New Roman"/>
                <w:sz w:val="24"/>
              </w:rPr>
              <w:t>1963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</w:rPr>
              <w:t xml:space="preserve">занимаемых </w:t>
            </w:r>
            <w:r>
              <w:rPr>
                <w:rFonts w:ascii="Times New Roman" w:hAnsi="Times New Roman"/>
                <w:sz w:val="24"/>
              </w:rPr>
              <w:t xml:space="preserve">помещений </w:t>
            </w:r>
            <w:r>
              <w:rPr>
                <w:rFonts w:ascii="Times New Roman" w:hAnsi="Times New Roman"/>
                <w:sz w:val="24"/>
              </w:rPr>
              <w:t>1 352,7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кв.м.</w:t>
            </w:r>
          </w:p>
          <w:p w14:paraId="14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Перекрытия: железобетонные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5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Фасад: </w:t>
            </w:r>
            <w:r>
              <w:rPr>
                <w:rFonts w:ascii="Times New Roman" w:hAnsi="Times New Roman"/>
                <w:sz w:val="24"/>
              </w:rPr>
              <w:t>кирпичная кладка окрашенная.</w:t>
            </w:r>
          </w:p>
          <w:p w14:paraId="1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Перегородки: кирпичные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Крыша: </w:t>
            </w:r>
            <w:r>
              <w:rPr>
                <w:rFonts w:ascii="Times New Roman" w:hAnsi="Times New Roman"/>
                <w:sz w:val="24"/>
              </w:rPr>
              <w:t>плоская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Полы: дощатые, цементные, плиточные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Окна: из ПВХ-профиля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A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Внутренняя отделка: штукатурка, окраска, плитка, стеклообои под покраску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B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истемы и сети инженерно-технического обеспечения: </w:t>
            </w:r>
          </w:p>
          <w:p w14:paraId="1C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отопления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система электроснабжения, </w:t>
            </w:r>
            <w:r>
              <w:rPr>
                <w:rFonts w:ascii="Times New Roman" w:hAnsi="Times New Roman"/>
                <w:sz w:val="24"/>
              </w:rPr>
              <w:t>система ГВС</w:t>
            </w:r>
            <w:r>
              <w:rPr>
                <w:rFonts w:ascii="Times New Roman" w:hAnsi="Times New Roman"/>
                <w:sz w:val="24"/>
              </w:rPr>
              <w:t xml:space="preserve">, система </w:t>
            </w:r>
            <w:r>
              <w:rPr>
                <w:rFonts w:ascii="Times New Roman" w:hAnsi="Times New Roman"/>
                <w:sz w:val="24"/>
              </w:rPr>
              <w:t>ХВС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система пожарной сигнализации, кнопка тревожной сигнализации.</w:t>
            </w:r>
          </w:p>
          <w:p w14:paraId="1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Приведенные в данном пункте параметры могут уточняться по результатам обследования помещения.</w:t>
            </w:r>
          </w:p>
        </w:tc>
      </w:tr>
      <w:tr>
        <w:trPr>
          <w:trHeight w:hRule="atLeast" w:val="331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нормативно-технические документы, соблюдение требований, которых обязательно в ходе исполнения условий Контракта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Подрядчик обязан руководствоваться и строго соблюдать требования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законодательства,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нормативных и нормативно-технических документов, действующих правил, санитарных норм и правил, стандартов, приказов и указаний Генеральной прокуратуры, прокуратуры </w:t>
            </w:r>
            <w:r>
              <w:rPr>
                <w:rFonts w:ascii="Times New Roman" w:hAnsi="Times New Roman"/>
                <w:sz w:val="24"/>
              </w:rPr>
              <w:t>г. Москвы и иных документов,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действующих на территории Российской Федерации, </w:t>
            </w:r>
            <w:r>
              <w:rPr>
                <w:rFonts w:ascii="Times New Roman" w:hAnsi="Times New Roman"/>
                <w:sz w:val="24"/>
              </w:rPr>
              <w:t xml:space="preserve">с учетом замечаний и предложений органов государственной жилищной инспекции, Бюро технической инвентаризации (БТИ), Госэнергонадзора, Государственной противопожарной службы, Государственной санитарно-эпидемиологической службы, </w:t>
            </w: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2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Федерального закона от 29.12.2004 № 190-ФЗ «Градостроительный кодекс Российской Федерации»;</w:t>
            </w:r>
          </w:p>
          <w:p w14:paraId="21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Федерального закона от 30.12.2009 № 384-ФЗ «Технический регламент о безопасности зданий и сооружений»;</w:t>
            </w:r>
          </w:p>
          <w:p w14:paraId="2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Федерального закона от 22.07.2008 № 123-ФЗ «Технический регламент о требованиях пожарной безопасности»;</w:t>
            </w:r>
          </w:p>
          <w:p w14:paraId="2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Федерального закона от 23.11.2009 № 261-ФЗ «Об энергосбережении и о повышении </w:t>
            </w:r>
            <w:r>
              <w:rPr>
                <w:rFonts w:ascii="Times New Roman" w:hAnsi="Times New Roman"/>
                <w:sz w:val="24"/>
              </w:rPr>
              <w:t>энергетической эффективности,</w:t>
            </w:r>
            <w:r>
              <w:rPr>
                <w:rFonts w:ascii="Times New Roman" w:hAnsi="Times New Roman"/>
                <w:sz w:val="24"/>
              </w:rPr>
              <w:t xml:space="preserve"> и о внесении изменений в отдельные законодательные акты Российской Федерации»;</w:t>
            </w:r>
          </w:p>
          <w:p w14:paraId="24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Федерального закона «Об охране окружающей среды»;</w:t>
            </w:r>
          </w:p>
          <w:p w14:paraId="25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Федерального закона от 7.07.2003 № 126-ФЗ «О связи»;</w:t>
            </w:r>
          </w:p>
          <w:p w14:paraId="2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Федерального закона от 07.12.2011 № 416-ФЗ «О Водоснабжении и водоотведении»;</w:t>
            </w:r>
          </w:p>
          <w:p w14:paraId="2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Постановления Правительства Российской Федерации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строительства»;</w:t>
            </w:r>
          </w:p>
          <w:p w14:paraId="2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Постановления Правительства Российской Федерации от 31.12.2009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№ 1222 «О видах и характеристиках товаров, информация о классе энергетической эффективности, которых должна содержаться в технической документации, прилагаемой к этим товарам, в их маркировке, на их этикетках, и принципах правил определения производителями, импортерами класса энергетической эффективности товара»;</w:t>
            </w:r>
          </w:p>
          <w:p w14:paraId="2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Постановления Правительства Российской Федерации от 16.02.2008 № 87 «О составе разделов проектной документации и требованиях к их содержанию»;</w:t>
            </w:r>
          </w:p>
          <w:p w14:paraId="2A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Постановления Правительства Российской Федерации от 4.09.2013 №776 «Об утверждении правил организации коммерческого учета воды, сточных вод»;</w:t>
            </w:r>
          </w:p>
          <w:p w14:paraId="2B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Постановления Правительства Российской </w:t>
            </w:r>
            <w:r>
              <w:rPr>
                <w:rFonts w:ascii="Times New Roman" w:hAnsi="Times New Roman"/>
                <w:sz w:val="24"/>
              </w:rPr>
              <w:t>Федерации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12.</w:t>
            </w:r>
            <w:r>
              <w:rPr>
                <w:rFonts w:ascii="Times New Roman" w:hAnsi="Times New Roman"/>
                <w:sz w:val="24"/>
              </w:rPr>
              <w:t>11.2016 №1159 «О критериях экономической эффективности проектной документации»;</w:t>
            </w:r>
          </w:p>
          <w:p w14:paraId="2C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fldChar w:fldCharType="begin"/>
            </w:r>
            <w:r>
              <w:rPr>
                <w:rFonts w:ascii="Times New Roman" w:hAnsi="Times New Roman"/>
                <w:spacing w:val="-2"/>
                <w:sz w:val="24"/>
              </w:rPr>
              <w:instrText>HYPERLINK "consultantplus://offline/ref=E2DE3F672A5A6DCD14D3EDC1C1C80DFB1739E538F652D0234E6D6FFAAF65572921ED091A0A3D83B3JDBAR"</w:instrText>
            </w:r>
            <w:r>
              <w:rPr>
                <w:rFonts w:ascii="Times New Roman" w:hAnsi="Times New Roman"/>
                <w:spacing w:val="-2"/>
                <w:sz w:val="24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4"/>
              </w:rPr>
              <w:t>Постановление</w:t>
            </w:r>
            <w:r>
              <w:rPr>
                <w:rFonts w:ascii="Times New Roman" w:hAnsi="Times New Roman"/>
                <w:spacing w:val="-2"/>
                <w:sz w:val="24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Правительства Российской Федерации от 25.03.2015   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(территорий)»;</w:t>
            </w:r>
          </w:p>
          <w:p w14:paraId="2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ТР ТС 004/2011. «Технический регламент Таможенного Союза. О безопасности низковольтного оборудования» (Вместе с «Перечнем низковольтного оборудования, подлежащего подтверждению соответствия в форме сертификации...»), утвержден 16.08.2011 Решением 768 Комиссии Таможенного союза;</w:t>
            </w:r>
          </w:p>
          <w:p w14:paraId="2E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Приказ Минэнерго России от 30.06.2003 № 280 «Об утверждении Инструкции по устройству молниезащиты зданий, сооружений и промышленных коммуникаций» (СО 153-34.21.122-2003);</w:t>
            </w:r>
          </w:p>
          <w:p w14:paraId="2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Госстроя Российской Федерации № 170 «Об утверждении правил и норм технической эксплуатации жилищного фонда»;</w:t>
            </w:r>
          </w:p>
          <w:p w14:paraId="3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Минстроя России от 05.06.2019 № 326/пр «Об утверждении Методики расчета индексов изменения сметной стоимости строительства»;</w:t>
            </w:r>
          </w:p>
          <w:p w14:paraId="31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Минстроя от 05.08.2014 №437\пр «</w:t>
            </w:r>
            <w:r>
              <w:rPr>
                <w:rFonts w:ascii="Times New Roman" w:hAnsi="Times New Roman"/>
                <w:sz w:val="24"/>
              </w:rPr>
              <w:t>Об утверждении требований к проведению технического обследования централизованных систем горячего водоснабжения, холодного водоснабжения и (или)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эффективности объектов централизованных систем горячего водоснабжения, холодного водоснабжения и (или) водоотведения, объектов нецентрализованных систем холодного и горячего водоснабжения, и порядка осуществления мониторинга таких показателей»;</w:t>
            </w:r>
          </w:p>
          <w:p w14:paraId="3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 73.13330.2016 «Внутренние санитарно-технические системы зданий. Актуализированная редакция СНиП 3.05.01-85»;</w:t>
            </w:r>
          </w:p>
          <w:p w14:paraId="3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СП 60.13330.2016. Свод правил. «Отопление, вентиляция и кондиционирование воздуха. Актуализированная редакция </w:t>
            </w:r>
            <w:r>
              <w:rPr>
                <w:rFonts w:ascii="Times New Roman" w:hAnsi="Times New Roman"/>
                <w:spacing w:val="-2"/>
                <w:sz w:val="24"/>
              </w:rPr>
              <w:br/>
            </w:r>
            <w:r>
              <w:rPr>
                <w:rFonts w:ascii="Times New Roman" w:hAnsi="Times New Roman"/>
                <w:spacing w:val="-2"/>
                <w:sz w:val="24"/>
              </w:rPr>
              <w:t>СНиП 41-01-2003», утвержден приказом Минстроя России от 16.12.2016 №968/пр;</w:t>
            </w:r>
          </w:p>
          <w:p w14:paraId="34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 7.13130.2013. Свод правил «Отопление, вентиляция и кондиционирование. Требования пожарной безопасности», утвержден приказом МЧС России от 21.02.2013 №116;</w:t>
            </w:r>
          </w:p>
          <w:p w14:paraId="35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61.13330.2012 СНиП 41.03-2003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 xml:space="preserve"> «Тепловая изоляция оборудования и трубопроводов»;</w:t>
            </w:r>
          </w:p>
          <w:p w14:paraId="3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50.13330.2012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 xml:space="preserve"> «Тепловая защита зданий»;</w:t>
            </w:r>
          </w:p>
          <w:p w14:paraId="3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 124.13330.2012. Свод правил. «Тепловые сети. Актуализированная редакция СНиП 41-02-2003», утвержден приказом Минрегиона России от 30.06.2012 № 280;</w:t>
            </w:r>
          </w:p>
          <w:p w14:paraId="3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31-110-2003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 xml:space="preserve"> «Электроустановки жилых и общественных зданий. Правила проектирование и монтаж»;</w:t>
            </w:r>
          </w:p>
          <w:p w14:paraId="3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52.13330.2016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 xml:space="preserve"> «Естественное и искусственное освещение»;</w:t>
            </w:r>
          </w:p>
          <w:p w14:paraId="3A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</w:t>
            </w:r>
            <w:r>
              <w:rPr>
                <w:rFonts w:ascii="Times New Roman" w:hAnsi="Times New Roman"/>
                <w:sz w:val="24"/>
              </w:rPr>
              <w:t>76.13330.2016 Свод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правил. </w:t>
            </w:r>
            <w:r>
              <w:rPr>
                <w:rFonts w:ascii="Times New Roman" w:hAnsi="Times New Roman"/>
                <w:sz w:val="24"/>
              </w:rPr>
              <w:t>«Электротехнические устройства»;</w:t>
            </w:r>
          </w:p>
          <w:p w14:paraId="3B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41-105-2002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>«Проектирование и строительство тепловых сетей бесканальной прокладки из стальных труб с индустриальной тепловой изоляцией из пенополиуритана в полиэтиленовой оболочке»;</w:t>
            </w:r>
          </w:p>
          <w:p w14:paraId="3C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 131.13330.2020. Свод правил. Строительная климатология. СНиП 23-01-99*(утв. и введен в действие Приказом Минстроя России от 24.12.2020 N 859/пр) (ред. от 30.05.2022);</w:t>
            </w:r>
          </w:p>
          <w:p w14:paraId="3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 30.13330.2020. Свод правил. Внутренний водопровод и канализация зданий. СНиП 2.04.01-85* (утв. и введен в действие Приказом Минстроя России от 30.12.2020 N 920/пр) (ред. от 31.05.2022</w:t>
            </w:r>
            <w:r>
              <w:rPr>
                <w:rFonts w:ascii="Times New Roman" w:hAnsi="Times New Roman"/>
                <w:sz w:val="24"/>
              </w:rPr>
              <w:t>);</w:t>
            </w:r>
          </w:p>
          <w:p w14:paraId="3E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 484.1311500.2020. 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проектирования;</w:t>
            </w:r>
          </w:p>
          <w:p w14:paraId="3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 3.13130.2009 «Системы противопожарной защиты. Системы оповещения и управления эвакуацией людей при пожаре. Требования пожарной безопасности»;</w:t>
            </w:r>
          </w:p>
          <w:p w14:paraId="4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 1.13130 «Системы противопожарной защиты. Эвакуационные пути и выходы»;</w:t>
            </w:r>
          </w:p>
          <w:p w14:paraId="41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 31.13330.2021. Свод правил. Водоснабжение. Наружные сети и сооружения. СНиП 2.04.02-84*;</w:t>
            </w:r>
            <w:r>
              <w:rPr>
                <w:rFonts w:ascii="Times New Roman" w:hAnsi="Times New Roman"/>
                <w:spacing w:val="-2"/>
                <w:sz w:val="24"/>
              </w:rPr>
              <w:br/>
            </w:r>
            <w:r>
              <w:rPr>
                <w:rFonts w:ascii="Times New Roman" w:hAnsi="Times New Roman"/>
                <w:spacing w:val="-2"/>
                <w:sz w:val="24"/>
              </w:rPr>
              <w:t>СП 10.13130 «Системы противопожарной защиты. Внутренний противопожарный водопровод. Нормы и правила проектирования»</w:t>
            </w:r>
            <w:r>
              <w:rPr>
                <w:rFonts w:ascii="Times New Roman" w:hAnsi="Times New Roman"/>
                <w:sz w:val="24"/>
              </w:rPr>
              <w:t xml:space="preserve"> Утвержден </w:t>
            </w:r>
            <w:r>
              <w:rPr>
                <w:rFonts w:ascii="Times New Roman" w:hAnsi="Times New Roman"/>
                <w:spacing w:val="-2"/>
                <w:sz w:val="24"/>
              </w:rPr>
              <w:t>приказом МЧС России от 27.07.2020 № 559;</w:t>
            </w:r>
          </w:p>
          <w:p w14:paraId="4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 32.13330.2018. Свод правил. Канализация. Наружные сети и сооружения. СНиП 2.04.03-85 (утв. и введен в действие Приказом Минстроя России от 25.12.2018 N 860/пр) (ред. от 27.12.2021);</w:t>
            </w:r>
          </w:p>
          <w:p w14:paraId="4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 4.13130.2013. Свод правил.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утвержден приказом МЧС России от 24.04.2013 №288 (ред. от 18.07.2013);</w:t>
            </w:r>
          </w:p>
          <w:p w14:paraId="44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 6.13130.2021 «Системы противопожарной защиты. Электроустановки низковольтные. Требования пожарной безопасности», утвержден приказом МЧС России от 06.04.2021 № 200;</w:t>
            </w:r>
          </w:p>
          <w:p w14:paraId="45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134.13330.2012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>«Системы электросвязи зданий и сооружений. Основные положения проектирования»;</w:t>
            </w:r>
          </w:p>
          <w:p w14:paraId="4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12.13130.2009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>«Определение категорий помещений, зданий и наружных установок по взрывопожарной и пожарной опасности»;</w:t>
            </w:r>
          </w:p>
          <w:p w14:paraId="4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 59.13330.2020. Свод правил. Доступность зданий и сооружений для маломобильных групп населения. СНиП 35-01-2001;</w:t>
            </w:r>
          </w:p>
          <w:p w14:paraId="4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136.13330.2012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>«Здания и сооружения. Общие положения проектирования с учетом доступности для маломобильных групп населения»;</w:t>
            </w:r>
          </w:p>
          <w:p w14:paraId="4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35-101-2001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>«Проектирование зданий и сооружений с учетом доступности для маломобильных групп населения. Общие положения»;</w:t>
            </w:r>
          </w:p>
          <w:p w14:paraId="4A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118.13330.2022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>«СНиП 31-06-2009* Общественные здания и сооружения»;</w:t>
            </w:r>
          </w:p>
          <w:p w14:paraId="4B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44.13330.2011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Свод правил. </w:t>
            </w:r>
            <w:r>
              <w:rPr>
                <w:rFonts w:ascii="Times New Roman" w:hAnsi="Times New Roman"/>
                <w:sz w:val="24"/>
              </w:rPr>
              <w:t xml:space="preserve"> «СНиП 2.09.04-87 Административные и бытовые здания»;</w:t>
            </w:r>
          </w:p>
          <w:p w14:paraId="4C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 458.1325800.2019. Свод правил. Здания прокуратур. Правила проектирования" (утв. и введен в действие Приказом Минстроя Российской Федерации от 25 ноября 2019 г. N 728/пр); </w:t>
            </w:r>
          </w:p>
          <w:p w14:paraId="4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СНиП 31-05-2003 «Система нормативных документов в строительстве строительные нормы и правила РФ. Общественные здания административного назначения»;</w:t>
            </w:r>
          </w:p>
          <w:p w14:paraId="4E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ВСН 58-88 «Положение об организации и проведения реконструкции, ремонта и технического обслуживания зданий коммунального и социально-культурного назначения»;</w:t>
            </w:r>
          </w:p>
          <w:p w14:paraId="4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21.101-2020 «Основные требования к проектной и рабочей документации»;</w:t>
            </w:r>
          </w:p>
          <w:p w14:paraId="5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ГОСТ 12.1.030-81. Система стандартов безопасности труда. «Электробезопасность. Защитное заземление. Зануление»;</w:t>
            </w:r>
          </w:p>
          <w:p w14:paraId="51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12.1.019-2017 ССБТ «Электробезопасность. Общие требования»;</w:t>
            </w:r>
          </w:p>
          <w:p w14:paraId="5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52131-2019 «Средства отображения информации знаковые для инвалидов»;</w:t>
            </w:r>
          </w:p>
          <w:p w14:paraId="5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52875-2018 «Указатели тактильные наземные для инвалидов по зрению. Технические требования»;</w:t>
            </w:r>
          </w:p>
          <w:p w14:paraId="54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31565-2012 «Кабельные изделия. Требования пожарной безопасности»;</w:t>
            </w:r>
          </w:p>
          <w:p w14:paraId="55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50571 «Электроустановки зданий. Выбор и монтаж электрооборудования. Электропроводки. Инструкция по монтажу электрооборудования электросетей жилых и общественных зданий»;</w:t>
            </w:r>
          </w:p>
          <w:p w14:paraId="5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31996-2012 «Кабели силовые с пластмассовой изоляцией»;</w:t>
            </w:r>
          </w:p>
          <w:p w14:paraId="5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ГОСТ Р 53316-2021. Национальный стандарт Российской Федерации. Электропроводки. Сохранение работоспособности в условиях стандартного температурного режима пожара. Методы испытаний (утв. и введен в действие Приказом Росстандарта от 21.09.2021 N 991-ст);</w:t>
            </w:r>
          </w:p>
          <w:p w14:paraId="5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ГОСТ Р 53246-2008. «Информационные технологии. Системы кабельные структурированные. Проектирование основных узлов системы. Общие требования», утвержден приказом Ростехрегулирования от 25.12.2008 № 786-ст;</w:t>
            </w:r>
          </w:p>
          <w:p w14:paraId="5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53245-2008. «Информационные технологии системы кабельные структурированные. монтаж основных узлов системы методы испытания»;</w:t>
            </w:r>
          </w:p>
          <w:p w14:paraId="5A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32397-2020. Межгосударственный стандарт. «Щитки распределительные для производственных и общественных зданий. Общие технические условия»;</w:t>
            </w:r>
          </w:p>
          <w:p w14:paraId="5B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32396-2021. Межгосударственный стандарт. «Устройства вводно-распределительные для жилых и общественных зданий. Общие технические условия»;</w:t>
            </w:r>
          </w:p>
          <w:p w14:paraId="5C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ГОСТ 12.1.004-91. Межгосударственный стандарт. «Система стандартов безопасности труда. Пожарная безопасность. Общие требования», утвержден постановлением Госстандарта СССР </w:t>
            </w:r>
            <w:r>
              <w:rPr>
                <w:rFonts w:ascii="Times New Roman" w:hAnsi="Times New Roman"/>
                <w:spacing w:val="-2"/>
                <w:sz w:val="24"/>
              </w:rPr>
              <w:br/>
            </w:r>
            <w:r>
              <w:rPr>
                <w:rFonts w:ascii="Times New Roman" w:hAnsi="Times New Roman"/>
                <w:spacing w:val="-2"/>
                <w:sz w:val="24"/>
              </w:rPr>
              <w:t>от 14.06.1991 № 875 (ред. от 01.10.1993);</w:t>
            </w:r>
          </w:p>
          <w:p w14:paraId="5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52023-2003 «Сети распределительные системы кабельного телевидения основные параметры. Технические требования. Методы измерения и испытания»;</w:t>
            </w:r>
          </w:p>
          <w:p w14:paraId="5E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31565-2012 «Кабельные изделия. Требования пожарной безопасности»;</w:t>
            </w:r>
          </w:p>
          <w:p w14:paraId="5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21.703-2020. Национальный стандарт Российской Федерации. «Система проектной документации для строительства. Правила выполнения рабочей документации проводных средств связи»;</w:t>
            </w:r>
          </w:p>
          <w:p w14:paraId="6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50776-95 «Системы тревожной сигнализации. Часть 1. общие требования. Раздел 4. Руководство по проектированию, монтажу и техническому обслуживанию»;</w:t>
            </w:r>
          </w:p>
          <w:p w14:paraId="61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50571.5.52-2011 «Электроустановки низковольтные. Часть5-52. Выбор и монтаж электрооборудования. Электропроводки»;</w:t>
            </w:r>
          </w:p>
          <w:p w14:paraId="6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51558-2014 «Средства и системы охранные телевизионные. Классификация. Общие технические требования. Методы испытаний»;</w:t>
            </w:r>
          </w:p>
          <w:p w14:paraId="6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ГОСТ Р 51844-2009. «Техника пожарная. Шкафы пожарные. Общие технические требования. Методы испытаний», утвержденный приказом Ростехрегулирования от 18.02.2009 № 52-ст;</w:t>
            </w:r>
          </w:p>
          <w:p w14:paraId="64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Р 51091-97 «Установки порошкового пожаротушения автоматические. Типы и основные параметры»;</w:t>
            </w:r>
          </w:p>
          <w:p w14:paraId="65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2.701-2008 «Схемы виды и типы. Общие требования к выполнению»;</w:t>
            </w:r>
          </w:p>
          <w:p w14:paraId="6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21.501-2018 «Правила выполнения рабочей документации архитектурных и конструктивных решений»;</w:t>
            </w:r>
          </w:p>
          <w:p w14:paraId="6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21.110-2013 «Спецификация оборудования, изделий и материалов»;</w:t>
            </w:r>
          </w:p>
          <w:p w14:paraId="6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 12.2.007.0-75 «Система стандартов безопасности труда изделия электротехнические общие требования безопасности»;</w:t>
            </w:r>
          </w:p>
          <w:p w14:paraId="6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РМ 2559 «Инструкция по проектированию учета электропотребления в жилых и общественных зданиях»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6A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 города Москвы от 17.01.2001 № 3 «Об обеспечении беспрепятственного доступа инвалидов и иных маломобильных граждан к объектам социальной, транспортной и инженерной инфраструктуры города Москвы»;</w:t>
            </w:r>
          </w:p>
          <w:p w14:paraId="6B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РМ 2798 «Инструкция по проектированию систем связи, информатизации и диспетчеризации объектов жилищного строительства»;</w:t>
            </w:r>
          </w:p>
          <w:p w14:paraId="6C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РП 1.311-1-97 «Порядок разработки, согласования, утверждения и состав проектной документации на строительство сооружений электросвязи»;</w:t>
            </w:r>
          </w:p>
          <w:p w14:paraId="6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 45.120-2000 «Нормы технологического проектирования городские и сельские телефонные сети»;</w:t>
            </w:r>
          </w:p>
          <w:p w14:paraId="6E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 78.36.003-2013, РД 78.36.003-2014 «Инженерно-технические укрепления и оснащение техническими средствами охраны объектов, квартир и МХИГ, принимаемых под централизованную охрану подразделениями вневедомственной охраны» часть 1 и часть 2;</w:t>
            </w:r>
          </w:p>
          <w:p w14:paraId="6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РД.34.20.185-94 «Инструкция по проектированию городских электрических сетей»;</w:t>
            </w:r>
          </w:p>
          <w:p w14:paraId="7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МДС 31-3.2000. «Методические рекомендации по проектированию зданий прокуратур»;</w:t>
            </w:r>
          </w:p>
          <w:p w14:paraId="71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ПУЭ. «Правила устройства электроустановок»:</w:t>
            </w:r>
          </w:p>
          <w:p w14:paraId="7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- издание шестое, утверждены Главтехуправлением, Госэнергонадзором Минэнерго СССР 05.10.1979 (ред. от 20.06.2003);</w:t>
            </w:r>
          </w:p>
          <w:p w14:paraId="7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- издание седьмое. Раздел 1. Общие правила. Главы 1.1, 1.2, 1.7, 1.9. Раздел 7. Электрооборудование специальных установок. Главы 7.5, 7.6, 7.10, утверждены приказом Минэнерго России от 08.07.2002 № 204;</w:t>
            </w:r>
          </w:p>
          <w:p w14:paraId="74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- издание седьмое. Раздел 1. Общие правила. Глава 1.8, утверждены приказом Минэнерго России от 09.04.2003 № 150;</w:t>
            </w:r>
          </w:p>
          <w:p w14:paraId="75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- издание седьмое. Раздел 2. Передача электроэнергии. Главы 2.4, 2.5, утверждены приказом Минэнерго России от 20.05.2003 № 187 (ред. от 20.12.2017);</w:t>
            </w:r>
          </w:p>
          <w:p w14:paraId="7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- издание седьмое. Раздел 4. Распределительные устройства и подстанции. Главы 4.1, 4.2, утверждены приказом Минэнерго России от 20.06.2003 № 242;</w:t>
            </w:r>
          </w:p>
          <w:p w14:paraId="7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- раздел 6. Электрическое освещение. Раздел 7. Электрооборудование специальных установок. Главы 7.1, 7.2, утверждены приказом Минтопэнерго России 06.10.1999 (ред. от 20.12.2017);</w:t>
            </w:r>
          </w:p>
          <w:p w14:paraId="7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- издание седьмое. Раздел 4. Распределительные устройства и подстанции. Глава 4.1. Распределительные устройства напряжением до 1 кВ переменного тока и до 1,5 кВ постоянного тока. Глава 4.2. Распределительные устройства и подстанции напряжением выше 1 кВ, утверждены приказом Минэнерго России от 20.06.2003 № 242.</w:t>
            </w:r>
          </w:p>
          <w:p w14:paraId="7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изменения нормативной документации на момент выполнения  корректировки проектно-сметной документации использовать действующую редакцию.</w:t>
            </w:r>
          </w:p>
        </w:tc>
      </w:tr>
      <w:tr>
        <w:trPr>
          <w:trHeight w:hRule="atLeast" w:val="228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Общие требования к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z w:val="24"/>
              </w:rPr>
              <w:t xml:space="preserve"> работ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2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Подрядчик до начала производства </w:t>
            </w:r>
            <w:r>
              <w:rPr>
                <w:rFonts w:ascii="Times New Roman" w:hAnsi="Times New Roman"/>
                <w:sz w:val="24"/>
              </w:rPr>
              <w:t>проектных работ</w:t>
            </w:r>
            <w:r>
              <w:rPr>
                <w:rFonts w:ascii="Times New Roman" w:hAnsi="Times New Roman"/>
                <w:sz w:val="24"/>
              </w:rPr>
              <w:t xml:space="preserve"> представляет Заказчику список </w:t>
            </w:r>
            <w:r>
              <w:rPr>
                <w:rFonts w:ascii="Times New Roman" w:hAnsi="Times New Roman"/>
                <w:sz w:val="24"/>
              </w:rPr>
              <w:t>рабочих</w:t>
            </w:r>
            <w:r>
              <w:rPr>
                <w:rFonts w:ascii="Times New Roman" w:hAnsi="Times New Roman"/>
                <w:sz w:val="24"/>
              </w:rPr>
              <w:t xml:space="preserve">, задействованных при производстве </w:t>
            </w:r>
            <w:r>
              <w:rPr>
                <w:rFonts w:ascii="Times New Roman" w:hAnsi="Times New Roman"/>
                <w:sz w:val="24"/>
              </w:rPr>
              <w:t>проектных работ</w:t>
            </w:r>
            <w:r>
              <w:rPr>
                <w:rFonts w:ascii="Times New Roman" w:hAnsi="Times New Roman"/>
                <w:sz w:val="24"/>
              </w:rPr>
              <w:t xml:space="preserve"> с указанием </w:t>
            </w:r>
            <w:r>
              <w:rPr>
                <w:rFonts w:ascii="Times New Roman" w:hAnsi="Times New Roman"/>
                <w:sz w:val="24"/>
              </w:rPr>
              <w:t>их фамилии</w:t>
            </w:r>
            <w:r>
              <w:rPr>
                <w:rFonts w:ascii="Times New Roman" w:hAnsi="Times New Roman"/>
                <w:sz w:val="24"/>
              </w:rPr>
              <w:t xml:space="preserve">, имени, отчества (Ф.И.О.). </w:t>
            </w:r>
          </w:p>
          <w:p w14:paraId="7C000000">
            <w:pPr>
              <w:pStyle w:val="Style_2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Пропуск рабочих в здание и/или на территорию осуществляется только после письменного согласования с Заказчиком.</w:t>
            </w:r>
          </w:p>
          <w:p w14:paraId="7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Проектные работы, замеры и иные работы осуществляются без остановки рабочего процесса учреждения, в рабочем режиме прокуратуры города: с понедельника по четверг 9 час 00 мин – 18 час 00 мин; пятница 9 час 00 мин – 16 час 45 мин; суббота, воскресенье – выходные дни. с соблюдением всех норм, правил и санитарных требований.</w:t>
            </w:r>
          </w:p>
          <w:p w14:paraId="7E000000">
            <w:pPr>
              <w:pStyle w:val="Style_2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позднее двух рабочих дней с момента заключения Контракта, постоянно в период действия Контракта (по мере изменения актуальности представляемых сведений, не позднее пяти календарных дней с момента изменения сведений) Подрядчик обязан представить Заказчику следующие документы (надлежащим образом заверенные копии):</w:t>
            </w:r>
          </w:p>
          <w:p w14:paraId="7F000000">
            <w:pPr>
              <w:pStyle w:val="Style_2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Список работников Подрядчика, заверенный подписью и печатью Подрядчика, непосредственно задействованных при производстве монтажа по Контракту, с указанием должностей, режима работы сотрудников.</w:t>
            </w:r>
          </w:p>
          <w:p w14:paraId="80000000">
            <w:pPr>
              <w:pStyle w:val="Style_2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Паспорта, трудовые книжки и/или трудовые договоры, подписанные лицом, отвечающим за соответствующее направление деятельности и утвержденные директором (генеральным директором) организации, должностные инструкции работников, непосредственно задействованных при производстве монтажа по Контракту.</w:t>
            </w:r>
          </w:p>
          <w:p w14:paraId="81000000">
            <w:pPr>
              <w:pStyle w:val="Style_2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Подрядчик в течение одного рабочего дня с момента заключения Контракта обязан назначить ответственного(ых) представителя(ей) Подрядчика для координации и согласования с Заказчиком хода исполнения условий Контракта.</w:t>
            </w:r>
          </w:p>
          <w:p w14:paraId="82000000">
            <w:pPr>
              <w:pStyle w:val="Style_2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Подрядчик в течение трех рабочих дней с момента заключения Контракта направляет Заказчику официальное уведомление с указанием Ф.И.О. представителя(ей), занимаемая у Подрядчика должность, срок полномочий, номер и дата распорядительного документа о назначении Представителей, номер и дата доверенности. К уведомлению прилагаются выданные Подрядчиком доверенности, подтверждающие объем и срок полномочий его ответственного(ых) представителя(ей).</w:t>
            </w:r>
          </w:p>
          <w:p w14:paraId="8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организации работ, в целях обеспечения санитарно-эпидемиологической безопасности, Подрядчик обязан обеспечить применение мер профилактики по недопущению возникновения и распространения коронавирусной инфекции (</w:t>
            </w:r>
            <w:r>
              <w:rPr>
                <w:rFonts w:ascii="Times New Roman" w:hAnsi="Times New Roman"/>
                <w:sz w:val="24"/>
              </w:rPr>
              <w:t>COVID</w:t>
            </w:r>
            <w:r>
              <w:rPr>
                <w:rFonts w:ascii="Times New Roman" w:hAnsi="Times New Roman"/>
                <w:sz w:val="24"/>
              </w:rPr>
              <w:t xml:space="preserve">-19). Сотрудникам, задействованным в выполнении работ </w:t>
            </w:r>
            <w:r>
              <w:rPr>
                <w:rFonts w:ascii="Times New Roman" w:hAnsi="Times New Roman"/>
                <w:sz w:val="24"/>
              </w:rPr>
              <w:t>по контракту,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необходимо </w:t>
            </w:r>
            <w:r>
              <w:rPr>
                <w:rFonts w:ascii="Times New Roman" w:hAnsi="Times New Roman"/>
                <w:sz w:val="24"/>
              </w:rPr>
              <w:t>использовать средства индивидуальной защиты органов дыхания, зрения и рук, использовать дезинфицирующие средства</w:t>
            </w:r>
            <w:r>
              <w:rPr>
                <w:rFonts w:ascii="Times New Roman" w:hAnsi="Times New Roman"/>
                <w:sz w:val="24"/>
              </w:rPr>
              <w:t>, а также соблюдать меры, рекомендованные Всемирной организацией Здравоохранения и Министерством здравоохранения Российской Федерации.</w:t>
            </w:r>
          </w:p>
        </w:tc>
      </w:tr>
      <w:tr>
        <w:trPr>
          <w:trHeight w:hRule="atLeast" w:val="228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Последова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тельность проведения работ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Подрядчик обязан руководствоваться следующим этапами и в указанной последовательности проведения работ:</w:t>
            </w:r>
          </w:p>
          <w:p w14:paraId="8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исходно-разрешительной документации</w:t>
            </w:r>
          </w:p>
          <w:p w14:paraId="8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</w:t>
            </w:r>
            <w:r>
              <w:rPr>
                <w:rFonts w:ascii="Times New Roman" w:hAnsi="Times New Roman"/>
                <w:sz w:val="24"/>
              </w:rPr>
              <w:t>ение</w:t>
            </w:r>
            <w:r>
              <w:rPr>
                <w:rFonts w:ascii="Times New Roman" w:hAnsi="Times New Roman"/>
                <w:sz w:val="24"/>
              </w:rPr>
              <w:t xml:space="preserve"> технических обследований помещений</w:t>
            </w:r>
          </w:p>
          <w:p w14:paraId="8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Корректировка основных технических решений (ОТР)</w:t>
            </w:r>
          </w:p>
          <w:p w14:paraId="8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Корректировка</w:t>
            </w:r>
            <w:r>
              <w:rPr>
                <w:rFonts w:ascii="Times New Roman" w:hAnsi="Times New Roman"/>
                <w:sz w:val="24"/>
              </w:rPr>
              <w:t xml:space="preserve"> проектной документации для получения согласований и заключения экспертизы</w:t>
            </w:r>
          </w:p>
          <w:p w14:paraId="8A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Корректировка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рабочей</w:t>
            </w:r>
            <w:r>
              <w:rPr>
                <w:rFonts w:ascii="Times New Roman" w:hAnsi="Times New Roman"/>
                <w:sz w:val="24"/>
              </w:rPr>
              <w:t xml:space="preserve"> документации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8B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Корректировка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сметной</w:t>
            </w:r>
            <w:r>
              <w:rPr>
                <w:rFonts w:ascii="Times New Roman" w:hAnsi="Times New Roman"/>
                <w:sz w:val="24"/>
              </w:rPr>
              <w:t xml:space="preserve"> документации</w:t>
            </w:r>
          </w:p>
          <w:p w14:paraId="8C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Сдача выполненных работ Заказчику</w:t>
            </w:r>
          </w:p>
          <w:p w14:paraId="8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документации по каждому из выполненных видов работ</w:t>
            </w:r>
          </w:p>
        </w:tc>
      </w:tr>
      <w:tr>
        <w:trPr>
          <w:trHeight w:hRule="atLeast" w:val="228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 к обследованию технического состояния объекта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</w:rPr>
              <w:t xml:space="preserve">техническое </w:t>
            </w:r>
            <w:r>
              <w:rPr>
                <w:rFonts w:ascii="Times New Roman" w:hAnsi="Times New Roman"/>
                <w:sz w:val="24"/>
              </w:rPr>
              <w:t xml:space="preserve">обследование </w:t>
            </w:r>
            <w:r>
              <w:rPr>
                <w:rFonts w:ascii="Times New Roman" w:hAnsi="Times New Roman"/>
                <w:sz w:val="24"/>
              </w:rPr>
              <w:t>помещений на предмет соответствия требованиям безопасности, антитеррористической защищенности.</w:t>
            </w:r>
          </w:p>
          <w:p w14:paraId="9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Выполнить обследование </w:t>
            </w:r>
            <w:r>
              <w:rPr>
                <w:rFonts w:ascii="Times New Roman" w:hAnsi="Times New Roman"/>
                <w:sz w:val="24"/>
              </w:rPr>
              <w:t>следующих конструкций:</w:t>
            </w:r>
          </w:p>
          <w:p w14:paraId="91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стены наружные и внутренние;</w:t>
            </w:r>
          </w:p>
          <w:p w14:paraId="9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перегородки;</w:t>
            </w:r>
          </w:p>
          <w:p w14:paraId="9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плиты межэтажного перекрытия;</w:t>
            </w:r>
          </w:p>
          <w:p w14:paraId="94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перемычки, окна, двери;</w:t>
            </w:r>
          </w:p>
          <w:p w14:paraId="95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лестницы;</w:t>
            </w:r>
          </w:p>
          <w:p w14:paraId="9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полы;</w:t>
            </w:r>
          </w:p>
          <w:p w14:paraId="9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внутренние инженерные сети и системы</w:t>
            </w:r>
            <w:r>
              <w:rPr>
                <w:rFonts w:ascii="Times New Roman" w:hAnsi="Times New Roman"/>
                <w:sz w:val="24"/>
              </w:rPr>
              <w:t xml:space="preserve"> и тд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9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Подрядчик проводит </w:t>
            </w:r>
            <w:r>
              <w:rPr>
                <w:rFonts w:ascii="Times New Roman" w:hAnsi="Times New Roman"/>
                <w:sz w:val="24"/>
              </w:rPr>
              <w:t xml:space="preserve">визуальное </w:t>
            </w:r>
            <w:r>
              <w:rPr>
                <w:rFonts w:ascii="Times New Roman" w:hAnsi="Times New Roman"/>
                <w:sz w:val="24"/>
              </w:rPr>
              <w:t>обследование технического состояния зданий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9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Визуальное обследование выполняется в соответствии с установленными требованиями.</w:t>
            </w:r>
          </w:p>
          <w:p w14:paraId="9A000000">
            <w:pPr>
              <w:tabs>
                <w:tab w:leader="none" w:pos="317" w:val="left"/>
              </w:tabs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Обследование инженерных систем;</w:t>
            </w:r>
          </w:p>
          <w:p w14:paraId="9B000000">
            <w:pPr>
              <w:tabs>
                <w:tab w:leader="none" w:pos="317" w:val="left"/>
              </w:tabs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ведомости дефектов;</w:t>
            </w:r>
          </w:p>
          <w:p w14:paraId="9C000000">
            <w:pPr>
              <w:spacing w:after="40" w:line="252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 необходимости выполнить дополнительные обследования, в том числе у</w:t>
            </w:r>
            <w:r>
              <w:rPr>
                <w:rFonts w:ascii="Times New Roman" w:hAnsi="Times New Roman"/>
                <w:color w:val="000000"/>
                <w:sz w:val="24"/>
              </w:rPr>
              <w:t>странить противоречия акта обследования с проектной документацией;  при недостаточности данных выполнить дополнительные обмеры, вскрытия, обследования или инструментальные проверки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выполнить топографо-геодезическую съемку фактического положения существующих канализационных колодцев, дождеприемников и доступных участков наружных сетей в зоне подключения; в</w:t>
            </w:r>
            <w:r>
              <w:rPr>
                <w:rFonts w:ascii="Times New Roman" w:hAnsi="Times New Roman"/>
                <w:color w:val="000000"/>
                <w:sz w:val="24"/>
              </w:rPr>
              <w:t>ыполнить геодезическую съемку фасадов здания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9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выполняются в соответствии с нормами, правилами, стандартами и другими нормативными актами, действующими в Российской Федерации.</w:t>
            </w:r>
          </w:p>
          <w:p w14:paraId="9E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требований обследования технического состояния объекта обязателен к исполнению, но не является исчерпывающим.</w:t>
            </w:r>
          </w:p>
          <w:p w14:paraId="9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  <w:p w14:paraId="A0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результатам обследования при разработке разделов, в необходимых случаях по согласованию с Заказчиком, учесть проектирование мероприятий антитеррористической и инженерной защищенности, систем механической, пожарной и иной безопасности,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систем видеонаблюдения и контроля управления доступом и тд.</w:t>
            </w:r>
          </w:p>
          <w:p w14:paraId="A1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Предусмотреть все системы для обеспечения антитеррористической и инженерной защищенности, механической, пожарной и иной безопасности.</w:t>
            </w:r>
          </w:p>
          <w:p w14:paraId="A2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Учесть необходимые технические характеристики соответствия установленных систем Ростелеком.</w:t>
            </w:r>
          </w:p>
          <w:p w14:paraId="A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Учесть необходимость соответствия качественных показателей элементов вновь проектируемых систем и соответствие установленным системам Ростелеком.</w:t>
            </w:r>
          </w:p>
        </w:tc>
      </w:tr>
      <w:tr>
        <w:trPr>
          <w:trHeight w:hRule="atLeast" w:val="212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и основные показатели объекта после капитального ремонта</w:t>
            </w:r>
          </w:p>
          <w:p w14:paraId="A5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Помещения основного назначения - кабинеты и приемные.</w:t>
            </w:r>
          </w:p>
          <w:p w14:paraId="A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Специальные помещения - комнаты вещественных доказательств, помещения с особым режимом работы, серверные, кабинет для работы с секретными документами; </w:t>
            </w:r>
          </w:p>
          <w:p w14:paraId="A8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Помещения функциональных и делопроизводческих отделов – канцелярия-приемная, архив;</w:t>
            </w:r>
          </w:p>
          <w:p w14:paraId="A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Вспомогательные и обслуживающие помещения – санузлы, кладовые, коридоры.</w:t>
            </w:r>
          </w:p>
          <w:p w14:paraId="AA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Количество, состав, назначение помещений и их площадь определить проектной документацией с согласованием с Заказчиком.</w:t>
            </w:r>
          </w:p>
          <w:p w14:paraId="AB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Список помещений может быть изменен или добавлен Заказчиком.</w:t>
            </w:r>
          </w:p>
        </w:tc>
      </w:tr>
      <w:tr>
        <w:trPr>
          <w:trHeight w:hRule="atLeast" w:val="331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 </w:t>
            </w:r>
            <w:r>
              <w:rPr>
                <w:rFonts w:ascii="Times New Roman" w:hAnsi="Times New Roman"/>
                <w:sz w:val="24"/>
              </w:rPr>
              <w:t xml:space="preserve">проектной, </w:t>
            </w:r>
            <w:r>
              <w:rPr>
                <w:rFonts w:ascii="Times New Roman" w:hAnsi="Times New Roman"/>
                <w:sz w:val="24"/>
              </w:rPr>
              <w:t>рабочей и сметной документации</w:t>
            </w:r>
            <w:r>
              <w:rPr>
                <w:rFonts w:ascii="Times New Roman" w:hAnsi="Times New Roman"/>
                <w:sz w:val="24"/>
              </w:rPr>
              <w:t>, а также сопутствующие документы необходимые к предоставлению Заказчику по результатам выполненных работ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Скорректированная проектная, р</w:t>
            </w:r>
            <w:r>
              <w:rPr>
                <w:rFonts w:ascii="Times New Roman" w:hAnsi="Times New Roman"/>
                <w:sz w:val="24"/>
              </w:rPr>
              <w:t>абочая и сметная документация должна быть выполнена в соответствии с требования нормативных и нормативно-технических документов, действующих правил, санитарных норм и правил, стандартов, приказов и указаний</w:t>
            </w:r>
            <w:r>
              <w:rPr>
                <w:rFonts w:ascii="Times New Roman" w:hAnsi="Times New Roman"/>
                <w:sz w:val="24"/>
              </w:rPr>
              <w:t xml:space="preserve"> в следующем составе:</w:t>
            </w:r>
          </w:p>
          <w:p w14:paraId="AE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  <w:p w14:paraId="A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Архитектурные решения</w:t>
            </w:r>
          </w:p>
          <w:p w14:paraId="B0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Конструктивные и объемно-планировочные решения</w:t>
            </w:r>
          </w:p>
          <w:p w14:paraId="B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об инженерном оборудовании, сетях инженерно-технического обеспечения, перечень инженерно-технических мероприятий, содержание технологических решений.</w:t>
            </w:r>
          </w:p>
          <w:p w14:paraId="B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электроснабжения</w:t>
            </w:r>
            <w:r>
              <w:rPr>
                <w:rFonts w:ascii="Times New Roman" w:hAnsi="Times New Roman"/>
                <w:sz w:val="24"/>
              </w:rPr>
              <w:t xml:space="preserve"> (с учетом аварийного освещения)</w:t>
            </w:r>
          </w:p>
          <w:p w14:paraId="B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водоснабжения</w:t>
            </w:r>
          </w:p>
          <w:p w14:paraId="B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водоотведения</w:t>
            </w:r>
          </w:p>
          <w:p w14:paraId="B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Отопление, вентиляция и кондиционирование</w:t>
            </w:r>
          </w:p>
          <w:p w14:paraId="B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теплоснабжения</w:t>
            </w:r>
          </w:p>
          <w:p w14:paraId="B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притяжно-вытяжной вентиляции</w:t>
            </w:r>
          </w:p>
          <w:p w14:paraId="B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кондиционирования</w:t>
            </w:r>
          </w:p>
          <w:p w14:paraId="B9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Сети связи</w:t>
            </w:r>
          </w:p>
          <w:p w14:paraId="B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Автоматическая пожарная сигнализация</w:t>
            </w:r>
          </w:p>
          <w:p w14:paraId="B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оповещения и управления эвакуацией людей при пожарах</w:t>
            </w:r>
          </w:p>
          <w:p w14:paraId="B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Автоматизация противопожарных мероприятий инженерных сетей</w:t>
            </w:r>
          </w:p>
          <w:p w14:paraId="BD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контроля и управления доступом </w:t>
            </w:r>
          </w:p>
          <w:p w14:paraId="B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охранного и телевизионного видеонаблюдения</w:t>
            </w:r>
          </w:p>
          <w:p w14:paraId="B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Телефонизация</w:t>
            </w:r>
          </w:p>
          <w:p w14:paraId="C0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Радиофикация</w:t>
            </w:r>
          </w:p>
          <w:p w14:paraId="C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контроля, мониторинга и управления инженерными системами здания (диспетчеризация)</w:t>
            </w:r>
            <w:r>
              <w:rPr>
                <w:rFonts w:ascii="Times New Roman" w:hAnsi="Times New Roman"/>
                <w:sz w:val="24"/>
              </w:rPr>
              <w:t>, пусконаладка, настройка системы</w:t>
            </w:r>
          </w:p>
          <w:p w14:paraId="C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охранно-тревожной сигнализации</w:t>
            </w:r>
          </w:p>
          <w:p w14:paraId="C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Локально-вычислительные сети. Структурированная кабельная система </w:t>
            </w:r>
          </w:p>
          <w:p w14:paraId="C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телевещания </w:t>
            </w:r>
          </w:p>
          <w:p w14:paraId="C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усиления сотовой связи </w:t>
            </w:r>
          </w:p>
          <w:p w14:paraId="C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часофикации </w:t>
            </w:r>
          </w:p>
          <w:p w14:paraId="C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Технологические решения</w:t>
            </w:r>
          </w:p>
          <w:p w14:paraId="C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Специализированные помещения:</w:t>
            </w:r>
          </w:p>
          <w:p w14:paraId="C9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Серверная</w:t>
            </w:r>
          </w:p>
          <w:p w14:paraId="C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Архив</w:t>
            </w:r>
          </w:p>
          <w:p w14:paraId="C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Комната для хранения вещественных доказательств.</w:t>
            </w:r>
          </w:p>
          <w:p w14:paraId="C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CD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антитеррористической защищенности объекта</w:t>
            </w:r>
          </w:p>
          <w:p w14:paraId="C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инженерной защищенности объекта</w:t>
            </w:r>
          </w:p>
          <w:p w14:paraId="C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  <w:p w14:paraId="D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 на капитальный ремонт объект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 капитального ремонта</w:t>
            </w:r>
          </w:p>
          <w:p w14:paraId="D1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Дефектные ведомости</w:t>
            </w:r>
          </w:p>
          <w:p w14:paraId="D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Локальные сметные расчеты</w:t>
            </w:r>
          </w:p>
          <w:p w14:paraId="D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Сводный сметный расчет</w:t>
            </w:r>
          </w:p>
          <w:p w14:paraId="D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Сметная документация в базовых ценах</w:t>
            </w:r>
          </w:p>
          <w:p w14:paraId="D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Ведомости объемов работ</w:t>
            </w:r>
          </w:p>
          <w:p w14:paraId="D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Спецификации оборудования </w:t>
            </w:r>
          </w:p>
          <w:p w14:paraId="D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Прайс-листы</w:t>
            </w:r>
          </w:p>
          <w:p w14:paraId="D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Конъюнктурный анализ текущих цен </w:t>
            </w:r>
          </w:p>
          <w:p w14:paraId="D9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  <w:p w14:paraId="DA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роект изменения внешнего архитектурного решения нежил</w:t>
            </w:r>
            <w:r>
              <w:rPr>
                <w:rFonts w:ascii="Times New Roman" w:hAnsi="Times New Roman"/>
                <w:sz w:val="24"/>
              </w:rPr>
              <w:t>ого</w:t>
            </w:r>
            <w:r>
              <w:rPr>
                <w:rFonts w:ascii="Times New Roman" w:hAnsi="Times New Roman"/>
                <w:sz w:val="24"/>
              </w:rPr>
              <w:t xml:space="preserve"> объект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DB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ехническое заключение о допустимости и безопасности работ по изменению внешнего архитектурного решения нежилого объекта (в случае если проект не содер</w:t>
            </w:r>
            <w:r>
              <w:rPr>
                <w:rFonts w:ascii="Times New Roman" w:hAnsi="Times New Roman"/>
                <w:sz w:val="24"/>
              </w:rPr>
              <w:t>жит техническое заключение). Техническое заключение, должно быть оформлено в соответствии с Положением об изменении внешнего архитектурного решения нежилых зданий, строений, сооружений в городе Москве.</w:t>
            </w:r>
          </w:p>
          <w:p w14:paraId="DC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-Акт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технического обследования </w:t>
            </w:r>
            <w:r>
              <w:rPr>
                <w:rFonts w:ascii="Times New Roman" w:hAnsi="Times New Roman"/>
                <w:sz w:val="24"/>
              </w:rPr>
              <w:t xml:space="preserve">помещений и </w:t>
            </w:r>
            <w:r>
              <w:rPr>
                <w:rFonts w:ascii="Times New Roman" w:hAnsi="Times New Roman"/>
                <w:sz w:val="24"/>
              </w:rPr>
              <w:t>систем на предмет соответствия зданий/помещений требованиям безопасности, антитеррористической защищенности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D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  <w:p w14:paraId="DE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Необходимость разработки требований к содержанию разделов проектной документации, наличие которых не является обязательным, определяется по согласованию между Подрядчиком и Заказчиком.</w:t>
            </w:r>
          </w:p>
          <w:p w14:paraId="D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Состав разделов проектно-сметной документации уточняется в ходе проектирования и может быть изменён в соответствии с требованиями Заказчика и по согласованию с Заказчиком.</w:t>
            </w:r>
          </w:p>
          <w:p w14:paraId="E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</w:p>
          <w:p w14:paraId="E1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проектные решения </w:t>
            </w:r>
            <w:r>
              <w:rPr>
                <w:rFonts w:ascii="Times New Roman" w:hAnsi="Times New Roman"/>
                <w:sz w:val="24"/>
              </w:rPr>
              <w:t xml:space="preserve">(отдельные элементы) </w:t>
            </w:r>
            <w:r>
              <w:rPr>
                <w:rFonts w:ascii="Times New Roman" w:hAnsi="Times New Roman"/>
                <w:sz w:val="24"/>
              </w:rPr>
              <w:t>и принципиальные схемы согласовываются с Заказчиком.</w:t>
            </w:r>
          </w:p>
          <w:p w14:paraId="E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Подрядчик обязан предоставить Заказчику принципиальные, технологические схемы на согласование Заказчику. Проектная, рабочая документация разрабатывается после согласования с Заказчиком.</w:t>
            </w:r>
          </w:p>
        </w:tc>
      </w:tr>
      <w:tr>
        <w:trPr>
          <w:trHeight w:hRule="atLeast" w:val="212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требования к конструкционным решениям и строительным материалам</w:t>
            </w:r>
            <w:r>
              <w:rPr>
                <w:rFonts w:ascii="Times New Roman" w:hAnsi="Times New Roman"/>
                <w:sz w:val="24"/>
              </w:rPr>
              <w:t xml:space="preserve"> при проектировании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корректировке </w:t>
            </w:r>
            <w:r>
              <w:rPr>
                <w:rFonts w:ascii="Times New Roman" w:hAnsi="Times New Roman"/>
                <w:sz w:val="24"/>
              </w:rPr>
              <w:t>проектирования</w:t>
            </w:r>
            <w:r>
              <w:rPr>
                <w:rFonts w:ascii="Times New Roman" w:hAnsi="Times New Roman"/>
                <w:sz w:val="24"/>
              </w:rPr>
              <w:t xml:space="preserve"> необходимо учитывать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применение современных технологий и высокопрочные износостойкие материалы, обеспечивающие экономическую эффективность и долговечность в эксплуатации, отвечающие эстетическим, гигиеническим и противопожарным требованиям и нормативно-правовым актам, действующих на территории Российской Федерации. Покрытие должно позволять легко выполнять очистку и влажную уборку.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Окраска и фактура полимерных строительных материалов должна соответствовать эстетическим и физиолого-гигиеническим требованиям.</w:t>
            </w:r>
          </w:p>
          <w:p w14:paraId="E5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Декоративно-художественная отделка помещений интерьера определяется назначением.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Применяемые материалы, конструкционные решения, рисунок и цвет облицованных поверхностей согласовывать с Заказчиком.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Перечень требований данного раздела обязателен к исполнению, но не является исчерпывающим.</w:t>
            </w:r>
          </w:p>
        </w:tc>
      </w:tr>
      <w:tr>
        <w:trPr>
          <w:trHeight w:hRule="atLeast" w:val="212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требования к архитектурно-планировочному решению зданий, условия отделки, материалам несущих и ограждающих конструкций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корректировке в необходимых случаях по согласованию с Заказчиком учесть:</w:t>
            </w:r>
          </w:p>
          <w:p w14:paraId="E8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Демонтаж старых облицовочных материалов стен и потолка покрытий всех поверхностей помещений. </w:t>
            </w:r>
            <w:r>
              <w:rPr>
                <w:rFonts w:ascii="Times New Roman" w:hAnsi="Times New Roman"/>
                <w:sz w:val="24"/>
              </w:rPr>
              <w:t xml:space="preserve">Полы – полная 100% замена с применением современных материалов (демонтаж, монтаж, устройство напольного покрытия). Предусмотреть ремонт цементно-бетонных полов (выравнивание, монтаж напольного покрытия). </w:t>
            </w:r>
            <w:r>
              <w:rPr>
                <w:rFonts w:ascii="Times New Roman" w:hAnsi="Times New Roman"/>
                <w:sz w:val="24"/>
              </w:rPr>
              <w:t xml:space="preserve">Демонтаж оконных заполнений и монтаж новых из ПВХ профиля с поворотно-откидным открыванием, одинарной, двойной конструкции двухкамерным стеклопакетом. </w:t>
            </w:r>
            <w:r>
              <w:rPr>
                <w:rFonts w:ascii="Times New Roman" w:hAnsi="Times New Roman"/>
                <w:sz w:val="24"/>
              </w:rPr>
              <w:t>Демонтаж существующих дверных блоков. Учесть демонтаж и монтаж оборудования, установленного на стенах.</w:t>
            </w:r>
          </w:p>
          <w:p w14:paraId="E9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Применяемые материалы согласовать с Заказчиком.</w:t>
            </w:r>
          </w:p>
          <w:p w14:paraId="EA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Стены, </w:t>
            </w:r>
            <w:r>
              <w:rPr>
                <w:rFonts w:ascii="Times New Roman" w:hAnsi="Times New Roman"/>
                <w:sz w:val="24"/>
              </w:rPr>
              <w:t>отделка внутренних поверхностей стен.</w:t>
            </w:r>
          </w:p>
          <w:p w14:paraId="EB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проектировании отделки стен учесть:</w:t>
            </w:r>
          </w:p>
          <w:p w14:paraId="EC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Помещения основного назначения</w:t>
            </w:r>
            <w:r>
              <w:rPr>
                <w:rFonts w:ascii="Times New Roman" w:hAnsi="Times New Roman"/>
                <w:sz w:val="24"/>
              </w:rPr>
              <w:t xml:space="preserve"> - ремонт штукатурного слоя под оклейку и окраску современными материалами согласно требованиям нормативных документов.</w:t>
            </w:r>
          </w:p>
          <w:p w14:paraId="ED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Специальные помещения</w:t>
            </w:r>
            <w:r>
              <w:rPr>
                <w:rFonts w:ascii="Times New Roman" w:hAnsi="Times New Roman"/>
                <w:sz w:val="24"/>
              </w:rPr>
              <w:t xml:space="preserve"> - ремонт штукатурного слоя для нанесение современных материалов, согласно требованиям нормативных документов, перегородки усиливаются стальной сеткой.</w:t>
            </w:r>
          </w:p>
          <w:p w14:paraId="EE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Помещения функциональных и делопроизводческих отделов</w:t>
            </w:r>
            <w:r>
              <w:rPr>
                <w:rFonts w:ascii="Times New Roman" w:hAnsi="Times New Roman"/>
                <w:sz w:val="24"/>
              </w:rPr>
              <w:t xml:space="preserve"> - ремонт штукатурного слоя под оклейку и окраску современными материалами согласно требованиям нормативных документов.</w:t>
            </w:r>
          </w:p>
          <w:p w14:paraId="EF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Обслуживающие помещения:</w:t>
            </w:r>
          </w:p>
          <w:p w14:paraId="F0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санузлах стены облицовываются керамической плиткой, на всю высоту согласно требованиям нормативных документов;</w:t>
            </w:r>
          </w:p>
          <w:p w14:paraId="F1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серверная, электросиловая согласно требованиям нормативных документов;</w:t>
            </w:r>
          </w:p>
          <w:p w14:paraId="F2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холл - </w:t>
            </w:r>
            <w:r>
              <w:rPr>
                <w:rFonts w:ascii="Times New Roman" w:hAnsi="Times New Roman"/>
                <w:sz w:val="24"/>
              </w:rPr>
              <w:t>современными материалами согласно требованиям нормативных документов;</w:t>
            </w:r>
          </w:p>
          <w:p w14:paraId="F3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Цветовое решение и применяемые материалы согласовать с Заказчиком и Застройщиком.</w:t>
            </w:r>
          </w:p>
          <w:p w14:paraId="F4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Полы</w:t>
            </w:r>
          </w:p>
          <w:p w14:paraId="F5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Помещения основного назначения, коридоры</w:t>
            </w:r>
            <w:r>
              <w:rPr>
                <w:rFonts w:ascii="Times New Roman" w:hAnsi="Times New Roman"/>
                <w:sz w:val="24"/>
              </w:rPr>
              <w:t xml:space="preserve"> - современными материалами (</w:t>
            </w:r>
            <w:r>
              <w:rPr>
                <w:rFonts w:ascii="Times New Roman" w:hAnsi="Times New Roman"/>
                <w:sz w:val="24"/>
              </w:rPr>
              <w:t>коммерческий ламинат не ниже 34 класса), противоскользящая керамогранитная плитка,</w:t>
            </w:r>
            <w:r>
              <w:rPr>
                <w:rFonts w:ascii="Times New Roman" w:hAnsi="Times New Roman"/>
                <w:sz w:val="24"/>
              </w:rPr>
              <w:t xml:space="preserve"> согласно требованиям нормативных документов;</w:t>
            </w:r>
          </w:p>
          <w:p w14:paraId="F6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Специальные помещения</w:t>
            </w:r>
            <w:r>
              <w:rPr>
                <w:rFonts w:ascii="Times New Roman" w:hAnsi="Times New Roman"/>
                <w:sz w:val="24"/>
              </w:rPr>
              <w:t xml:space="preserve"> - современными материалами, согласно требованиям нормативных документов.</w:t>
            </w:r>
          </w:p>
          <w:p w14:paraId="F7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Помещения функциональных и делопроизводческих отделов</w:t>
            </w:r>
            <w:r>
              <w:rPr>
                <w:rFonts w:ascii="Times New Roman" w:hAnsi="Times New Roman"/>
                <w:sz w:val="24"/>
              </w:rPr>
              <w:t xml:space="preserve"> -современными материалами согласно требованиям нормативных документов.</w:t>
            </w:r>
          </w:p>
          <w:p w14:paraId="F8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Обслуживающие помещения:</w:t>
            </w:r>
          </w:p>
          <w:p w14:paraId="F9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санузлы, холл, помещения подвала - плитка керамогранит противоскользящий в </w:t>
            </w:r>
            <w:r>
              <w:rPr>
                <w:rFonts w:ascii="Times New Roman" w:hAnsi="Times New Roman"/>
                <w:sz w:val="24"/>
              </w:rPr>
              <w:t>соответствии с требованиями нормативных документов;</w:t>
            </w:r>
          </w:p>
          <w:p w14:paraId="FA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серверная, электросиловые установки согласно требованиям нормативных документов;</w:t>
            </w:r>
          </w:p>
          <w:p w14:paraId="FB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холл - </w:t>
            </w:r>
            <w:r>
              <w:rPr>
                <w:rFonts w:ascii="Times New Roman" w:hAnsi="Times New Roman"/>
                <w:sz w:val="24"/>
              </w:rPr>
              <w:t>современными материалами согласно требованиям нормативных документов;</w:t>
            </w:r>
          </w:p>
          <w:p w14:paraId="FC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Цветовое решение и применяемые материалы согласовать с Заказчиком.</w:t>
            </w:r>
          </w:p>
          <w:p w14:paraId="FD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Потолки</w:t>
            </w:r>
          </w:p>
          <w:p w14:paraId="FE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Помещения основного назначения,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специальные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помещения, помещения функциональных и делопроизводческих отделов</w:t>
            </w:r>
            <w:r>
              <w:rPr>
                <w:rFonts w:ascii="Times New Roman" w:hAnsi="Times New Roman"/>
                <w:sz w:val="24"/>
              </w:rPr>
              <w:t xml:space="preserve"> - современными материалами (подвесной потолок), согласно требованиям нормативных документов;</w:t>
            </w:r>
          </w:p>
          <w:p w14:paraId="FF00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Обслуживающие помещения:</w:t>
            </w:r>
          </w:p>
          <w:p w14:paraId="00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Санузлы – реечные панели;</w:t>
            </w:r>
          </w:p>
          <w:p w14:paraId="01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холл - </w:t>
            </w:r>
            <w:r>
              <w:rPr>
                <w:rFonts w:ascii="Times New Roman" w:hAnsi="Times New Roman"/>
                <w:sz w:val="24"/>
              </w:rPr>
              <w:t>современными материалами (</w:t>
            </w:r>
            <w:r>
              <w:rPr>
                <w:rFonts w:ascii="Times New Roman" w:hAnsi="Times New Roman"/>
                <w:sz w:val="24"/>
              </w:rPr>
              <w:t>подвесной потолок)</w:t>
            </w:r>
            <w:r>
              <w:rPr>
                <w:rFonts w:ascii="Times New Roman" w:hAnsi="Times New Roman"/>
                <w:sz w:val="24"/>
              </w:rPr>
              <w:t xml:space="preserve"> согласно требованиям нормативных документов;</w:t>
            </w:r>
          </w:p>
          <w:p w14:paraId="02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серверная, электросиловая согласно требованиям нормативных документов;</w:t>
            </w:r>
          </w:p>
          <w:p w14:paraId="03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Цветовое решение и применяемые материалы согласовать с Заказчиком.</w:t>
            </w:r>
          </w:p>
          <w:p w14:paraId="04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Окна</w:t>
            </w:r>
          </w:p>
          <w:p w14:paraId="05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Демонтаж оконных заполнений и монтаж новых из ПВХ профиля, с поворотно-откидным открыванием, одинарной, двойной конструкции двухкамерным стеклопакетом.</w:t>
            </w:r>
          </w:p>
          <w:p w14:paraId="06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необходимости </w:t>
            </w:r>
            <w:r>
              <w:rPr>
                <w:rFonts w:ascii="Times New Roman" w:hAnsi="Times New Roman"/>
                <w:sz w:val="24"/>
              </w:rPr>
              <w:t>с установкой распашных металлических решеток.</w:t>
            </w:r>
          </w:p>
          <w:p w14:paraId="07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помещениях с особым режимом работы с установкой специальных защитных сеток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согласно требованиям нормативных документов;  </w:t>
            </w:r>
          </w:p>
          <w:p w14:paraId="08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Цветовое решение</w:t>
            </w:r>
            <w:r>
              <w:rPr>
                <w:rFonts w:ascii="Times New Roman" w:hAnsi="Times New Roman"/>
                <w:sz w:val="24"/>
              </w:rPr>
              <w:t xml:space="preserve"> согласовывается с Заказчиком.</w:t>
            </w:r>
          </w:p>
          <w:p w14:paraId="09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Двери</w:t>
            </w:r>
          </w:p>
          <w:p w14:paraId="0A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входные - металлические двухстворчатые с доводчиком не менее 3-го класса устойчивости ко взлому утепленные</w:t>
            </w:r>
            <w:r>
              <w:rPr>
                <w:rFonts w:ascii="Times New Roman" w:hAnsi="Times New Roman"/>
                <w:sz w:val="24"/>
              </w:rPr>
              <w:t xml:space="preserve"> в соответствии с пожарными требованиями, оборудованные не менее двумя врезными замками и электромеханическим замком (с видеодомофоном) с возможностью открывания дистанционно;</w:t>
            </w:r>
          </w:p>
          <w:p w14:paraId="0B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эвакуационные </w:t>
            </w:r>
            <w:r>
              <w:rPr>
                <w:rFonts w:ascii="Times New Roman" w:hAnsi="Times New Roman"/>
                <w:sz w:val="24"/>
              </w:rPr>
              <w:t>- металлические двухстворчатые с доводчиком не менее 3-го класса устойчивости ко взлому утепленные</w:t>
            </w:r>
            <w:r>
              <w:rPr>
                <w:rFonts w:ascii="Times New Roman" w:hAnsi="Times New Roman"/>
                <w:sz w:val="24"/>
              </w:rPr>
              <w:t xml:space="preserve"> в соответствии с пожарными требованиями, оборудованные устройством экстренного открывания дверей (устройство «Антипаника»);</w:t>
            </w:r>
          </w:p>
          <w:p w14:paraId="0C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канцелярия - </w:t>
            </w:r>
            <w:r>
              <w:rPr>
                <w:rFonts w:ascii="Times New Roman" w:hAnsi="Times New Roman"/>
                <w:sz w:val="24"/>
              </w:rPr>
              <w:t xml:space="preserve">металлические одностворчатые не менее 1-го класса устойчивости к взлому </w:t>
            </w:r>
            <w:r>
              <w:rPr>
                <w:rFonts w:ascii="Times New Roman" w:hAnsi="Times New Roman"/>
                <w:sz w:val="24"/>
              </w:rPr>
              <w:t>с усиленной звукоизоляцией, с противосъемной планкой и устройством для опечатывания;</w:t>
            </w:r>
          </w:p>
          <w:p w14:paraId="0D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Специальные помещения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металлические одностворчатые не менее 3-го класса устойчивости к взлому </w:t>
            </w:r>
            <w:r>
              <w:rPr>
                <w:rFonts w:ascii="Times New Roman" w:hAnsi="Times New Roman"/>
                <w:sz w:val="24"/>
              </w:rPr>
              <w:t>с усиленной звукоизоляцией, с противосъемной планкой и устройством для опечатывания, дополнительно дверной решетчатый блок металлический одностворчатый не ниже 3-го класса устойчивости к взлому;</w:t>
            </w:r>
          </w:p>
          <w:p w14:paraId="0E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Помещения основного назначения и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обслуживающие помещения</w:t>
            </w:r>
          </w:p>
          <w:p w14:paraId="0F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дверной блок деревянный одностворчатый, со сплошным заполнение полотен с устройством для опечатывания, отделка шпоном, класс стойкости не ниже 1А;</w:t>
            </w:r>
          </w:p>
          <w:p w14:paraId="10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Цветовое решение дверей, решёток согласовать с Заказчиком.</w:t>
            </w:r>
          </w:p>
          <w:p w14:paraId="11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Лестницы в том числе эвакуационные</w:t>
            </w:r>
          </w:p>
          <w:p w14:paraId="12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Предусмотреть:</w:t>
            </w:r>
          </w:p>
          <w:p w14:paraId="13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бетонного основания;</w:t>
            </w:r>
          </w:p>
          <w:p w14:paraId="14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замену ограждения лестницы с поручнем и перил;</w:t>
            </w:r>
          </w:p>
          <w:p w14:paraId="15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облицовку лестничных маршей и площадок с демонтажем старой поверхности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6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Цветовое решение согласовать с Заказчиком.</w:t>
            </w:r>
          </w:p>
          <w:p w14:paraId="17010000">
            <w:pPr>
              <w:tabs>
                <w:tab w:leader="none" w:pos="7263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требований перечисленный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данно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 раздел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обязателен к исполнению, но не является исчерпывающим.</w:t>
            </w:r>
          </w:p>
        </w:tc>
      </w:tr>
      <w:tr>
        <w:trPr>
          <w:trHeight w:hRule="atLeast" w:val="212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требования к инженерным системам и оборудованию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Предусмотреть все системы для обеспечения антитеррористической и инженерной защищенности, механической, пожарной и иной безопасности, а также:</w:t>
            </w:r>
          </w:p>
          <w:p w14:paraId="1A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Отопление, вентиляция и кондиционирование воздуха</w:t>
            </w:r>
          </w:p>
          <w:p w14:paraId="1B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Отопление</w:t>
            </w:r>
          </w:p>
          <w:p w14:paraId="1C010000">
            <w:pPr>
              <w:tabs>
                <w:tab w:leader="none" w:pos="795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Нагревательные приборы – биметаллические радиаторы или регистры из гладких труб в зависимости от назначения помещений.</w:t>
            </w:r>
          </w:p>
          <w:p w14:paraId="1D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разработке системы центрального отопления учесть:</w:t>
            </w:r>
          </w:p>
          <w:p w14:paraId="1E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предусмотреть демонтаж старых отопительных приборов системы отопления;</w:t>
            </w:r>
          </w:p>
          <w:p w14:paraId="1F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запроектировать установку новых отопительных приборов по существующей схеме согласно действующим нормам и правилам, с учетом требований энергоэффективности;</w:t>
            </w:r>
          </w:p>
          <w:p w14:paraId="20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Вентиляция</w:t>
            </w:r>
          </w:p>
          <w:p w14:paraId="21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Технические решения по системам вентиляции, кондиционирования должны быть надежными и простыми в эксплуатации, но не исключающими обеспечение экономии энергии.</w:t>
            </w:r>
          </w:p>
          <w:p w14:paraId="22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Расчётные параметры наружного воздуха принять с учетом климатической зоны размещения объект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23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Водоснабжение, водоотведение и водослив.</w:t>
            </w:r>
          </w:p>
          <w:p w14:paraId="24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разработке системы холодного и горячего водоснабжения (ХВС и ГВС) учесть:</w:t>
            </w:r>
          </w:p>
          <w:p w14:paraId="25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подводка к сантехническим приборам гибкая открытая; </w:t>
            </w:r>
          </w:p>
          <w:p w14:paraId="26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замену санитарно-технических приборов;</w:t>
            </w:r>
          </w:p>
          <w:p w14:paraId="27010000">
            <w:pPr>
              <w:tabs>
                <w:tab w:leader="none" w:pos="175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подводку системы канализации выполнить из современных материалов;</w:t>
            </w:r>
          </w:p>
          <w:p w14:paraId="28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Электроснабжение и освещение</w:t>
            </w:r>
          </w:p>
          <w:p w14:paraId="29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проектировании системы электроснабжения и освещения учесть:</w:t>
            </w:r>
          </w:p>
          <w:p w14:paraId="2A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демонтаж старой электропроводки и оборудования;</w:t>
            </w:r>
          </w:p>
          <w:p w14:paraId="2B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замену линии электроснабжения от границы раздела балансовой принадлежности до вводно-распределительного устройства здания;</w:t>
            </w:r>
          </w:p>
          <w:p w14:paraId="2C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замену вводно-распределительного устройства;</w:t>
            </w:r>
          </w:p>
          <w:p w14:paraId="2D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Вводно-распределительное устройство укомплектовать автоматическими выключателями, ошиновка медная;</w:t>
            </w:r>
          </w:p>
          <w:p w14:paraId="2E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установку счетчика электроэнергии;</w:t>
            </w:r>
          </w:p>
          <w:p w14:paraId="2F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внутреннее электроснабжение от вводно-распределительного устройства на напряжение 380/220В, магистральные и распределительные сети от вводно-распределительного устройства выполнить трехфазными пятипроводными (3 фазы, N, РЕ) и однофазными трехпроводными (фаза, N, РЕ);</w:t>
            </w:r>
          </w:p>
          <w:p w14:paraId="30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силовые щиты и щиты освещения утопленного исполнения укомплектованные оборудованием;</w:t>
            </w:r>
          </w:p>
          <w:p w14:paraId="31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линии электропитания для кондиционеров вывести в отдельные силовые щиты;</w:t>
            </w:r>
          </w:p>
          <w:p w14:paraId="32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электропроводки с использованием кабелей скрыто;</w:t>
            </w:r>
          </w:p>
          <w:p w14:paraId="33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отдельную линию от вводно-распределительного устройства для питания системы IP- АТС, серверной;</w:t>
            </w:r>
          </w:p>
          <w:p w14:paraId="34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электроснабжение охранно - пожарной системы сигнализации предусмотреть по отдельной линии от вводно-распределительного устройства, предусмотреть независимый источник бесперебойного питания </w:t>
            </w:r>
            <w:r>
              <w:rPr>
                <w:rFonts w:ascii="Times New Roman" w:hAnsi="Times New Roman"/>
                <w:sz w:val="24"/>
              </w:rPr>
              <w:t>не менее чем на 12 часов с автоматическим переключением при наличии либо отсутствии основного питания.</w:t>
            </w:r>
          </w:p>
          <w:p w14:paraId="35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внутреннего и наружного освещения светодиодные светильники, выбор осветительной арматуры произвести с учетом окружающей среды и требований по эстетике к помещениям (планировки, отделки, назначению помещений);</w:t>
            </w:r>
          </w:p>
          <w:p w14:paraId="36010000">
            <w:pPr>
              <w:tabs>
                <w:tab w:leader="none" w:pos="795" w:val="left"/>
              </w:tabs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Заземление оборудования предусмотреть от системы защитного заземления помещений.</w:t>
            </w:r>
          </w:p>
          <w:p w14:paraId="37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Помещения для серверного оборудования должно быть обеспечено отдельным защитным контуром заземления.</w:t>
            </w:r>
          </w:p>
          <w:p w14:paraId="38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Розеточную сеть в здании предусмотреть в кабель канале 90х50 мм с разделительной перегородкой и комплектоваться всеми необходимыми декоративными элементами, для прокладки компьютерных сетей СКС.</w:t>
            </w:r>
          </w:p>
          <w:p w14:paraId="39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Электроосвещение (освещенность):</w:t>
            </w:r>
          </w:p>
          <w:p w14:paraId="3A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Применяемое осветительное и другое электротехническое оборудование должно иметь максимально возможный класс энергетической эффективности. Эвакуационное освещение выполнить по маршрутам эвакуации, в коридорах, вестибюлях, холлах, на лестничных клетках.</w:t>
            </w:r>
          </w:p>
          <w:p w14:paraId="3B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осветительных приборов в здании –люминесцентные или светодиодные офисные.</w:t>
            </w:r>
          </w:p>
          <w:p w14:paraId="3C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Охранно - пожарная система сигнализации</w:t>
            </w:r>
          </w:p>
          <w:p w14:paraId="3D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Охранно - пожарная система сигнализации включает в себя: систему пожарной сигнализации, охранную сигнализацию, систему видеонаблюдения.</w:t>
            </w:r>
          </w:p>
          <w:p w14:paraId="3E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стадии обследования определить необходимое количество камер для наружного и внутреннего наблюдения, разрешающую способность камер необходимость использования инфракрасной подсветки (далее – ИК-подсветки), тип системы гибридная, согласовать с Заказчиком.</w:t>
            </w:r>
          </w:p>
          <w:p w14:paraId="3F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Охранно - пожарную систему сигнализации запроектировать на весь комплекс учреждения (все помещения прокуратуры).</w:t>
            </w:r>
          </w:p>
          <w:p w14:paraId="40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проектировании системы пожарной сигнализации, кроме прочего, в том числе учесть:</w:t>
            </w:r>
          </w:p>
          <w:p w14:paraId="41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необходимое количество извещателей на основании защищаемых площадей и помещений;</w:t>
            </w:r>
          </w:p>
          <w:p w14:paraId="42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непрерывный контроль эксплуатационных параметров состояния пожарных извещателей;</w:t>
            </w:r>
          </w:p>
          <w:p w14:paraId="43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визуального и звукового сообщения о месте возникновения пожара дежурному персоналу учреждения с автоматической отправкой сигнала на диспетчерские пульты ближайшей пожарной части города Москвы/ или пульты централизованного наблюдения Росгвардии;</w:t>
            </w:r>
          </w:p>
          <w:p w14:paraId="44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автоматического включения системы речевого оповещения;</w:t>
            </w:r>
          </w:p>
          <w:p w14:paraId="45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расстановку извещателей с учетом установки светильников и архитектурных особенностей здания.</w:t>
            </w:r>
          </w:p>
          <w:p w14:paraId="46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При проектировании охранной сигнализации учесть:</w:t>
            </w:r>
          </w:p>
          <w:p w14:paraId="47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зонирование объекта и рассчитать необходимое количество датчиков их типы;</w:t>
            </w:r>
          </w:p>
          <w:p w14:paraId="48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Вывод охранной сигнализации на центральный пункт охраны, на запасной пульт по согласованию с Заказчиком, на пульты централизованного наблюдения Росгвардии.</w:t>
            </w:r>
          </w:p>
          <w:p w14:paraId="49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Видеонаблюдение</w:t>
            </w:r>
          </w:p>
          <w:p w14:paraId="4A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Параметры систем видеонаблюдения, необходимо согласовать с Заказчиком, с учетом технических параметров и границ охвата видеокамер.</w:t>
            </w:r>
          </w:p>
          <w:p w14:paraId="4B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 применить преимущественно цветные IP-видеокамеры (возможно использование IP-серверов с функцией  формирования и передачи по сети отдельных кадров в формате JPEG или высококачественного видеоизображения в формате MPEG-4, Н264 со скоростью не ниже 6 к\с и разрешением не хуже 1920х1080.).</w:t>
            </w:r>
          </w:p>
          <w:p w14:paraId="4C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Видеокамера должна быть снабжена варифокальным объективом;</w:t>
            </w:r>
          </w:p>
          <w:p w14:paraId="4D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светочувствительность не хуже 0,1 лк;</w:t>
            </w:r>
          </w:p>
          <w:p w14:paraId="4E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защиты от несанкционированного доступа IP-видеокамера должна поддерживать технологию IP-фильтрации;</w:t>
            </w:r>
          </w:p>
          <w:p w14:paraId="4F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телекамеры, предназначенные для наружной установки, должны размещаться в кожухах, обеспечивающих их работоспособность при воздействии природных факторов. Диапазон рабочих температур не хуже ±40° С, IP67;</w:t>
            </w:r>
          </w:p>
          <w:p w14:paraId="50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темное время суток при освещенности охраняемой зоны ниже чувствительности телекамер, должно включаться охранное освещение видимого или инфракрасного диапазона света. Зоны охранного освещения должны совпадать с зоной обзора телекамер;</w:t>
            </w:r>
          </w:p>
          <w:p w14:paraId="51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необходимости наблюдения больших территорий объекта должны применяться объективы с переменным фокусным расстоянием и поворотные устройства с дистанционным управлением;</w:t>
            </w:r>
          </w:p>
          <w:p w14:paraId="52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 помещений объекта следует комплектовать телекамеры объективом с автоматической регулировкой диафрагмы.</w:t>
            </w:r>
          </w:p>
          <w:p w14:paraId="53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должно быть сертифицированное;</w:t>
            </w:r>
          </w:p>
          <w:p w14:paraId="54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 в соответствии с требованиями СНиП и ГОСТОВ;</w:t>
            </w:r>
          </w:p>
          <w:p w14:paraId="55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камеры внутреннего наблюдения здания должны контролировать коридоры, холлы, и отдельные помещения;</w:t>
            </w:r>
          </w:p>
          <w:p w14:paraId="56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камеры наружного наблюдения должны контролировать периметр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помещений занимаемых прокуратурой по согласованию с Заказчиком;</w:t>
            </w:r>
          </w:p>
          <w:p w14:paraId="57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 записи круглосуточный день/ночь;</w:t>
            </w:r>
          </w:p>
          <w:p w14:paraId="58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архивация данных автоматическая на сервер, объем жестких дисков предусмотреть, исходя из условий несменяемости архива в течении 120 дней;</w:t>
            </w:r>
          </w:p>
          <w:p w14:paraId="59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Системы кабельной структурированной сети далее (СКС)</w:t>
            </w:r>
          </w:p>
          <w:p w14:paraId="5A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Структурированная кабельная система должна обеспечивать высокую степень надежности, достоверности информации, помехозащищенности и устойчивости к внешним воздействиям, а также для обеспечения имитостойкости, для связи с элементами преимущественно использовать волоконно-оптические линии связи (ВОЛС).</w:t>
            </w:r>
          </w:p>
          <w:p w14:paraId="5B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Каждая СКС должна состоять из следующих подсистем:</w:t>
            </w:r>
          </w:p>
          <w:p w14:paraId="5C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технические помещения;</w:t>
            </w:r>
          </w:p>
          <w:p w14:paraId="5D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административная подсистема;</w:t>
            </w:r>
          </w:p>
          <w:p w14:paraId="5E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магистральная кабельная подсистема;</w:t>
            </w:r>
          </w:p>
          <w:p w14:paraId="5F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горизонтальная кабельная подсистема;</w:t>
            </w:r>
          </w:p>
          <w:p w14:paraId="60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подсистема рабочего места.</w:t>
            </w:r>
          </w:p>
          <w:p w14:paraId="61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составе СКС должно быть предусмотрено оборудование, необходимое для построения СКС:</w:t>
            </w:r>
          </w:p>
          <w:p w14:paraId="62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кабельные каналы;</w:t>
            </w:r>
          </w:p>
          <w:p w14:paraId="63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телекоммуникационные шкафы.</w:t>
            </w:r>
          </w:p>
          <w:p w14:paraId="64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Кабельные каналы и телекоммуникационные шкафы должны соответствовать:</w:t>
            </w:r>
          </w:p>
          <w:p w14:paraId="65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техническим требованиям, предъявляемым к СКС;</w:t>
            </w:r>
          </w:p>
          <w:p w14:paraId="66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экологическим требованиям, предъявляемым к оборудованию для общественных и рабочих помещений;</w:t>
            </w:r>
          </w:p>
          <w:p w14:paraId="67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пожарным требованиям;</w:t>
            </w:r>
          </w:p>
          <w:p w14:paraId="68010000">
            <w:pPr>
              <w:widowControl w:val="0"/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общему стилю помещений.</w:t>
            </w:r>
          </w:p>
          <w:p w14:paraId="69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Внешние кабели связи и передачи данных.</w:t>
            </w:r>
          </w:p>
          <w:p w14:paraId="6A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Внутренние инженерные системы и оборудование должны обеспечивать комфорт работающих в здании людей и надежную эксплуатацию зданий в соответствии с Российскими нормами и стандартами.</w:t>
            </w:r>
          </w:p>
          <w:p w14:paraId="6B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Компоновка инженерных систем должна обеспечивать свободный доступ к коммуникациям и инженерному оборудованию, возможность ремонта и замены отдельных участков, возможность поэтажного подключения к горизонтальным разводкам этажей.</w:t>
            </w:r>
          </w:p>
          <w:p w14:paraId="6C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Предусмотреть в проекте инженерное оборудование и материалы, отвечающие современным требованиям и технологиям.</w:t>
            </w:r>
          </w:p>
          <w:p w14:paraId="6D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проекте предусмотреть СКС, охватывающую все помещения и предназначенную для подключения компьютеров, телефонов, различного периферийного и специального оборудования.</w:t>
            </w:r>
          </w:p>
          <w:p w14:paraId="6E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Внутренняя телефонная сеть должна быть выполнена на базе информационной кабельной системы и должна составлять с ней единое поле относительно информационных розеток.</w:t>
            </w:r>
          </w:p>
          <w:p w14:paraId="6F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комплектующие СКС должны иметь сертификаты качества.</w:t>
            </w:r>
          </w:p>
          <w:p w14:paraId="70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проектировании СКС учесть:</w:t>
            </w:r>
          </w:p>
          <w:p w14:paraId="71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соответствии существующими стандартам;</w:t>
            </w:r>
          </w:p>
          <w:p w14:paraId="72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категории 5Е, все комплектующие (кабель, розетки, коммутационные панели, соединительные корды) должны соответствовать категории 5Е;</w:t>
            </w:r>
          </w:p>
          <w:p w14:paraId="73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прокладку кабеля в кабельных лотках, коробах;</w:t>
            </w:r>
          </w:p>
          <w:p w14:paraId="74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Проектом предусмотреть работы по организации резервного питания от вводно-распределительного устройства системы кондиционирования в помещения серверных. В серверных каждый кондиционер должен быть подключен через автоматический выключатель на распределительном щите. Предусмотреть работы по созданию и обеспечению бесперебойным питанием системы аварийного освещения в серверных.</w:t>
            </w:r>
          </w:p>
          <w:p w14:paraId="75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требования к системе гарантированного электропитания с целью обеспечения бесперебойной работы оборудования в серверных помещениях.</w:t>
            </w:r>
          </w:p>
          <w:p w14:paraId="76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СКС должна проектироваться с использованием технологий и продуктов в соответствии с промышленными стандартами (ISO, IEEE), с учётом результатов контроля защищённости конфиденциальной информации от 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несанкционированного </w:t>
            </w:r>
            <w:r>
              <w:rPr>
                <w:rFonts w:ascii="Times New Roman" w:hAnsi="Times New Roman"/>
                <w:sz w:val="24"/>
              </w:rPr>
              <w:t>доступа и её модификации в существующей ЛВС Заказчика, с целью не допустить ухудшения параметров защищённости работы данной системы.</w:t>
            </w:r>
          </w:p>
          <w:p w14:paraId="77010000">
            <w:pPr>
              <w:spacing w:after="0" w:line="240" w:lineRule="auto"/>
              <w:ind w:firstLine="0" w:left="3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требований данного раздела обязателен к исполнению, но не является исчерпывающим, согласовывается с Заказчиком.</w:t>
            </w:r>
          </w:p>
        </w:tc>
      </w:tr>
      <w:tr>
        <w:trPr>
          <w:trHeight w:hRule="atLeast" w:val="165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требования по обеспечению условий жизнедеятельности для маломобильных групп населения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Учесть требования по обеспечению условий жизнедеятельности для маломобильных групп населения (ММГН) (инвалиды колясочники, инвалиды с нарушением опорно-двигательного аппарата, инвалиды с нарушением зрения, инвалиды с нарушением слуха, инвалиды с нарушением умственных способностей) в рамках «разумного приспособления» объекта в соответствии с требованиями нормативных документов. На путях движения ММГН предусмотреть устройство тактильной плитки. Предусмотреть информационные устройства и средства для облегчения ориентации, пандусы, поручни, подъемные устройства.</w:t>
            </w:r>
          </w:p>
          <w:p w14:paraId="7A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Проектные решения по обеспечению условий жизнедеятельности для ММГН согласовать с Заказчиком. Перечень требований данного раздела обязателен к исполнению, но не является исчерпывающим.</w:t>
            </w:r>
          </w:p>
        </w:tc>
      </w:tr>
      <w:tr>
        <w:trPr>
          <w:trHeight w:hRule="atLeast" w:val="165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 к оформлению рабочей и сметной документации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экземпляров, передаваемых заказчику:</w:t>
            </w:r>
          </w:p>
          <w:p w14:paraId="7D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Рабочую, сметную документацию выдать на бумажном носителе виде печатных брошюр в количестве 2 экземпляров, а также на электронном носителе в формате (Adobe PDF), а также в виде исходных файлов (Autocad, Microsoft Office Word, Microsoft Office Exel, xls. est).</w:t>
            </w:r>
          </w:p>
          <w:p w14:paraId="7E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Всю рабочую документацию выдать по месту нахождения Заказчика.</w:t>
            </w:r>
          </w:p>
          <w:p w14:paraId="7F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требований данного раздела обязателен к исполнению, но не является исчерпывающим.</w:t>
            </w:r>
          </w:p>
        </w:tc>
      </w:tr>
      <w:tr>
        <w:trPr>
          <w:trHeight w:hRule="atLeast" w:val="165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Особые условия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После получения проектной и сметной документации Заказчик заключает договор на выполнение процедур, связанных с проведением государственной экспертизы проектной документации в части проверки достоверности определения сметной стоимости (далее – государственная экспертиза) в соответствии с Порядком проведения государственной экспертизы проектной документации в ФАУ «Главгосэкспертиза России». При этом Подрядчик берет на себя обязательства п</w:t>
            </w:r>
            <w:r>
              <w:rPr>
                <w:rFonts w:ascii="Times New Roman" w:hAnsi="Times New Roman"/>
                <w:sz w:val="24"/>
              </w:rPr>
              <w:t xml:space="preserve">редставлять интересы Заказчика </w:t>
            </w:r>
            <w:r>
              <w:rPr>
                <w:rFonts w:ascii="Times New Roman" w:hAnsi="Times New Roman"/>
                <w:sz w:val="24"/>
              </w:rPr>
              <w:t>и обеспечить</w:t>
            </w:r>
            <w:r>
              <w:rPr>
                <w:rFonts w:ascii="Times New Roman" w:hAnsi="Times New Roman"/>
                <w:sz w:val="24"/>
              </w:rPr>
              <w:t xml:space="preserve"> прохождени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государственной экспертизы и </w:t>
            </w:r>
            <w:r>
              <w:rPr>
                <w:rFonts w:ascii="Times New Roman" w:hAnsi="Times New Roman"/>
                <w:sz w:val="24"/>
              </w:rPr>
              <w:t>получени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положительного </w:t>
            </w:r>
            <w:r>
              <w:rPr>
                <w:rFonts w:ascii="Times New Roman" w:hAnsi="Times New Roman"/>
                <w:sz w:val="24"/>
              </w:rPr>
              <w:t>заключения</w:t>
            </w:r>
            <w:r>
              <w:rPr>
                <w:rFonts w:ascii="Times New Roman" w:hAnsi="Times New Roman"/>
                <w:sz w:val="24"/>
              </w:rPr>
              <w:t xml:space="preserve"> в сроки в соответствии с требованиями ФАУ «Главгосэкспертиза России», не допуская продления/расторжения договора.</w:t>
            </w:r>
          </w:p>
          <w:p w14:paraId="8201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 xml:space="preserve">В случае увеличения/уменьшения </w:t>
            </w:r>
            <w:r>
              <w:rPr>
                <w:rFonts w:ascii="Times New Roman" w:hAnsi="Times New Roman"/>
                <w:sz w:val="24"/>
              </w:rPr>
              <w:t>мощностей (н</w:t>
            </w:r>
            <w:r>
              <w:rPr>
                <w:rFonts w:ascii="Times New Roman" w:hAnsi="Times New Roman"/>
                <w:sz w:val="24"/>
              </w:rPr>
              <w:t>агрузок</w:t>
            </w:r>
            <w:r>
              <w:rPr>
                <w:rFonts w:ascii="Times New Roman" w:hAnsi="Times New Roman"/>
                <w:sz w:val="24"/>
              </w:rPr>
              <w:t>) по всем направлениям энергоснабжения</w:t>
            </w:r>
            <w:r>
              <w:rPr>
                <w:rFonts w:ascii="Times New Roman" w:hAnsi="Times New Roman"/>
                <w:sz w:val="24"/>
              </w:rPr>
              <w:t xml:space="preserve"> Подрядчик обязан согласовать </w:t>
            </w:r>
            <w:r>
              <w:rPr>
                <w:rFonts w:ascii="Times New Roman" w:hAnsi="Times New Roman"/>
                <w:sz w:val="24"/>
              </w:rPr>
              <w:t xml:space="preserve">(узаконить) </w:t>
            </w:r>
            <w:r>
              <w:rPr>
                <w:rFonts w:ascii="Times New Roman" w:hAnsi="Times New Roman"/>
                <w:sz w:val="24"/>
              </w:rPr>
              <w:t>соответствующие изменения в</w:t>
            </w:r>
            <w:r>
              <w:rPr>
                <w:rFonts w:ascii="Times New Roman" w:hAnsi="Times New Roman"/>
                <w:sz w:val="24"/>
              </w:rPr>
              <w:t xml:space="preserve"> уполномоченных</w:t>
            </w:r>
            <w:r>
              <w:rPr>
                <w:rFonts w:ascii="Times New Roman" w:hAnsi="Times New Roman"/>
                <w:sz w:val="24"/>
              </w:rPr>
              <w:t xml:space="preserve"> организациях.</w:t>
            </w:r>
          </w:p>
        </w:tc>
      </w:tr>
      <w:tr>
        <w:trPr>
          <w:trHeight w:hRule="atLeast" w:val="165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Гарантийные обязательства</w:t>
            </w:r>
          </w:p>
        </w:tc>
        <w:tc>
          <w:tcPr>
            <w:tcW w:type="dxa" w:w="7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всего срока действия Контракта и после его окончания, Стороны гарантируют обеспечение конфиденциальность информации, связанной с Контрактом, его исполнением, либо иную конфиденциальную информацию о деятельности Заказчика.</w:t>
            </w:r>
          </w:p>
          <w:p w14:paraId="85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обнаружении недостатков в документации Подрядчик по требованию Заказчика обязан безвозмездно переделать документацию, при необходимости произвести необходимые дополнительные работы.</w:t>
            </w:r>
          </w:p>
          <w:p w14:paraId="86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Подрядчик по контракту на выполнение проектных работ несет ответственность за ненадлежащее составление документации и выполнение работ, включая недостатки, обнаруженные:</w:t>
            </w:r>
          </w:p>
          <w:p w14:paraId="87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впоследствии в ходе производства работ по капитальному ремонту;</w:t>
            </w:r>
          </w:p>
          <w:p w14:paraId="8801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а также в процессе эксплуатации объекта, </w:t>
            </w:r>
            <w:r>
              <w:rPr>
                <w:rFonts w:ascii="Times New Roman" w:hAnsi="Times New Roman"/>
                <w:sz w:val="24"/>
              </w:rPr>
              <w:t>после проведения капитального ремонта на основе данных</w:t>
            </w:r>
            <w:r>
              <w:rPr>
                <w:rFonts w:ascii="Times New Roman" w:hAnsi="Times New Roman"/>
                <w:sz w:val="24"/>
              </w:rPr>
              <w:t xml:space="preserve"> документации.</w:t>
            </w:r>
          </w:p>
        </w:tc>
      </w:tr>
    </w:tbl>
    <w:p w14:paraId="89010000">
      <w:pPr>
        <w:spacing w:after="0" w:line="240" w:lineRule="auto"/>
        <w:ind/>
        <w:contextualSpacing w:val="1"/>
        <w:rPr>
          <w:sz w:val="24"/>
        </w:rPr>
      </w:pPr>
    </w:p>
    <w:p w14:paraId="8A010000">
      <w:pPr>
        <w:ind w:firstLine="0" w:left="5529"/>
        <w:rPr>
          <w:rFonts w:ascii="Times New Roman" w:hAnsi="Times New Roman"/>
        </w:rPr>
      </w:pPr>
    </w:p>
    <w:tbl>
      <w:tblPr>
        <w:tblStyle w:val="Style_3"/>
        <w:tblW w:type="auto" w:w="0"/>
        <w:tblInd w:type="dxa" w:w="93"/>
        <w:tblLayout w:type="fixed"/>
      </w:tblPr>
      <w:tblGrid>
        <w:gridCol w:w="5100"/>
        <w:gridCol w:w="764"/>
        <w:gridCol w:w="4641"/>
      </w:tblGrid>
      <w:tr>
        <w:tc>
          <w:tcPr>
            <w:tcW w:type="dxa" w:w="5100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</w:rPr>
              <w:t>ПОДРЯДЧИК</w:t>
            </w:r>
            <w:r>
              <w:rPr>
                <w:rFonts w:ascii="Times New Roman" w:hAnsi="Times New Roman"/>
                <w:b w:val="1"/>
                <w:sz w:val="26"/>
              </w:rPr>
              <w:t>:</w:t>
            </w:r>
          </w:p>
        </w:tc>
        <w:tc>
          <w:tcPr>
            <w:tcW w:type="dxa" w:w="764"/>
          </w:tcPr>
          <w:p w14:paraId="8C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</w:tc>
        <w:tc>
          <w:tcPr>
            <w:tcW w:type="dxa" w:w="4641"/>
          </w:tcPr>
          <w:p w14:paraId="8D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ЗАКАЗЧИК:</w:t>
            </w:r>
          </w:p>
        </w:tc>
      </w:tr>
    </w:tbl>
    <w:p w14:paraId="8E010000">
      <w:pPr>
        <w:spacing w:after="0" w:line="240" w:lineRule="auto"/>
        <w:ind/>
        <w:contextualSpacing w:val="1"/>
        <w:rPr>
          <w:sz w:val="24"/>
        </w:rPr>
      </w:pPr>
    </w:p>
    <w:p w14:paraId="8F010000">
      <w:pPr>
        <w:spacing w:after="0" w:line="240" w:lineRule="auto"/>
        <w:ind/>
        <w:contextualSpacing w:val="1"/>
        <w:rPr>
          <w:sz w:val="24"/>
        </w:rPr>
      </w:pPr>
    </w:p>
    <w:p w14:paraId="90010000">
      <w:pPr>
        <w:spacing w:after="0" w:line="240" w:lineRule="auto"/>
        <w:ind/>
        <w:contextualSpacing w:val="1"/>
        <w:rPr>
          <w:sz w:val="24"/>
        </w:rPr>
      </w:pPr>
    </w:p>
    <w:p w14:paraId="91010000">
      <w:pPr>
        <w:spacing w:after="0" w:line="240" w:lineRule="auto"/>
        <w:ind/>
        <w:contextualSpacing w:val="1"/>
        <w:rPr>
          <w:sz w:val="24"/>
        </w:rPr>
      </w:pPr>
    </w:p>
    <w:p w14:paraId="92010000">
      <w:pPr>
        <w:spacing w:after="0" w:line="240" w:lineRule="auto"/>
        <w:ind/>
        <w:contextualSpacing w:val="1"/>
        <w:rPr>
          <w:sz w:val="24"/>
        </w:rPr>
      </w:pPr>
    </w:p>
    <w:p w14:paraId="93010000">
      <w:pPr>
        <w:spacing w:after="0" w:line="240" w:lineRule="auto"/>
        <w:ind/>
        <w:contextualSpacing w:val="1"/>
        <w:rPr>
          <w:rFonts w:ascii="Times New Roman" w:hAnsi="Times New Roman"/>
          <w:sz w:val="24"/>
        </w:rPr>
      </w:pPr>
    </w:p>
    <w:p w14:paraId="94010000">
      <w:pPr>
        <w:spacing w:after="0" w:line="240" w:lineRule="auto"/>
        <w:ind/>
        <w:contextualSpacing w:val="1"/>
        <w:rPr>
          <w:rFonts w:ascii="Times New Roman" w:hAnsi="Times New Roman"/>
          <w:sz w:val="24"/>
        </w:rPr>
      </w:pPr>
    </w:p>
    <w:p w14:paraId="95010000">
      <w:pPr>
        <w:spacing w:after="0" w:line="240" w:lineRule="auto"/>
        <w:ind/>
        <w:contextualSpacing w:val="1"/>
        <w:rPr>
          <w:rFonts w:ascii="Times New Roman" w:hAnsi="Times New Roman"/>
          <w:sz w:val="24"/>
        </w:rPr>
      </w:pPr>
    </w:p>
    <w:p w14:paraId="96010000">
      <w:pPr>
        <w:spacing w:after="0" w:line="240" w:lineRule="auto"/>
        <w:ind/>
        <w:contextualSpacing w:val="1"/>
        <w:rPr>
          <w:rFonts w:ascii="Times New Roman" w:hAnsi="Times New Roman"/>
          <w:sz w:val="24"/>
        </w:rPr>
      </w:pPr>
    </w:p>
    <w:p w14:paraId="97010000">
      <w:pPr>
        <w:ind/>
        <w:jc w:val="right"/>
        <w:rPr>
          <w:rFonts w:ascii="Times New Roman" w:hAnsi="Times New Roman"/>
        </w:rPr>
      </w:pPr>
    </w:p>
    <w:p w14:paraId="98010000">
      <w:pPr>
        <w:ind/>
        <w:jc w:val="right"/>
        <w:rPr>
          <w:rFonts w:ascii="Times New Roman" w:hAnsi="Times New Roman"/>
        </w:rPr>
      </w:pPr>
    </w:p>
    <w:p w14:paraId="99010000">
      <w:pPr>
        <w:ind/>
        <w:jc w:val="right"/>
        <w:rPr>
          <w:rFonts w:ascii="Times New Roman" w:hAnsi="Times New Roman"/>
        </w:rPr>
      </w:pPr>
    </w:p>
    <w:p w14:paraId="9A010000">
      <w:pPr>
        <w:ind/>
        <w:jc w:val="right"/>
        <w:rPr>
          <w:rFonts w:ascii="Times New Roman" w:hAnsi="Times New Roman"/>
        </w:rPr>
      </w:pPr>
    </w:p>
    <w:p w14:paraId="9B010000">
      <w:pPr>
        <w:ind/>
        <w:jc w:val="right"/>
        <w:rPr>
          <w:rFonts w:ascii="Times New Roman" w:hAnsi="Times New Roman"/>
        </w:rPr>
      </w:pPr>
    </w:p>
    <w:p w14:paraId="9C010000">
      <w:pPr>
        <w:ind/>
        <w:jc w:val="right"/>
        <w:rPr>
          <w:rFonts w:ascii="Times New Roman" w:hAnsi="Times New Roman"/>
        </w:rPr>
      </w:pPr>
    </w:p>
    <w:p w14:paraId="9D010000">
      <w:pPr>
        <w:ind w:firstLine="0" w:left="5529"/>
        <w:jc w:val="right"/>
        <w:rPr>
          <w:rFonts w:ascii="Times New Roman" w:hAnsi="Times New Roman"/>
        </w:rPr>
      </w:pPr>
    </w:p>
    <w:p w14:paraId="9E010000">
      <w:pPr>
        <w:ind w:firstLine="0" w:left="5529"/>
        <w:jc w:val="right"/>
        <w:rPr>
          <w:rFonts w:ascii="Times New Roman" w:hAnsi="Times New Roman"/>
        </w:rPr>
      </w:pPr>
    </w:p>
    <w:p w14:paraId="9F010000">
      <w:pPr>
        <w:ind w:firstLine="0" w:left="552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</w:p>
    <w:p w14:paraId="A0010000">
      <w:pPr>
        <w:widowControl w:val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АКТ </w:t>
      </w:r>
    </w:p>
    <w:p w14:paraId="A1010000">
      <w:pPr>
        <w:widowControl w:val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СДАЧИ-ПРИЕМКИ ВЫПОЛНЕННЫХ РАБОТ</w:t>
      </w:r>
    </w:p>
    <w:p w14:paraId="A2010000">
      <w:pPr>
        <w:widowControl w:val="0"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-208915</wp:posOffset>
                </wp:positionH>
                <wp:positionV relativeFrom="paragraph">
                  <wp:posOffset>133985</wp:posOffset>
                </wp:positionV>
                <wp:extent cx="6362700" cy="540893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-463038">
                          <a:off x="0" y="0"/>
                          <a:ext cx="6362700" cy="5408930"/>
                        </a:xfrm>
                        <a:custGeom>
                          <a:avLst>
                            <a:gd fmla="val 10361" name="modifier0"/>
                          </a:avLst>
                          <a:gdLst>
                            <a:gd fmla="val modifier0" name="f0"/>
                            <a:gd fmla="+- 21600 0 f0" name="f1"/>
                            <a:gd fmla="*/ modifier0 1 2" name="f2"/>
                            <a:gd fmla="+- f2 10800 0" name="f3"/>
                            <a:gd fmla="*/ f1 1 2" name="f4"/>
                            <a:gd fmla="+- f4 10800 0" name="f5"/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f0"/>
                              </a:moveTo>
                              <a:lnTo>
                                <a:pt x="21600" y="0"/>
                              </a:lnTo>
                              <a:moveTo>
                                <a:pt x="0" y="21600"/>
                              </a:moveTo>
                              <a:lnTo>
                                <a:pt x="21600" y="f1"/>
                              </a:lnTo>
                            </a:path>
                          </a:pathLst>
                        </a:cu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3010000">
      <w:pPr>
        <w:widowControl w:val="0"/>
        <w:ind/>
        <w:rPr>
          <w:rFonts w:ascii="Times New Roman" w:hAnsi="Times New Roman"/>
        </w:rPr>
      </w:pPr>
      <w:r>
        <w:rPr>
          <w:rFonts w:ascii="Times New Roman" w:hAnsi="Times New Roman"/>
        </w:rPr>
        <w:t>г. _________________                                                                             «____» __________ 20____ г.</w:t>
      </w:r>
    </w:p>
    <w:p w14:paraId="A4010000">
      <w:pPr>
        <w:widowControl w:val="0"/>
        <w:ind/>
        <w:rPr>
          <w:rFonts w:ascii="Times New Roman" w:hAnsi="Times New Roman"/>
        </w:rPr>
      </w:pPr>
    </w:p>
    <w:p w14:paraId="A5010000">
      <w:pPr>
        <w:widowControl w:val="0"/>
        <w:spacing w:line="240" w:lineRule="auto"/>
        <w:ind/>
        <w:contextualSpacing w:val="1"/>
        <w:rPr>
          <w:rFonts w:ascii="Times New Roman" w:hAnsi="Times New Roman"/>
        </w:rPr>
      </w:pPr>
    </w:p>
    <w:p w14:paraId="A601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Прокуратура г. Москвы, именуемая в дальнейшем «Заказчик», в лице _______,_______, действующего на _________от ________ №________,</w:t>
      </w:r>
      <w:r>
        <w:rPr>
          <w:rFonts w:ascii="Times New Roman" w:hAnsi="Times New Roman"/>
          <w:i w:val="1"/>
        </w:rPr>
        <w:t xml:space="preserve">              </w:t>
      </w:r>
    </w:p>
    <w:p w14:paraId="A7010000">
      <w:pPr>
        <w:widowControl w:val="0"/>
        <w:spacing w:line="240" w:lineRule="auto"/>
        <w:ind/>
        <w:contextualSpacing w:val="1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 xml:space="preserve">с одной стороны, и _________ именуемое в дальнейшем «Подрядчик», в лице __________________                                                             </w:t>
      </w:r>
    </w:p>
    <w:p w14:paraId="A8010000">
      <w:pPr>
        <w:widowControl w:val="0"/>
        <w:spacing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действующего на основании _____________, с другой стороны, вместе именуемые «Стороны», составили настоящий Акт о нижеследующем:</w:t>
      </w:r>
    </w:p>
    <w:p w14:paraId="A9010000">
      <w:pPr>
        <w:widowControl w:val="0"/>
        <w:tabs>
          <w:tab w:leader="none" w:pos="1134" w:val="left"/>
        </w:tabs>
        <w:spacing w:line="240" w:lineRule="auto"/>
        <w:ind w:firstLine="709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 соответствии с Контрактом № ______ от «____» __________ 20___ г. Подрядчик выполнил работы по __________________________ (далее – Работа).</w:t>
      </w:r>
    </w:p>
    <w:p w14:paraId="AA01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Качество выполненной Работы соответствует (не соответствует) требованиям Контракта:</w:t>
      </w:r>
    </w:p>
    <w:p w14:paraId="AB010000">
      <w:pPr>
        <w:widowControl w:val="0"/>
        <w:spacing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</w:p>
    <w:p w14:paraId="AC010000">
      <w:pPr>
        <w:widowControl w:val="0"/>
        <w:tabs>
          <w:tab w:leader="none" w:pos="1276" w:val="left"/>
        </w:tabs>
        <w:spacing w:line="240" w:lineRule="auto"/>
        <w:ind w:firstLine="709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Вышеуказанные Работы согласно Контракту выполнены /не выполнены.</w:t>
      </w:r>
    </w:p>
    <w:p w14:paraId="AD01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Недостатки в ходе выполненных Работ выявлены/не выявлены</w:t>
      </w:r>
    </w:p>
    <w:p w14:paraId="AE010000">
      <w:pPr>
        <w:widowControl w:val="0"/>
        <w:spacing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</w:p>
    <w:p w14:paraId="AF010000">
      <w:pPr>
        <w:widowControl w:val="0"/>
        <w:spacing w:line="240" w:lineRule="auto"/>
        <w:ind/>
        <w:contextualSpacing w:val="1"/>
        <w:jc w:val="both"/>
        <w:rPr>
          <w:rFonts w:ascii="Times New Roman" w:hAnsi="Times New Roman"/>
        </w:rPr>
      </w:pPr>
    </w:p>
    <w:p w14:paraId="B001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Сумма, подлежащая оплате Подрядчику в соответствии с условиями Контракта _______________________________________________.</w:t>
      </w:r>
    </w:p>
    <w:p w14:paraId="B101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В соответствии с пунктом ____Контракта сумма штрафных санкций составляет _____________ (</w:t>
      </w:r>
      <w:r>
        <w:rPr>
          <w:rFonts w:ascii="Times New Roman" w:hAnsi="Times New Roman"/>
          <w:i w:val="1"/>
        </w:rPr>
        <w:t>указывается порядок расчета штрафных санкций</w:t>
      </w:r>
      <w:r>
        <w:rPr>
          <w:rFonts w:ascii="Times New Roman" w:hAnsi="Times New Roman"/>
        </w:rPr>
        <w:t>).</w:t>
      </w:r>
    </w:p>
    <w:p w14:paraId="B201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Общая стоимость штрафных санкций составит: ________________________.</w:t>
      </w:r>
    </w:p>
    <w:p w14:paraId="B301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 </w:t>
      </w:r>
      <w:r>
        <w:rPr>
          <w:rFonts w:ascii="Times New Roman" w:hAnsi="Times New Roman"/>
          <w:i w:val="1"/>
        </w:rPr>
        <w:t xml:space="preserve">Итоговая сумма, подлежащая оплате Подрядчику с учетом удержания/без учета штрафных санкций, составляет </w:t>
      </w:r>
      <w:r>
        <w:rPr>
          <w:rFonts w:ascii="Times New Roman" w:hAnsi="Times New Roman"/>
        </w:rPr>
        <w:t>_________________________________________.</w:t>
      </w:r>
    </w:p>
    <w:p w14:paraId="B401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Результаты выполнения Работ по Контракту: __________________________________</w:t>
      </w:r>
    </w:p>
    <w:p w14:paraId="B5010000">
      <w:pPr>
        <w:rPr>
          <w:rFonts w:ascii="Times New Roman" w:hAnsi="Times New Roman"/>
        </w:rPr>
      </w:pPr>
    </w:p>
    <w:tbl>
      <w:tblPr>
        <w:tblStyle w:val="Style_3"/>
        <w:tblW w:type="auto" w:w="0"/>
        <w:tblLayout w:type="fixed"/>
      </w:tblPr>
      <w:tblGrid>
        <w:gridCol w:w="5103"/>
        <w:gridCol w:w="4962"/>
      </w:tblGrid>
      <w:tr>
        <w:trPr>
          <w:trHeight w:hRule="atLeast" w:val="20"/>
        </w:trPr>
        <w:tc>
          <w:tcPr>
            <w:tcW w:type="dxa" w:w="5103"/>
          </w:tcPr>
          <w:p w14:paraId="B6010000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Заказчик:</w:t>
            </w:r>
          </w:p>
        </w:tc>
        <w:tc>
          <w:tcPr>
            <w:tcW w:type="dxa" w:w="4962"/>
          </w:tcPr>
          <w:p w14:paraId="B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Подрядчик:</w:t>
            </w:r>
          </w:p>
        </w:tc>
      </w:tr>
      <w:tr>
        <w:trPr>
          <w:trHeight w:hRule="atLeast" w:val="20"/>
        </w:trPr>
        <w:tc>
          <w:tcPr>
            <w:tcW w:type="dxa" w:w="5103"/>
          </w:tcPr>
          <w:p w14:paraId="B8010000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  <w:p w14:paraId="B9010000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 /_____________/</w:t>
            </w:r>
          </w:p>
          <w:p w14:paraId="BA010000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  <w:p w14:paraId="BB010000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4962"/>
          </w:tcPr>
          <w:p w14:paraId="BC010000">
            <w:pPr>
              <w:rPr>
                <w:rFonts w:ascii="Times New Roman" w:hAnsi="Times New Roman"/>
              </w:rPr>
            </w:pPr>
          </w:p>
          <w:p w14:paraId="B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 ____________ /</w:t>
            </w:r>
          </w:p>
          <w:p w14:paraId="B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</w:tc>
      </w:tr>
    </w:tbl>
    <w:p w14:paraId="BF01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Утверждаю форму</w:t>
      </w:r>
    </w:p>
    <w:p w14:paraId="C0010000">
      <w:pPr>
        <w:rPr>
          <w:rFonts w:ascii="Times New Roman" w:hAnsi="Times New Roman"/>
          <w:color w:val="000000"/>
        </w:rPr>
      </w:pPr>
    </w:p>
    <w:p w14:paraId="C1010000">
      <w:pPr>
        <w:rPr>
          <w:rFonts w:ascii="Times New Roman" w:hAnsi="Times New Roman"/>
          <w:color w:val="000000"/>
        </w:rPr>
      </w:pPr>
    </w:p>
    <w:tbl>
      <w:tblPr>
        <w:tblStyle w:val="Style_3"/>
        <w:tblW w:type="auto" w:w="0"/>
        <w:tblInd w:type="dxa" w:w="93"/>
        <w:tblLayout w:type="fixed"/>
      </w:tblPr>
      <w:tblGrid>
        <w:gridCol w:w="5100"/>
        <w:gridCol w:w="764"/>
        <w:gridCol w:w="4641"/>
      </w:tblGrid>
      <w:tr>
        <w:tc>
          <w:tcPr>
            <w:tcW w:type="dxa" w:w="5100"/>
          </w:tcPr>
          <w:p w14:paraId="C2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</w:rPr>
              <w:t>ПОДРЯДЧИК</w:t>
            </w:r>
            <w:r>
              <w:rPr>
                <w:rFonts w:ascii="Times New Roman" w:hAnsi="Times New Roman"/>
                <w:b w:val="1"/>
                <w:sz w:val="26"/>
              </w:rPr>
              <w:t>:</w:t>
            </w:r>
          </w:p>
        </w:tc>
        <w:tc>
          <w:tcPr>
            <w:tcW w:type="dxa" w:w="764"/>
          </w:tcPr>
          <w:p w14:paraId="C3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</w:tc>
        <w:tc>
          <w:tcPr>
            <w:tcW w:type="dxa" w:w="4641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ЗАКАЗЧИК:</w:t>
            </w:r>
          </w:p>
        </w:tc>
      </w:tr>
    </w:tbl>
    <w:p w14:paraId="C5010000">
      <w:pPr>
        <w:rPr>
          <w:rFonts w:ascii="Times New Roman" w:hAnsi="Times New Roman"/>
          <w:color w:val="000000"/>
        </w:rPr>
      </w:pPr>
    </w:p>
    <w:p w14:paraId="C6010000">
      <w:pPr>
        <w:spacing w:after="0" w:line="240" w:lineRule="auto"/>
        <w:ind/>
        <w:contextualSpacing w:val="1"/>
        <w:rPr>
          <w:rFonts w:ascii="Times New Roman" w:hAnsi="Times New Roman"/>
          <w:sz w:val="24"/>
        </w:rPr>
      </w:pPr>
    </w:p>
    <w:sectPr>
      <w:headerReference r:id="rId1" w:type="default"/>
      <w:pgSz w:h="16838" w:orient="portrait" w:w="11906"/>
      <w:pgMar w:bottom="1134" w:footer="709" w:gutter="0" w:header="709" w:left="1361" w:right="68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sz w:val="22"/>
    </w:rPr>
  </w:style>
  <w:style w:default="1" w:styleId="Style_4_ch" w:type="character">
    <w:name w:val="Normal"/>
    <w:link w:val="Style_4"/>
    <w:rPr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er"/>
    <w:basedOn w:val="Style_4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4_ch"/>
    <w:link w:val="Style_11"/>
  </w:style>
  <w:style w:styleId="Style_12" w:type="paragraph">
    <w:name w:val="ConsPlusNormal"/>
    <w:link w:val="Style_12_ch"/>
    <w:pPr>
      <w:widowControl w:val="0"/>
      <w:ind w:firstLine="720" w:left="0"/>
    </w:pPr>
    <w:rPr>
      <w:rFonts w:ascii="Arial" w:hAnsi="Arial"/>
    </w:rPr>
  </w:style>
  <w:style w:styleId="Style_12_ch" w:type="character">
    <w:name w:val="ConsPlusNormal"/>
    <w:link w:val="Style_12"/>
    <w:rPr>
      <w:rFonts w:ascii="Arial" w:hAnsi="Arial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Цветной список - Акцент 1 Знак"/>
    <w:link w:val="Style_14_ch"/>
    <w:rPr>
      <w:rFonts w:ascii="Times New Roman" w:hAnsi="Times New Roman"/>
      <w:sz w:val="24"/>
    </w:rPr>
  </w:style>
  <w:style w:styleId="Style_14_ch" w:type="character">
    <w:name w:val="Цветной список - Акцент 1 Знак"/>
    <w:link w:val="Style_14"/>
    <w:rPr>
      <w:rFonts w:ascii="Times New Roman" w:hAnsi="Times New Roman"/>
      <w:sz w:val="24"/>
    </w:rPr>
  </w:style>
  <w:style w:styleId="Style_15" w:type="paragraph">
    <w:name w:val="ConsPlusTitle"/>
    <w:link w:val="Style_15_ch"/>
    <w:pPr>
      <w:widowControl w:val="0"/>
      <w:ind/>
    </w:pPr>
    <w:rPr>
      <w:rFonts w:ascii="Arial" w:hAnsi="Arial"/>
      <w:b w:val="1"/>
    </w:rPr>
  </w:style>
  <w:style w:styleId="Style_15_ch" w:type="character">
    <w:name w:val="ConsPlusTitle"/>
    <w:link w:val="Style_15"/>
    <w:rPr>
      <w:rFonts w:ascii="Arial" w:hAnsi="Arial"/>
      <w:b w:val="1"/>
    </w:rPr>
  </w:style>
  <w:style w:styleId="Style_16" w:type="paragraph">
    <w:name w:val="Body Text"/>
    <w:basedOn w:val="Style_4"/>
    <w:link w:val="Style_16_ch"/>
    <w:pPr>
      <w:spacing w:after="120" w:line="240" w:lineRule="auto"/>
      <w:ind/>
    </w:pPr>
    <w:rPr>
      <w:rFonts w:ascii="Times New Roman" w:hAnsi="Times New Roman"/>
      <w:sz w:val="20"/>
    </w:rPr>
  </w:style>
  <w:style w:styleId="Style_16_ch" w:type="character">
    <w:name w:val="Body Text"/>
    <w:basedOn w:val="Style_4_ch"/>
    <w:link w:val="Style_16"/>
    <w:rPr>
      <w:rFonts w:ascii="Times New Roman" w:hAnsi="Times New Roman"/>
      <w:sz w:val="20"/>
    </w:rPr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4"/>
    <w:next w:val="Style_4"/>
    <w:link w:val="Style_18_ch"/>
    <w:uiPriority w:val="9"/>
    <w:qFormat/>
    <w:pPr>
      <w:keepNext w:val="1"/>
      <w:spacing w:after="60" w:before="240"/>
      <w:ind/>
      <w:outlineLvl w:val="0"/>
    </w:pPr>
    <w:rPr>
      <w:rFonts w:ascii="Calibri Light" w:hAnsi="Calibri Light"/>
      <w:b w:val="1"/>
      <w:sz w:val="32"/>
    </w:rPr>
  </w:style>
  <w:style w:styleId="Style_18_ch" w:type="character">
    <w:name w:val="heading 1"/>
    <w:basedOn w:val="Style_4_ch"/>
    <w:link w:val="Style_18"/>
    <w:rPr>
      <w:rFonts w:ascii="Calibri Light" w:hAnsi="Calibri Light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Balloon Text"/>
    <w:basedOn w:val="Style_4"/>
    <w:link w:val="Style_25_ch"/>
    <w:pPr>
      <w:spacing w:after="0" w:line="240" w:lineRule="auto"/>
      <w:ind/>
    </w:pPr>
    <w:rPr>
      <w:rFonts w:ascii="Tahoma" w:hAnsi="Tahoma"/>
      <w:sz w:val="16"/>
    </w:rPr>
  </w:style>
  <w:style w:styleId="Style_25_ch" w:type="character">
    <w:name w:val="Balloon Text"/>
    <w:basedOn w:val="Style_4_ch"/>
    <w:link w:val="Style_25"/>
    <w:rPr>
      <w:rFonts w:ascii="Tahoma" w:hAnsi="Tahoma"/>
      <w:sz w:val="16"/>
    </w:rPr>
  </w:style>
  <w:style w:styleId="Style_2" w:type="paragraph">
    <w:name w:val="No Spacing"/>
    <w:link w:val="Style_2_ch"/>
    <w:rPr>
      <w:sz w:val="22"/>
    </w:rPr>
  </w:style>
  <w:style w:styleId="Style_2_ch" w:type="character">
    <w:name w:val="No Spacing"/>
    <w:link w:val="Style_2"/>
    <w:rPr>
      <w:sz w:val="22"/>
    </w:rPr>
  </w:style>
  <w:style w:styleId="Style_26" w:type="paragraph">
    <w:name w:val="toc 5"/>
    <w:next w:val="Style_4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Subtitle"/>
    <w:next w:val="Style_4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Colorful List Accent 1"/>
    <w:basedOn w:val="Style_3"/>
    <w:pPr>
      <w:spacing w:after="0" w:line="240" w:lineRule="auto"/>
      <w:ind/>
    </w:pPr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2026-08-27T07:39:48Z</dcterms:modified>
</cp:coreProperties>
</file>