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EAE6" w14:textId="77777777" w:rsidR="00A227EE" w:rsidRDefault="00A227EE" w:rsidP="00A227EE">
      <w:pPr>
        <w:pStyle w:val="a5"/>
        <w:rPr>
          <w:sz w:val="20"/>
          <w:szCs w:val="20"/>
        </w:rPr>
      </w:pPr>
      <w:r>
        <w:rPr>
          <w:sz w:val="20"/>
          <w:szCs w:val="20"/>
        </w:rPr>
        <w:t>ДОГОВОР № 2682005000021</w:t>
      </w:r>
    </w:p>
    <w:p w14:paraId="37287184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СТРАХОВАНИЯ ГРАЖДАН ОТ НЕСЧАСТНЫХ СЛУЧАЕВ</w:t>
      </w:r>
    </w:p>
    <w:p w14:paraId="2597A773" w14:textId="77777777" w:rsidR="00A227EE" w:rsidRDefault="00A227EE" w:rsidP="00A227EE">
      <w:pPr>
        <w:jc w:val="center"/>
        <w:rPr>
          <w:b/>
          <w:bCs/>
        </w:rPr>
      </w:pPr>
    </w:p>
    <w:p w14:paraId="45FFC018" w14:textId="77777777" w:rsidR="00A227EE" w:rsidRDefault="00A227EE" w:rsidP="00A227EE">
      <w:pPr>
        <w:jc w:val="both"/>
        <w:rPr>
          <w:i/>
        </w:rPr>
      </w:pPr>
      <w:r>
        <w:rPr>
          <w:i/>
        </w:rPr>
        <w:t>пгт. Южно-Курильск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</w:t>
      </w:r>
      <w:r>
        <w:rPr>
          <w:i/>
        </w:rPr>
        <w:tab/>
        <w:t xml:space="preserve"> «__» ________ 2026 г.   </w:t>
      </w:r>
    </w:p>
    <w:p w14:paraId="7F791FF9" w14:textId="77777777" w:rsidR="00A227EE" w:rsidRDefault="00A227EE" w:rsidP="00A227EE">
      <w:pPr>
        <w:jc w:val="both"/>
        <w:rPr>
          <w:b/>
          <w:i/>
          <w:iCs/>
        </w:rPr>
      </w:pPr>
    </w:p>
    <w:p w14:paraId="64CC89B1" w14:textId="77777777" w:rsidR="00A227EE" w:rsidRDefault="00A227EE" w:rsidP="00A227EE">
      <w:pPr>
        <w:pStyle w:val="11"/>
        <w:ind w:firstLine="709"/>
        <w:jc w:val="both"/>
      </w:pPr>
      <w:r>
        <w:rPr>
          <w:b/>
        </w:rPr>
        <w:t>_______________________________</w:t>
      </w:r>
      <w:r>
        <w:t xml:space="preserve">, именуемое в дальнейшем </w:t>
      </w:r>
      <w:r>
        <w:rPr>
          <w:b/>
        </w:rPr>
        <w:t>Страховщик</w:t>
      </w:r>
      <w:r>
        <w:t xml:space="preserve">, </w:t>
      </w:r>
      <w:r>
        <w:rPr>
          <w:color w:val="000000"/>
          <w:spacing w:val="-8"/>
        </w:rPr>
        <w:t>в лице _________________________________</w:t>
      </w:r>
      <w:r>
        <w:rPr>
          <w:color w:val="000000"/>
        </w:rPr>
        <w:t>, действующего на основании ________________________</w:t>
      </w:r>
      <w:r>
        <w:rPr>
          <w:color w:val="000000"/>
          <w:spacing w:val="-11"/>
        </w:rPr>
        <w:t xml:space="preserve">, </w:t>
      </w:r>
      <w:r>
        <w:t>с одной стороны,</w:t>
      </w:r>
      <w:r>
        <w:rPr>
          <w:color w:val="000000"/>
        </w:rPr>
        <w:t xml:space="preserve"> и  </w:t>
      </w:r>
      <w:r>
        <w:rPr>
          <w:b/>
        </w:rPr>
        <w:t>ФГБУ «Государственный заповедник «Курильский</w:t>
      </w:r>
      <w:r>
        <w:rPr>
          <w:b/>
          <w:bCs/>
        </w:rPr>
        <w:t>»</w:t>
      </w:r>
      <w:r>
        <w:rPr>
          <w:lang w:eastAsia="en-US"/>
        </w:rPr>
        <w:t xml:space="preserve">, </w:t>
      </w:r>
      <w:r>
        <w:t xml:space="preserve">именуемое в дальнейшем </w:t>
      </w:r>
      <w:r>
        <w:rPr>
          <w:b/>
        </w:rPr>
        <w:t xml:space="preserve">Страхователь, </w:t>
      </w:r>
      <w:r>
        <w:t>в лице Директора Кислейко Александра Александровича</w:t>
      </w:r>
      <w:r>
        <w:rPr>
          <w:b/>
        </w:rPr>
        <w:t>,</w:t>
      </w:r>
      <w:r>
        <w:t xml:space="preserve"> действующего на основании Устава  с другой стороны,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на основании пункта пункта 4  части 1 статьи 93  заключили настоящий Договор о нижеследующем: </w:t>
      </w:r>
    </w:p>
    <w:p w14:paraId="15CB3D6B" w14:textId="77777777" w:rsidR="00A227EE" w:rsidRDefault="00A227EE" w:rsidP="00A227EE">
      <w:pPr>
        <w:pStyle w:val="11"/>
        <w:ind w:firstLine="709"/>
        <w:jc w:val="both"/>
      </w:pPr>
    </w:p>
    <w:p w14:paraId="30FFFDDA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14:paraId="67BA4EB6" w14:textId="77777777" w:rsidR="00A227EE" w:rsidRDefault="00A227EE" w:rsidP="00A227EE">
      <w:pPr>
        <w:widowControl/>
        <w:autoSpaceDE/>
        <w:jc w:val="both"/>
      </w:pPr>
      <w:r>
        <w:rPr>
          <w:b/>
        </w:rPr>
        <w:t>1.1.</w:t>
      </w:r>
      <w:r>
        <w:tab/>
        <w:t xml:space="preserve">По настоящему Договору и на условиях Правил № 5 добровольного страхования граждан от несчастных случаев </w:t>
      </w:r>
      <w:r>
        <w:rPr>
          <w:i/>
        </w:rPr>
        <w:t>(Приложение 1)</w:t>
      </w:r>
      <w:r>
        <w:t xml:space="preserve">, далее по тексту Правила, Страховщик обязуется за обусловленную Договором страховую премию при наступлении в жизни Застрахованного страхового случая произвести страховую выплату Застрахованному, а в случае его смерти - назначенному Застрахованным лицу (далее по тексту - </w:t>
      </w:r>
      <w:r>
        <w:rPr>
          <w:b/>
        </w:rPr>
        <w:t>Выгодоприобретатель</w:t>
      </w:r>
      <w:r>
        <w:t>).</w:t>
      </w:r>
    </w:p>
    <w:p w14:paraId="716A96FF" w14:textId="77777777" w:rsidR="00A227EE" w:rsidRDefault="00A227EE" w:rsidP="00A227EE">
      <w:pPr>
        <w:widowControl/>
        <w:autoSpaceDE/>
        <w:ind w:firstLine="720"/>
        <w:jc w:val="both"/>
      </w:pPr>
      <w:r>
        <w:t xml:space="preserve">Правила № 5 добровольного страхования граждан от несчастных случаев являются неотъемлемой частью настоящего Договора страхования. При наличии противоречий между нормами Договора и Правил преимущественную силу имеют нормы, содержащиеся в Договоре. </w:t>
      </w:r>
    </w:p>
    <w:p w14:paraId="212FB0A5" w14:textId="77777777" w:rsidR="00A227EE" w:rsidRDefault="00A227EE" w:rsidP="00A227EE">
      <w:pPr>
        <w:widowControl/>
        <w:autoSpaceDE/>
        <w:ind w:firstLine="720"/>
        <w:jc w:val="both"/>
      </w:pPr>
      <w:r>
        <w:t xml:space="preserve">Положения Правил, действие которых не отменено и не изменено условиями, содержащимися в настоящем Договоре, обязательны для Страхователя, Застрахованного лица (Выгодоприобретателя) и Страховщика. </w:t>
      </w:r>
    </w:p>
    <w:p w14:paraId="3D987518" w14:textId="77777777" w:rsidR="00A227EE" w:rsidRDefault="00A227EE" w:rsidP="00A227EE">
      <w:pPr>
        <w:widowControl/>
        <w:autoSpaceDE/>
        <w:jc w:val="both"/>
        <w:rPr>
          <w:i/>
        </w:rPr>
      </w:pPr>
      <w:r>
        <w:rPr>
          <w:b/>
        </w:rPr>
        <w:t>1.2.</w:t>
      </w:r>
      <w:r>
        <w:tab/>
        <w:t xml:space="preserve">Застрахованными по настоящему Договору являются лица, указанные в списке Застрахованных лиц </w:t>
      </w:r>
      <w:r>
        <w:rPr>
          <w:i/>
        </w:rPr>
        <w:t>(Приложение 2).</w:t>
      </w:r>
    </w:p>
    <w:p w14:paraId="1CD0FAAE" w14:textId="77777777" w:rsidR="00A227EE" w:rsidRDefault="00A227EE" w:rsidP="00A227EE">
      <w:pPr>
        <w:widowControl/>
        <w:autoSpaceDE/>
        <w:jc w:val="both"/>
        <w:rPr>
          <w:b/>
          <w:bCs/>
          <w:i/>
        </w:rPr>
      </w:pPr>
      <w:r>
        <w:rPr>
          <w:b/>
          <w:bCs/>
          <w:i/>
        </w:rPr>
        <w:t>1.3.</w:t>
      </w:r>
      <w:r>
        <w:rPr>
          <w:b/>
          <w:bCs/>
          <w:i/>
        </w:rPr>
        <w:tab/>
        <w:t>ИКЗ ___________________________________________</w:t>
      </w:r>
    </w:p>
    <w:p w14:paraId="182D9A56" w14:textId="77777777" w:rsidR="00A227EE" w:rsidRDefault="00A227EE" w:rsidP="00A227EE">
      <w:pPr>
        <w:widowControl/>
        <w:autoSpaceDE/>
        <w:jc w:val="both"/>
        <w:rPr>
          <w:i/>
        </w:rPr>
      </w:pPr>
      <w:r>
        <w:rPr>
          <w:b/>
          <w:bCs/>
          <w:i/>
        </w:rPr>
        <w:t xml:space="preserve">1.4. </w:t>
      </w:r>
      <w:r>
        <w:rPr>
          <w:iCs/>
        </w:rPr>
        <w:t>Источник финансирования: Собственные средства учреждения.</w:t>
      </w:r>
    </w:p>
    <w:p w14:paraId="2886A6C4" w14:textId="77777777" w:rsidR="00A227EE" w:rsidRDefault="00A227EE" w:rsidP="00A227EE">
      <w:pPr>
        <w:widowControl/>
        <w:autoSpaceDE/>
        <w:jc w:val="both"/>
        <w:rPr>
          <w:i/>
        </w:rPr>
      </w:pPr>
    </w:p>
    <w:p w14:paraId="50B878A8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2. УСЛОВИЯ СТРАХОВАНИЯ</w:t>
      </w:r>
    </w:p>
    <w:p w14:paraId="4FF99B7F" w14:textId="77777777" w:rsidR="00A227EE" w:rsidRDefault="00A227EE" w:rsidP="00A227EE">
      <w:pPr>
        <w:jc w:val="both"/>
      </w:pPr>
      <w:r>
        <w:rPr>
          <w:b/>
          <w:bCs/>
        </w:rPr>
        <w:t>2.1.</w:t>
      </w:r>
      <w:r>
        <w:tab/>
        <w:t>Страховыми случаями являются следующие события, произошедшие с Застрахованным в период действия настоящего Договора:</w:t>
      </w:r>
    </w:p>
    <w:p w14:paraId="35CF4881" w14:textId="77777777" w:rsidR="00A227EE" w:rsidRDefault="00A227EE" w:rsidP="00A227EE">
      <w:pPr>
        <w:jc w:val="both"/>
      </w:pPr>
      <w:r>
        <w:rPr>
          <w:b/>
          <w:bCs/>
        </w:rPr>
        <w:t>2.1.1.</w:t>
      </w:r>
      <w:r>
        <w:rPr>
          <w:b/>
          <w:bCs/>
        </w:rPr>
        <w:tab/>
      </w:r>
      <w:r>
        <w:t>Установление Застрахованному инвалидности в связи с вредом, причиненным здоровью Застрахованного вследствие несчастного случая, происшедшего с Застрахованным в период страхования; данное событие также признается страховым, если оно произошло в течение одного года со дня несчастного случая.</w:t>
      </w:r>
    </w:p>
    <w:p w14:paraId="6C1D4FE2" w14:textId="77777777" w:rsidR="00A227EE" w:rsidRDefault="00A227EE" w:rsidP="00A227EE">
      <w:pPr>
        <w:jc w:val="both"/>
      </w:pPr>
      <w:r>
        <w:t>Размер страховой выплаты в связи с данным страховым событием составляет:</w:t>
      </w:r>
    </w:p>
    <w:p w14:paraId="3B8E74D5" w14:textId="77777777" w:rsidR="00A227EE" w:rsidRDefault="00A227EE" w:rsidP="00A227EE">
      <w:pPr>
        <w:numPr>
          <w:ilvl w:val="0"/>
          <w:numId w:val="1"/>
        </w:numPr>
        <w:ind w:left="0"/>
        <w:jc w:val="both"/>
      </w:pPr>
      <w:r>
        <w:t xml:space="preserve">при установлении Застрахованному инвалидности I группы </w:t>
      </w:r>
      <w:r>
        <w:tab/>
        <w:t>80 % установленной на Застрахованного страховой суммы;</w:t>
      </w:r>
    </w:p>
    <w:p w14:paraId="6324E03A" w14:textId="77777777" w:rsidR="00A227EE" w:rsidRDefault="00A227EE" w:rsidP="00A227EE">
      <w:pPr>
        <w:numPr>
          <w:ilvl w:val="0"/>
          <w:numId w:val="1"/>
        </w:numPr>
        <w:ind w:left="0"/>
        <w:jc w:val="both"/>
      </w:pPr>
      <w:r>
        <w:t xml:space="preserve">при установлении Застрахованному и инвалидности II группы </w:t>
      </w:r>
      <w:r>
        <w:tab/>
        <w:t xml:space="preserve"> 60 % установленной на Застрахованного страховой суммы;</w:t>
      </w:r>
    </w:p>
    <w:p w14:paraId="18BAEA8A" w14:textId="77777777" w:rsidR="00A227EE" w:rsidRDefault="00A227EE" w:rsidP="00A227EE">
      <w:pPr>
        <w:numPr>
          <w:ilvl w:val="0"/>
          <w:numId w:val="1"/>
        </w:numPr>
        <w:ind w:left="0"/>
        <w:jc w:val="both"/>
      </w:pPr>
      <w:r>
        <w:t>при установлении Застрахованному инвалидности III группы</w:t>
      </w:r>
      <w:r>
        <w:tab/>
        <w:t>40 % установленной на Застрахованного страховой суммы.</w:t>
      </w:r>
    </w:p>
    <w:p w14:paraId="55C45EF6" w14:textId="77777777" w:rsidR="00A227EE" w:rsidRDefault="00A227EE" w:rsidP="00A227EE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2.2.</w:t>
      </w:r>
      <w:r>
        <w:rPr>
          <w:rFonts w:ascii="Times New Roman" w:hAnsi="Times New Roman" w:cs="Times New Roman"/>
          <w:i w:val="0"/>
          <w:iCs w:val="0"/>
        </w:rPr>
        <w:tab/>
        <w:t xml:space="preserve">Страхование, обусловленное настоящим Договором, распространяется на страховые события, происшедшие с Застрахованным </w:t>
      </w:r>
      <w:r>
        <w:rPr>
          <w:rFonts w:ascii="Times New Roman" w:hAnsi="Times New Roman" w:cs="Times New Roman"/>
          <w:b/>
          <w:bCs/>
        </w:rPr>
        <w:t>при исполнении обязанностей по трудовому договору (контракту).</w:t>
      </w:r>
    </w:p>
    <w:p w14:paraId="697BF15C" w14:textId="77777777" w:rsidR="00A227EE" w:rsidRDefault="00A227EE" w:rsidP="00A227EE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2.3.</w:t>
      </w:r>
      <w:r>
        <w:rPr>
          <w:rFonts w:ascii="Times New Roman" w:hAnsi="Times New Roman" w:cs="Times New Roman"/>
          <w:b/>
          <w:bCs/>
          <w:i w:val="0"/>
          <w:iCs w:val="0"/>
        </w:rPr>
        <w:tab/>
      </w:r>
      <w:r>
        <w:rPr>
          <w:rFonts w:ascii="Times New Roman" w:hAnsi="Times New Roman" w:cs="Times New Roman"/>
          <w:bCs/>
          <w:i w:val="0"/>
          <w:iCs w:val="0"/>
        </w:rPr>
        <w:t>Территория страхового покрытия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 РФ, за исключением зон военных действий</w:t>
      </w:r>
    </w:p>
    <w:p w14:paraId="52E74923" w14:textId="77777777" w:rsidR="00A227EE" w:rsidRDefault="00A227EE" w:rsidP="00A227EE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2.4.</w:t>
      </w:r>
      <w:r>
        <w:rPr>
          <w:rFonts w:ascii="Times New Roman" w:hAnsi="Times New Roman" w:cs="Times New Roman"/>
          <w:i w:val="0"/>
          <w:iCs w:val="0"/>
        </w:rPr>
        <w:tab/>
        <w:t xml:space="preserve">События, на случай наступления которых страхование не проводится, и страховая выплата не производится, указаны в Разделе 7 Правил. </w:t>
      </w:r>
    </w:p>
    <w:p w14:paraId="0DEDA114" w14:textId="77777777" w:rsidR="00A227EE" w:rsidRDefault="00A227EE" w:rsidP="00A227EE">
      <w:pPr>
        <w:pStyle w:val="Rule3"/>
        <w:spacing w:after="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2.5.</w:t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b/>
          <w:i w:val="0"/>
          <w:iCs w:val="0"/>
        </w:rPr>
        <w:t>Общая страховая сумма на всех Застрахованных составляет</w:t>
      </w:r>
      <w:r>
        <w:rPr>
          <w:rFonts w:ascii="Times New Roman" w:hAnsi="Times New Roman" w:cs="Times New Roman"/>
          <w:b/>
        </w:rPr>
        <w:t xml:space="preserve">: </w:t>
      </w:r>
    </w:p>
    <w:p w14:paraId="70493C2D" w14:textId="77777777" w:rsidR="00A227EE" w:rsidRDefault="00A227EE" w:rsidP="00A227EE">
      <w:pPr>
        <w:pStyle w:val="Rule3"/>
        <w:spacing w:after="0"/>
        <w:ind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A227EE" w14:paraId="31556212" w14:textId="77777777" w:rsidTr="00A227EE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883A" w14:textId="77777777" w:rsidR="00A227EE" w:rsidRDefault="00A227EE">
            <w:pPr>
              <w:ind w:hanging="284"/>
              <w:jc w:val="center"/>
              <w:rPr>
                <w:b/>
              </w:rPr>
            </w:pPr>
          </w:p>
          <w:p w14:paraId="5DF4F8E7" w14:textId="77777777" w:rsidR="00A227EE" w:rsidRDefault="00A227EE">
            <w:pPr>
              <w:ind w:hanging="284"/>
              <w:jc w:val="center"/>
              <w:rPr>
                <w:b/>
              </w:rPr>
            </w:pPr>
            <w:r>
              <w:rPr>
                <w:b/>
              </w:rPr>
              <w:t>_____________ (_______________) рублей, _________ копеек</w:t>
            </w:r>
          </w:p>
          <w:p w14:paraId="19FD9BF9" w14:textId="77777777" w:rsidR="00A227EE" w:rsidRDefault="00A227EE">
            <w:pPr>
              <w:ind w:hanging="284"/>
              <w:jc w:val="center"/>
            </w:pPr>
          </w:p>
        </w:tc>
      </w:tr>
    </w:tbl>
    <w:p w14:paraId="33A01260" w14:textId="77777777" w:rsidR="00A227EE" w:rsidRDefault="00A227EE" w:rsidP="00A227EE">
      <w:pPr>
        <w:ind w:hanging="284"/>
        <w:jc w:val="center"/>
        <w:rPr>
          <w:i/>
          <w:iCs/>
        </w:rPr>
      </w:pPr>
      <w:r>
        <w:rPr>
          <w:i/>
          <w:iCs/>
        </w:rPr>
        <w:t>цифрами и прописью</w:t>
      </w:r>
    </w:p>
    <w:p w14:paraId="1EEDAB71" w14:textId="77777777" w:rsidR="00A227EE" w:rsidRDefault="00A227EE" w:rsidP="00A227EE">
      <w:pPr>
        <w:ind w:hanging="284"/>
        <w:jc w:val="both"/>
        <w:rPr>
          <w:b/>
          <w:bCs/>
        </w:rPr>
      </w:pPr>
    </w:p>
    <w:p w14:paraId="1ED6DB3B" w14:textId="77777777" w:rsidR="00A227EE" w:rsidRDefault="00A227EE" w:rsidP="00A227EE">
      <w:pPr>
        <w:ind w:hanging="284"/>
        <w:jc w:val="both"/>
        <w:rPr>
          <w:b/>
        </w:rPr>
      </w:pPr>
      <w:r>
        <w:rPr>
          <w:b/>
          <w:bCs/>
        </w:rPr>
        <w:t>2.6.</w:t>
      </w:r>
      <w:r>
        <w:tab/>
      </w:r>
      <w:r>
        <w:rPr>
          <w:b/>
        </w:rPr>
        <w:t>Общая страховая премия за всех Застрахованных составляет:</w:t>
      </w:r>
    </w:p>
    <w:p w14:paraId="33A51D5B" w14:textId="77777777" w:rsidR="00A227EE" w:rsidRDefault="00A227EE" w:rsidP="00A227EE">
      <w:pPr>
        <w:ind w:hanging="284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A227EE" w14:paraId="7211E80B" w14:textId="77777777" w:rsidTr="00A227EE">
        <w:trPr>
          <w:trHeight w:val="296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0B5E" w14:textId="77777777" w:rsidR="00A227EE" w:rsidRDefault="00A227EE">
            <w:pPr>
              <w:ind w:hanging="284"/>
              <w:jc w:val="center"/>
              <w:rPr>
                <w:b/>
                <w:bCs/>
              </w:rPr>
            </w:pPr>
          </w:p>
          <w:p w14:paraId="7914F0C8" w14:textId="77777777" w:rsidR="00A227EE" w:rsidRDefault="00A227EE">
            <w:pPr>
              <w:ind w:hanging="284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______________ (__________________) </w:t>
            </w:r>
            <w:r>
              <w:rPr>
                <w:b/>
              </w:rPr>
              <w:t>рублей, 00 копеек</w:t>
            </w:r>
          </w:p>
          <w:p w14:paraId="33662E7B" w14:textId="77777777" w:rsidR="00A227EE" w:rsidRDefault="00A227EE">
            <w:pPr>
              <w:ind w:hanging="284"/>
              <w:jc w:val="center"/>
              <w:rPr>
                <w:b/>
                <w:bCs/>
              </w:rPr>
            </w:pPr>
          </w:p>
        </w:tc>
      </w:tr>
    </w:tbl>
    <w:p w14:paraId="33FFD326" w14:textId="77777777" w:rsidR="00A227EE" w:rsidRDefault="00A227EE" w:rsidP="00A227EE">
      <w:pPr>
        <w:ind w:hanging="284"/>
        <w:jc w:val="center"/>
      </w:pPr>
      <w:r>
        <w:rPr>
          <w:i/>
          <w:iCs/>
        </w:rPr>
        <w:lastRenderedPageBreak/>
        <w:t>цифрами и прописью</w:t>
      </w:r>
    </w:p>
    <w:p w14:paraId="78543B08" w14:textId="77777777" w:rsidR="00A227EE" w:rsidRDefault="00A227EE" w:rsidP="00A227EE">
      <w:pPr>
        <w:ind w:hanging="284"/>
        <w:jc w:val="both"/>
      </w:pPr>
      <w:r>
        <w:rPr>
          <w:b/>
          <w:bCs/>
        </w:rPr>
        <w:t>2.7.</w:t>
      </w:r>
      <w:r>
        <w:tab/>
        <w:t>Страховая сумма и страховая премия на каждого Застрахованного указаны в списке Застрахованных лиц.</w:t>
      </w:r>
    </w:p>
    <w:p w14:paraId="5269A721" w14:textId="77777777" w:rsidR="00A227EE" w:rsidRDefault="00A227EE" w:rsidP="00A227EE">
      <w:pPr>
        <w:jc w:val="center"/>
      </w:pPr>
      <w:r>
        <w:rPr>
          <w:b/>
          <w:bCs/>
        </w:rPr>
        <w:t xml:space="preserve">3. ОБЯЗАННОСТИ СТОРОН </w:t>
      </w:r>
    </w:p>
    <w:p w14:paraId="3A3D7554" w14:textId="77777777" w:rsidR="00A227EE" w:rsidRDefault="00A227EE" w:rsidP="00A227EE">
      <w:pPr>
        <w:jc w:val="both"/>
        <w:rPr>
          <w:i/>
          <w:iCs/>
        </w:rPr>
      </w:pPr>
      <w:r>
        <w:rPr>
          <w:b/>
          <w:bCs/>
        </w:rPr>
        <w:t>3.1.</w:t>
      </w:r>
      <w:r>
        <w:rPr>
          <w:b/>
          <w:bCs/>
        </w:rPr>
        <w:tab/>
      </w:r>
      <w:r>
        <w:rPr>
          <w:b/>
          <w:bCs/>
          <w:i/>
          <w:iCs/>
        </w:rPr>
        <w:t>Страховщик обязан:</w:t>
      </w:r>
    </w:p>
    <w:p w14:paraId="62CAF746" w14:textId="77777777" w:rsidR="00A227EE" w:rsidRDefault="00A227EE" w:rsidP="00A227EE">
      <w:pPr>
        <w:jc w:val="both"/>
      </w:pPr>
      <w:r>
        <w:rPr>
          <w:b/>
          <w:bCs/>
        </w:rPr>
        <w:t>3.1.1.</w:t>
      </w:r>
      <w:r>
        <w:tab/>
        <w:t>в течение 3 рабочих дней после поступления страховой премии на расчетный счет Страховщика письменно уведомить Страхователя о дате вступления Договора в силу;</w:t>
      </w:r>
    </w:p>
    <w:p w14:paraId="1F7D1784" w14:textId="77777777" w:rsidR="00A227EE" w:rsidRDefault="00A227EE" w:rsidP="00A227EE">
      <w:pPr>
        <w:jc w:val="both"/>
      </w:pPr>
      <w:r>
        <w:rPr>
          <w:b/>
          <w:bCs/>
        </w:rPr>
        <w:t>3.1.2.</w:t>
      </w:r>
      <w:r>
        <w:tab/>
        <w:t>произвести страховую выплату Застрахованному (Выгодоприобретателю) в соответствии с условиями Договора (отказать в выплате) в течение 15 рабочих дней со дня получения всех необходимых документов, указанных в п.п. 6.4, 6.5 Правил.</w:t>
      </w:r>
    </w:p>
    <w:p w14:paraId="1CFBE9B0" w14:textId="77777777" w:rsidR="00A227EE" w:rsidRDefault="00A227EE" w:rsidP="00A227EE">
      <w:pPr>
        <w:jc w:val="both"/>
      </w:pPr>
      <w:r>
        <w:rPr>
          <w:b/>
          <w:bCs/>
        </w:rPr>
        <w:t>3.2.</w:t>
      </w:r>
      <w:r>
        <w:rPr>
          <w:b/>
          <w:bCs/>
        </w:rPr>
        <w:tab/>
      </w:r>
      <w:r>
        <w:t>Страхователь обязуется уплатить страховую премию в размере 100%, указанную в пункте 2.6 Договора, путем перечисления денежных средств на расчетный счет Страховщика в течение трех рабочих дней после получения счета на оплату. В случае неуплаты страховой премии в указанный срок Договор считается недействительным.</w:t>
      </w:r>
    </w:p>
    <w:p w14:paraId="0740CA66" w14:textId="77777777" w:rsidR="00A227EE" w:rsidRDefault="00A227EE" w:rsidP="00A227EE">
      <w:pPr>
        <w:jc w:val="both"/>
      </w:pPr>
    </w:p>
    <w:p w14:paraId="5BA16D24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4. СРОК ДЕЙСТВИЯ ДОГОВОРА,</w:t>
      </w:r>
    </w:p>
    <w:p w14:paraId="5AE4DFDC" w14:textId="77777777" w:rsidR="00A227EE" w:rsidRDefault="00A227EE" w:rsidP="00A227EE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 ПОРЯДОК ЕГО ИЗМЕНЕНИЯ И ПРЕКРАЩЕНИЯ</w:t>
      </w:r>
    </w:p>
    <w:p w14:paraId="196CD656" w14:textId="77777777" w:rsidR="00A227EE" w:rsidRDefault="00A227EE" w:rsidP="00A227EE">
      <w:pPr>
        <w:jc w:val="both"/>
      </w:pPr>
      <w:r>
        <w:rPr>
          <w:b/>
          <w:bCs/>
        </w:rPr>
        <w:t xml:space="preserve">4.1. </w:t>
      </w:r>
      <w:r>
        <w:t>Договор вступает в силу с момента его подписания Сторонами и действует в течении одного года.</w:t>
      </w:r>
    </w:p>
    <w:p w14:paraId="7F676BCB" w14:textId="77777777" w:rsidR="00A227EE" w:rsidRDefault="00A227EE" w:rsidP="00A227EE">
      <w:pPr>
        <w:jc w:val="both"/>
      </w:pPr>
      <w:r>
        <w:t>4.1.1.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догвором и законодательством Российской Федерации.</w:t>
      </w:r>
    </w:p>
    <w:p w14:paraId="3D9F40AF" w14:textId="77777777" w:rsidR="00A227EE" w:rsidRDefault="00A227EE" w:rsidP="00A227EE">
      <w:pPr>
        <w:jc w:val="both"/>
      </w:pPr>
      <w:r>
        <w:t xml:space="preserve">4.1.2. По истечении срока действия договора обязанности Страховщика по оказанию недооказанных услуг сохраняются. </w:t>
      </w:r>
    </w:p>
    <w:p w14:paraId="21814FD2" w14:textId="77777777" w:rsidR="00A227EE" w:rsidRDefault="00A227EE" w:rsidP="00A227EE">
      <w:pPr>
        <w:jc w:val="both"/>
        <w:rPr>
          <w:u w:val="single"/>
        </w:rPr>
      </w:pPr>
      <w:r>
        <w:rPr>
          <w:b/>
          <w:bCs/>
        </w:rPr>
        <w:t>4.2.</w:t>
      </w:r>
      <w:r>
        <w:rPr>
          <w:b/>
          <w:bCs/>
        </w:rPr>
        <w:tab/>
      </w:r>
      <w:r>
        <w:t xml:space="preserve">В течение срока действия Договора Страхователь вправе дополнить список Застрахованных, с согласия Застрахованного заменить его другим лицом или исключить из списка Застрахованных. Уведомления об изменении в составе Застрахованных Страхователь направляет Страховщику в согласованной Сторонами форме по электронной почте на адрес: </w:t>
      </w:r>
      <w:hyperlink r:id="rId5" w:history="1">
        <w:r>
          <w:rPr>
            <w:rStyle w:val="a3"/>
          </w:rPr>
          <w:t>____________________________</w:t>
        </w:r>
      </w:hyperlink>
      <w:r>
        <w:rPr>
          <w:lang w:val="en-US"/>
        </w:rPr>
        <w:t xml:space="preserve"> </w:t>
      </w:r>
      <w:r>
        <w:rPr>
          <w:u w:val="single"/>
        </w:rPr>
        <w:t>или по адресу: ______________________________________.</w:t>
      </w:r>
    </w:p>
    <w:p w14:paraId="78DFE162" w14:textId="77777777" w:rsidR="00A227EE" w:rsidRDefault="00A227EE" w:rsidP="00A227EE">
      <w:pPr>
        <w:jc w:val="both"/>
      </w:pPr>
      <w:r>
        <w:rPr>
          <w:b/>
        </w:rPr>
        <w:t>4.2.1.</w:t>
      </w:r>
      <w:r>
        <w:tab/>
        <w:t xml:space="preserve">Страховое покрытие по лицам, указанным в Уведомлении о включении в состав Застрахованных по Договору, действует с 00-00 часов даты начала периода страхования, указанной в Уведомлении, при условии, что Страхователь заявляет их на страхование не позднее, чем через пять рабочих дней после этой даты (в иных случаях – с даты получения Уведомления Страховщиком) и до даты окончания срока действия Договора. </w:t>
      </w:r>
    </w:p>
    <w:p w14:paraId="3FD67259" w14:textId="77777777" w:rsidR="00A227EE" w:rsidRDefault="00A227EE" w:rsidP="00A227EE">
      <w:pPr>
        <w:ind w:firstLine="720"/>
        <w:jc w:val="both"/>
      </w:pPr>
      <w:r>
        <w:t>Страховое покрытие по лицам, указанным в Уведомлении об исключении из состава Застрахованных по Договору, прекращается с 00-00 часов даты, следующей за датой окончания периода страхования, указанной в Уведомлении, при условии, что Страхователь заявляет их на исключение не позднее, чем через пять рабочих дней после этой даты (в иных случаях – с даты получения Уведомления Страховщиком).</w:t>
      </w:r>
    </w:p>
    <w:p w14:paraId="20EDA304" w14:textId="77777777" w:rsidR="00A227EE" w:rsidRDefault="00A227EE" w:rsidP="00A227EE">
      <w:pPr>
        <w:jc w:val="both"/>
      </w:pPr>
      <w:r>
        <w:rPr>
          <w:b/>
          <w:bCs/>
        </w:rPr>
        <w:t>4.2.2.</w:t>
      </w:r>
      <w:r>
        <w:t xml:space="preserve"> Оформление всех изменений в отношении состава Застрахованных производится путем подписания дополнительного соглашения к настоящему Договору не более одного раза в месяц с соответствующим перерасчетом страховой премии. </w:t>
      </w:r>
    </w:p>
    <w:p w14:paraId="57938C65" w14:textId="77777777" w:rsidR="00A227EE" w:rsidRDefault="00A227EE" w:rsidP="00A227EE">
      <w:pPr>
        <w:pStyle w:val="2"/>
        <w:keepNext w:val="0"/>
        <w:spacing w:before="0" w:after="0"/>
        <w:ind w:firstLine="72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При увеличении числа Застрахованных дополнительная страховая премия рассчитывается исходя из индивидуальных годовых страховых премий пропорционально предстоящему сроку страхования в месяцах (при этом неполный месяц страхования считается за полный). Оплата дополнительной страховой премии   производится после подписания дополнительного соглашения в течение 10 дней с даты выставления счета Страховщиком.</w:t>
      </w:r>
    </w:p>
    <w:p w14:paraId="527DE485" w14:textId="77777777" w:rsidR="00A227EE" w:rsidRDefault="00A227EE" w:rsidP="00A227EE">
      <w:pPr>
        <w:pStyle w:val="2"/>
        <w:keepNext w:val="0"/>
        <w:spacing w:before="0" w:after="0"/>
        <w:ind w:firstLine="72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При уменьшении числа Застрахованных Страховщик возвращает Страхователю сумму премии, рассчитанную исходя из индивидуальных страховых премий, пропорционально не истекшему сроку страхования (учитывается количество полных месяцев).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При уменьшении числа Застрахованных более чем на 30% от общего числа Застрахованных на начало действия настоящего Договора Страховщик осуществляет расчет части страховой премии, подлежащей возврату Страхователю, в соответствии с п. 9.3 Правил. 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Возврат страховых премий производится после подписания дополнительного соглашения в течение 10 дней с даты получения Страховщиком письма с реквизитами для перечисления. По желанию Страхователя сумма возврата может быть учтена в счет оплаты страховой премии за вновь Застрахованных.</w:t>
      </w:r>
    </w:p>
    <w:p w14:paraId="42B49663" w14:textId="77777777" w:rsidR="00A227EE" w:rsidRDefault="00A227EE" w:rsidP="00A227EE">
      <w:pPr>
        <w:pStyle w:val="2"/>
        <w:keepNext w:val="0"/>
        <w:spacing w:before="0" w:after="0"/>
        <w:ind w:firstLine="72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Размер страховой премии, подлежащей доплате Страховщику, или возврату Страхователю, определяется взаимозачетом страховой премии по дополнительно включенным и исключенным Застрахованным.</w:t>
      </w:r>
    </w:p>
    <w:p w14:paraId="24FA262A" w14:textId="77777777" w:rsidR="00A227EE" w:rsidRDefault="00A227EE" w:rsidP="00A227EE">
      <w:pPr>
        <w:jc w:val="both"/>
      </w:pPr>
      <w:r>
        <w:rPr>
          <w:b/>
          <w:bCs/>
        </w:rPr>
        <w:t>4.2.3.</w:t>
      </w:r>
      <w:r>
        <w:tab/>
        <w:t>Стороны вправе договориться и об иных изменениях Договора. Любые изменения оформляются в письменном виде.</w:t>
      </w:r>
    </w:p>
    <w:p w14:paraId="2B96D6B3" w14:textId="77777777" w:rsidR="00A227EE" w:rsidRDefault="00A227EE" w:rsidP="00A227EE">
      <w:pPr>
        <w:jc w:val="both"/>
      </w:pPr>
      <w:r>
        <w:rPr>
          <w:b/>
          <w:bCs/>
        </w:rPr>
        <w:t>4.3.</w:t>
      </w:r>
      <w:r>
        <w:tab/>
        <w:t xml:space="preserve">Договор досрочно прекращается в отношении Застрахованного в день его смерти, а также при исполнении Страховщиком обязательств в отношении Застрахованного в полном объеме. </w:t>
      </w:r>
    </w:p>
    <w:p w14:paraId="54B768C4" w14:textId="77777777" w:rsidR="00A227EE" w:rsidRDefault="00A227EE" w:rsidP="00A227EE">
      <w:pPr>
        <w:jc w:val="both"/>
      </w:pPr>
      <w:r>
        <w:rPr>
          <w:b/>
          <w:bCs/>
        </w:rPr>
        <w:t>4.4.</w:t>
      </w:r>
      <w:r>
        <w:rPr>
          <w:b/>
          <w:bCs/>
        </w:rPr>
        <w:tab/>
      </w:r>
      <w:r>
        <w:t>Страхователь вправе отказаться от Договора, о чем он должен письменно уведомить Страховщика. В этом случае Страховщик возвращает Страхователю часть страховой премии в соответствии с п. 9.3 Правил.</w:t>
      </w:r>
    </w:p>
    <w:p w14:paraId="1B3B1BF2" w14:textId="77777777" w:rsidR="00A227EE" w:rsidRDefault="00A227EE" w:rsidP="00A227EE">
      <w:pPr>
        <w:jc w:val="both"/>
      </w:pPr>
      <w:r>
        <w:rPr>
          <w:b/>
        </w:rPr>
        <w:t>4.5.</w:t>
      </w:r>
      <w:r>
        <w:tab/>
        <w:t xml:space="preserve">При уплате страховой премии в рассрочку неуплата Страхователем всей суммы очередного </w:t>
      </w:r>
      <w:r>
        <w:lastRenderedPageBreak/>
        <w:t xml:space="preserve">страхового взноса в установленный договором срок его уплаты означает для Сторон Договора страхования выраженное Страхователем волеизъявление об отказе от Договора страхования с 00 часов 00 минут дня, следующего за днем окончания установленного договором срока уплаты очередного страхового взноса, который не был уплачен в указанный срок. Руководствуясь п. 1 ст. 452 ГК РФ, Стороны договорились, что отдельное соглашение о расторжении Договора страхования в данном случае сторонами не составляется.  </w:t>
      </w:r>
    </w:p>
    <w:p w14:paraId="45ABC63D" w14:textId="77777777" w:rsidR="00A227EE" w:rsidRDefault="00A227EE" w:rsidP="00A227EE">
      <w:pPr>
        <w:jc w:val="both"/>
      </w:pPr>
    </w:p>
    <w:p w14:paraId="69E0FC42" w14:textId="77777777" w:rsidR="00A227EE" w:rsidRDefault="00A227EE" w:rsidP="00A227EE">
      <w:pPr>
        <w:widowControl/>
        <w:numPr>
          <w:ilvl w:val="0"/>
          <w:numId w:val="2"/>
        </w:numPr>
        <w:autoSpaceDE/>
        <w:ind w:left="0"/>
        <w:jc w:val="center"/>
        <w:rPr>
          <w:b/>
        </w:rPr>
      </w:pPr>
      <w:r>
        <w:rPr>
          <w:b/>
        </w:rPr>
        <w:t>ПОРЯДОК РАЗРЕШЕНИЯ СПОРОВ</w:t>
      </w:r>
    </w:p>
    <w:p w14:paraId="773A519B" w14:textId="77777777" w:rsidR="00A227EE" w:rsidRDefault="00A227EE" w:rsidP="00A227EE">
      <w:pPr>
        <w:widowControl/>
        <w:autoSpaceDE/>
        <w:jc w:val="both"/>
      </w:pPr>
      <w:r>
        <w:rPr>
          <w:b/>
        </w:rPr>
        <w:t>5.1.</w:t>
      </w:r>
      <w:r>
        <w:tab/>
        <w:t>Все споры, возникающие между Сторонами по настоящему Договору в процессе его выполнения, при не достижении взаимного согласия по их урегулированию, разрешаются в соответствии с действующим законодательством РФ.</w:t>
      </w:r>
    </w:p>
    <w:p w14:paraId="13599B27" w14:textId="77777777" w:rsidR="00A227EE" w:rsidRDefault="00A227EE" w:rsidP="00A227EE">
      <w:pPr>
        <w:widowControl/>
        <w:autoSpaceDE/>
        <w:jc w:val="both"/>
      </w:pPr>
      <w:r>
        <w:rPr>
          <w:b/>
        </w:rPr>
        <w:t>5.2.</w:t>
      </w:r>
      <w:r>
        <w:t xml:space="preserve"> </w:t>
      </w:r>
      <w:r>
        <w:tab/>
        <w:t xml:space="preserve">За невыполнение и ненадлежащее исполнение обязательств по настоящему Договору Стороны несут ответственность в соответствии с действующим законодательством РФ и с учетом условий настоящего Договора. </w:t>
      </w:r>
    </w:p>
    <w:p w14:paraId="6FA1D3BF" w14:textId="77777777" w:rsidR="00A227EE" w:rsidRDefault="00A227EE" w:rsidP="00A227EE">
      <w:pPr>
        <w:jc w:val="both"/>
        <w:rPr>
          <w:b/>
          <w:bCs/>
          <w:i/>
          <w:iCs/>
          <w:caps/>
        </w:rPr>
      </w:pPr>
    </w:p>
    <w:p w14:paraId="2E454983" w14:textId="77777777" w:rsidR="00A227EE" w:rsidRDefault="00A227EE" w:rsidP="00A227EE">
      <w:pPr>
        <w:jc w:val="both"/>
        <w:rPr>
          <w:b/>
          <w:bCs/>
        </w:rPr>
      </w:pPr>
      <w:r>
        <w:rPr>
          <w:b/>
          <w:bCs/>
          <w:i/>
          <w:iCs/>
          <w:caps/>
        </w:rPr>
        <w:t>ПриложениЯ</w:t>
      </w:r>
      <w:r>
        <w:rPr>
          <w:b/>
          <w:bCs/>
          <w:i/>
          <w:iCs/>
        </w:rPr>
        <w:t>:</w:t>
      </w:r>
      <w:r>
        <w:t xml:space="preserve"> </w:t>
      </w:r>
      <w:r>
        <w:rPr>
          <w:b/>
          <w:bCs/>
        </w:rPr>
        <w:tab/>
      </w:r>
    </w:p>
    <w:p w14:paraId="3321FBA2" w14:textId="77777777" w:rsidR="00A227EE" w:rsidRDefault="00A227EE" w:rsidP="00A227EE">
      <w:pPr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Правила добровольного страхования граждан от несчастных случаев.</w:t>
      </w:r>
    </w:p>
    <w:p w14:paraId="39BF55E9" w14:textId="77777777" w:rsidR="00A227EE" w:rsidRDefault="00A227EE" w:rsidP="00A227EE">
      <w:pPr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Список Застрахованных лиц на 1 л.</w:t>
      </w:r>
    </w:p>
    <w:p w14:paraId="7C4FA03C" w14:textId="77777777" w:rsidR="00A227EE" w:rsidRDefault="00A227EE" w:rsidP="00A227EE">
      <w:pPr>
        <w:jc w:val="both"/>
        <w:rPr>
          <w:b/>
          <w:bCs/>
        </w:rPr>
      </w:pPr>
    </w:p>
    <w:p w14:paraId="15C320C6" w14:textId="77777777" w:rsidR="00A227EE" w:rsidRDefault="00A227EE" w:rsidP="00A227EE">
      <w:pPr>
        <w:jc w:val="center"/>
        <w:rPr>
          <w:b/>
        </w:rPr>
      </w:pPr>
    </w:p>
    <w:p w14:paraId="79CD12E2" w14:textId="77777777" w:rsidR="00A227EE" w:rsidRDefault="00A227EE" w:rsidP="00A227EE">
      <w:pPr>
        <w:jc w:val="center"/>
        <w:rPr>
          <w:b/>
        </w:rPr>
      </w:pPr>
      <w:r>
        <w:rPr>
          <w:b/>
        </w:rPr>
        <w:t>АДРЕСА И РЕКВИЗИТЫ СТОРОН</w:t>
      </w:r>
    </w:p>
    <w:p w14:paraId="4B5A68D4" w14:textId="77777777" w:rsidR="00A227EE" w:rsidRDefault="00A227EE" w:rsidP="00A227EE">
      <w:pPr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78"/>
      </w:tblGrid>
      <w:tr w:rsidR="00A227EE" w14:paraId="3BBF1403" w14:textId="77777777" w:rsidTr="00A227EE">
        <w:tc>
          <w:tcPr>
            <w:tcW w:w="5173" w:type="dxa"/>
          </w:tcPr>
          <w:p w14:paraId="66746940" w14:textId="77777777" w:rsidR="00A227EE" w:rsidRDefault="00A227EE">
            <w:pPr>
              <w:jc w:val="both"/>
              <w:rPr>
                <w:b/>
                <w:caps/>
              </w:rPr>
            </w:pPr>
          </w:p>
          <w:p w14:paraId="1AF6AD18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Страховщик:</w:t>
            </w:r>
          </w:p>
          <w:p w14:paraId="045B3A54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3AD95C5E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3FB9504D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434A5EC2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17220894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0FAFCFEA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66C7F5AF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202924D3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65767BDB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0D7A6C29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2C940E14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46ECDD0C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07E8EFA7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0E3E886D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10047E44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176CA0D1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D62288D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79BA6CA8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7FE75526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68BA9733" w14:textId="77777777" w:rsidR="00A227EE" w:rsidRDefault="00A227EE">
            <w:pPr>
              <w:pStyle w:val="a4"/>
              <w:rPr>
                <w:sz w:val="20"/>
                <w:szCs w:val="20"/>
              </w:rPr>
            </w:pPr>
          </w:p>
          <w:p w14:paraId="59477E3B" w14:textId="77777777" w:rsidR="00A227EE" w:rsidRDefault="00A227EE">
            <w:pPr>
              <w:pStyle w:val="11"/>
            </w:pPr>
          </w:p>
          <w:p w14:paraId="26C27D32" w14:textId="77777777" w:rsidR="00A227EE" w:rsidRDefault="00A227EE">
            <w:pPr>
              <w:pStyle w:val="11"/>
            </w:pPr>
          </w:p>
          <w:p w14:paraId="0E499FE3" w14:textId="77777777" w:rsidR="00A227EE" w:rsidRDefault="00A227EE">
            <w:pPr>
              <w:pStyle w:val="11"/>
            </w:pPr>
          </w:p>
          <w:p w14:paraId="39878E33" w14:textId="77777777" w:rsidR="00A227EE" w:rsidRDefault="00A227EE">
            <w:pPr>
              <w:pStyle w:val="11"/>
              <w:rPr>
                <w:b/>
              </w:rPr>
            </w:pPr>
            <w:r>
              <w:t>________________/_______________</w:t>
            </w:r>
            <w:r>
              <w:rPr>
                <w:b/>
              </w:rPr>
              <w:t>/</w:t>
            </w:r>
          </w:p>
          <w:p w14:paraId="2066FFFD" w14:textId="77777777" w:rsidR="00A227EE" w:rsidRDefault="00A227EE">
            <w:pPr>
              <w:pStyle w:val="11"/>
            </w:pPr>
            <w:r>
              <w:t>м.п.</w:t>
            </w:r>
          </w:p>
        </w:tc>
        <w:tc>
          <w:tcPr>
            <w:tcW w:w="4678" w:type="dxa"/>
          </w:tcPr>
          <w:p w14:paraId="2A774F00" w14:textId="77777777" w:rsidR="00A227EE" w:rsidRDefault="00A227EE"/>
          <w:p w14:paraId="3E1E6E6B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5" w:type="dxa"/>
              <w:tblLayout w:type="fixed"/>
              <w:tblLook w:val="04A0" w:firstRow="1" w:lastRow="0" w:firstColumn="1" w:lastColumn="0" w:noHBand="0" w:noVBand="1"/>
            </w:tblPr>
            <w:tblGrid>
              <w:gridCol w:w="4605"/>
            </w:tblGrid>
            <w:tr w:rsidR="00A227EE" w14:paraId="6A780038" w14:textId="77777777">
              <w:trPr>
                <w:trHeight w:val="414"/>
              </w:trPr>
              <w:tc>
                <w:tcPr>
                  <w:tcW w:w="4601" w:type="dxa"/>
                </w:tcPr>
                <w:p w14:paraId="307EDA49" w14:textId="77777777" w:rsidR="00A227EE" w:rsidRDefault="00A227EE">
                  <w:pPr>
                    <w:keepNext/>
                    <w:jc w:val="both"/>
                    <w:rPr>
                      <w:b/>
                      <w:bCs/>
                    </w:rPr>
                  </w:pPr>
                  <w:bookmarkStart w:id="0" w:name="Страхователь_реквизиты"/>
                  <w:r>
                    <w:rPr>
                      <w:b/>
                      <w:bCs/>
                    </w:rPr>
                    <w:t>ФГБУ «Государственный заповедник «Курильский»</w:t>
                  </w:r>
                </w:p>
                <w:p w14:paraId="0D88ED14" w14:textId="77777777" w:rsidR="00A227EE" w:rsidRDefault="00A227EE">
                  <w:pPr>
                    <w:keepNext/>
                    <w:jc w:val="both"/>
                  </w:pPr>
                  <w:r>
                    <w:t>Место нахождения: 694500, Сахалинская область, пгт. Южно-Курильск, ул.Заречная, 5</w:t>
                  </w:r>
                </w:p>
                <w:p w14:paraId="58FBC17A" w14:textId="77777777" w:rsidR="00A227EE" w:rsidRDefault="00A227EE">
                  <w:pPr>
                    <w:keepNext/>
                    <w:jc w:val="both"/>
                  </w:pPr>
                  <w:r>
                    <w:t xml:space="preserve">тел./факс +7 (42455) 21586, 21502. </w:t>
                  </w:r>
                </w:p>
                <w:p w14:paraId="4D3A3B6A" w14:textId="77777777" w:rsidR="00A227EE" w:rsidRDefault="00A227EE">
                  <w:pPr>
                    <w:keepNext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E-mail: </w:t>
                  </w:r>
                  <w:hyperlink r:id="rId6" w:history="1">
                    <w:r>
                      <w:rPr>
                        <w:rStyle w:val="a3"/>
                        <w:lang w:val="en-US"/>
                      </w:rPr>
                      <w:t>kurilskiy@mail.ru</w:t>
                    </w:r>
                  </w:hyperlink>
                  <w:r>
                    <w:rPr>
                      <w:lang w:val="en-US"/>
                    </w:rPr>
                    <w:t xml:space="preserve"> </w:t>
                  </w:r>
                </w:p>
                <w:p w14:paraId="4E062008" w14:textId="77777777" w:rsidR="00A227EE" w:rsidRDefault="00A227EE">
                  <w:pPr>
                    <w:keepNext/>
                    <w:jc w:val="both"/>
                    <w:rPr>
                      <w:lang w:val="en-US"/>
                    </w:rPr>
                  </w:pPr>
                </w:p>
                <w:p w14:paraId="5C07BA88" w14:textId="77777777" w:rsidR="00A227EE" w:rsidRDefault="00A227EE">
                  <w:pPr>
                    <w:rPr>
                      <w:lang w:val="en-US"/>
                    </w:rPr>
                  </w:pPr>
                  <w:r>
                    <w:t>ОГРН</w:t>
                  </w:r>
                  <w:r>
                    <w:rPr>
                      <w:lang w:val="en-US"/>
                    </w:rPr>
                    <w:t xml:space="preserve"> 1026501202771 </w:t>
                  </w:r>
                </w:p>
                <w:p w14:paraId="2F8BD544" w14:textId="77777777" w:rsidR="00A227EE" w:rsidRDefault="00A227EE">
                  <w:r>
                    <w:t>ИНН/КПП 6518002150/651801001</w:t>
                  </w:r>
                </w:p>
                <w:p w14:paraId="22814DB9" w14:textId="77777777" w:rsidR="00A227EE" w:rsidRDefault="00A227EE">
                  <w:r>
                    <w:t>УФК по приморскому краю (ФГБУ «Государственный заповедник «Курильский» л/сч 20616У52850)</w:t>
                  </w:r>
                </w:p>
                <w:p w14:paraId="558F78A3" w14:textId="77777777" w:rsidR="00A227EE" w:rsidRDefault="00A227EE">
                  <w:r>
                    <w:t>Р/сч 03214643000000012004</w:t>
                  </w:r>
                </w:p>
                <w:p w14:paraId="7C13FB86" w14:textId="77777777" w:rsidR="00A227EE" w:rsidRDefault="00A227EE">
                  <w:r>
                    <w:t>Счет банка (корсчет) 40102810545370000012</w:t>
                  </w:r>
                </w:p>
                <w:p w14:paraId="25A53C9E" w14:textId="77777777" w:rsidR="00A227EE" w:rsidRDefault="00A227EE">
                  <w:r>
                    <w:t>Банк получателя: ОКЦ № 1 ДГУ Банка России//УФК по Приморскому краю, г. Владивосток/010507002</w:t>
                  </w:r>
                </w:p>
                <w:p w14:paraId="4F133378" w14:textId="77777777" w:rsidR="00A227EE" w:rsidRDefault="00A227EE">
                  <w:r>
                    <w:t>БИК 010507002</w:t>
                  </w:r>
                  <w:r>
                    <w:br/>
                    <w:t>ОКТМО 64556000</w:t>
                  </w:r>
                </w:p>
                <w:p w14:paraId="2EAA53AB" w14:textId="77777777" w:rsidR="00A227EE" w:rsidRDefault="00A227EE">
                  <w:r>
                    <w:br/>
                  </w:r>
                </w:p>
                <w:p w14:paraId="57588F20" w14:textId="77777777" w:rsidR="00A227EE" w:rsidRDefault="00A227EE">
                  <w:r>
                    <w:t>Директор</w:t>
                  </w:r>
                </w:p>
                <w:p w14:paraId="7B77ADD1" w14:textId="77777777" w:rsidR="00A227EE" w:rsidRDefault="00A227EE"/>
                <w:p w14:paraId="39541A0C" w14:textId="77777777" w:rsidR="00A227EE" w:rsidRDefault="00A227EE">
                  <w:pPr>
                    <w:rPr>
                      <w:b/>
                    </w:rPr>
                  </w:pPr>
                  <w:r>
                    <w:t>_______________/</w:t>
                  </w:r>
                  <w:bookmarkEnd w:id="0"/>
                  <w:r>
                    <w:t>А.А. Кислейко /</w:t>
                  </w:r>
                </w:p>
              </w:tc>
            </w:tr>
            <w:tr w:rsidR="00A227EE" w14:paraId="74124BB5" w14:textId="77777777">
              <w:trPr>
                <w:trHeight w:val="161"/>
              </w:trPr>
              <w:tc>
                <w:tcPr>
                  <w:tcW w:w="4601" w:type="dxa"/>
                </w:tcPr>
                <w:p w14:paraId="18AD5796" w14:textId="77777777" w:rsidR="00A227EE" w:rsidRDefault="00A227EE">
                  <w:pPr>
                    <w:pStyle w:val="11"/>
                  </w:pPr>
                  <w:r>
                    <w:t>м.п.</w:t>
                  </w:r>
                </w:p>
                <w:p w14:paraId="4D05D6E7" w14:textId="77777777" w:rsidR="00A227EE" w:rsidRDefault="00A227EE">
                  <w:pPr>
                    <w:jc w:val="both"/>
                  </w:pPr>
                </w:p>
              </w:tc>
            </w:tr>
            <w:tr w:rsidR="00A227EE" w14:paraId="06262E3D" w14:textId="77777777">
              <w:trPr>
                <w:trHeight w:val="172"/>
              </w:trPr>
              <w:tc>
                <w:tcPr>
                  <w:tcW w:w="4601" w:type="dxa"/>
                </w:tcPr>
                <w:p w14:paraId="7CEF5F41" w14:textId="77777777" w:rsidR="00A227EE" w:rsidRDefault="00A227EE">
                  <w:pPr>
                    <w:jc w:val="both"/>
                  </w:pPr>
                </w:p>
              </w:tc>
            </w:tr>
            <w:tr w:rsidR="00A227EE" w14:paraId="047308F6" w14:textId="77777777">
              <w:trPr>
                <w:trHeight w:val="323"/>
              </w:trPr>
              <w:tc>
                <w:tcPr>
                  <w:tcW w:w="4601" w:type="dxa"/>
                </w:tcPr>
                <w:p w14:paraId="01C883C0" w14:textId="77777777" w:rsidR="00A227EE" w:rsidRDefault="00A227EE">
                  <w:pPr>
                    <w:jc w:val="both"/>
                  </w:pPr>
                </w:p>
              </w:tc>
            </w:tr>
          </w:tbl>
          <w:p w14:paraId="4C2B7F4A" w14:textId="77777777" w:rsidR="00A227EE" w:rsidRDefault="00A227EE">
            <w:pPr>
              <w:jc w:val="both"/>
              <w:rPr>
                <w:b/>
              </w:rPr>
            </w:pPr>
          </w:p>
        </w:tc>
      </w:tr>
    </w:tbl>
    <w:p w14:paraId="2C6F955A" w14:textId="77777777" w:rsidR="00A227EE" w:rsidRDefault="00A227EE" w:rsidP="00A227EE">
      <w:pPr>
        <w:jc w:val="center"/>
        <w:rPr>
          <w:b/>
        </w:rPr>
      </w:pPr>
    </w:p>
    <w:p w14:paraId="4FC16480" w14:textId="77777777" w:rsidR="00A227EE" w:rsidRDefault="00A227EE" w:rsidP="00A227EE">
      <w:pPr>
        <w:jc w:val="center"/>
        <w:rPr>
          <w:b/>
        </w:rPr>
      </w:pPr>
    </w:p>
    <w:p w14:paraId="4939754A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  <w:color w:val="000000"/>
        </w:rPr>
        <w:br w:type="page"/>
      </w:r>
      <w:r>
        <w:rPr>
          <w:rFonts w:ascii="Times New Roman" w:hAnsi="Times New Roman" w:cs="Times New Roman"/>
          <w:b/>
          <w:bCs/>
          <w:color w:val="000000"/>
        </w:rPr>
        <w:lastRenderedPageBreak/>
        <w:t>ПРИЛОЖЕНИЕ № 1</w:t>
      </w:r>
    </w:p>
    <w:p w14:paraId="3C557C36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к договору №__________  от ____________2026г. </w:t>
      </w:r>
    </w:p>
    <w:p w14:paraId="368B05C6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E6954D3" w14:textId="77777777" w:rsidR="00A227EE" w:rsidRDefault="00A227EE" w:rsidP="00A227EE">
      <w:pPr>
        <w:jc w:val="center"/>
        <w:rPr>
          <w:b/>
          <w:bCs/>
        </w:rPr>
      </w:pPr>
    </w:p>
    <w:p w14:paraId="79E7D899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Правила добровольного страхования граждан от несчастных случаев.</w:t>
      </w:r>
    </w:p>
    <w:p w14:paraId="4E6D5D64" w14:textId="77777777" w:rsidR="00A227EE" w:rsidRDefault="00A227EE" w:rsidP="00A227EE">
      <w:pPr>
        <w:jc w:val="center"/>
        <w:rPr>
          <w:b/>
          <w:bCs/>
        </w:rPr>
      </w:pPr>
    </w:p>
    <w:p w14:paraId="54A4B040" w14:textId="77777777" w:rsidR="00A227EE" w:rsidRDefault="00A227EE" w:rsidP="00A227EE">
      <w:pPr>
        <w:jc w:val="center"/>
        <w:rPr>
          <w:b/>
          <w:bCs/>
        </w:rPr>
      </w:pPr>
    </w:p>
    <w:p w14:paraId="4D0A68CE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(предоставляется Страховщиком)</w:t>
      </w:r>
    </w:p>
    <w:p w14:paraId="236393B5" w14:textId="77777777" w:rsidR="00A227EE" w:rsidRDefault="00A227EE" w:rsidP="00A227EE">
      <w:pPr>
        <w:jc w:val="center"/>
        <w:rPr>
          <w:b/>
          <w:bCs/>
        </w:rPr>
      </w:pPr>
    </w:p>
    <w:p w14:paraId="3E265DAC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78"/>
      </w:tblGrid>
      <w:tr w:rsidR="00A227EE" w14:paraId="42B41354" w14:textId="77777777" w:rsidTr="00A227EE">
        <w:tc>
          <w:tcPr>
            <w:tcW w:w="5173" w:type="dxa"/>
          </w:tcPr>
          <w:p w14:paraId="60E45DEF" w14:textId="77777777" w:rsidR="00A227EE" w:rsidRDefault="00A227EE">
            <w:pPr>
              <w:jc w:val="both"/>
              <w:rPr>
                <w:b/>
                <w:caps/>
              </w:rPr>
            </w:pPr>
          </w:p>
          <w:p w14:paraId="33F47A7C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Страховщик:</w:t>
            </w:r>
          </w:p>
          <w:p w14:paraId="450BA6A9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6B058366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4D8ED05F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7ADCB123" w14:textId="77777777" w:rsidR="00A227EE" w:rsidRDefault="00A227EE">
            <w:pPr>
              <w:pStyle w:val="11"/>
              <w:rPr>
                <w:b/>
              </w:rPr>
            </w:pPr>
            <w:r>
              <w:t>________________/_______________</w:t>
            </w:r>
            <w:r>
              <w:rPr>
                <w:b/>
              </w:rPr>
              <w:t>/</w:t>
            </w:r>
          </w:p>
          <w:p w14:paraId="7F8489BE" w14:textId="77777777" w:rsidR="00A227EE" w:rsidRDefault="00A227EE">
            <w:pPr>
              <w:pStyle w:val="11"/>
            </w:pPr>
            <w:r>
              <w:t>м.п.</w:t>
            </w:r>
          </w:p>
        </w:tc>
        <w:tc>
          <w:tcPr>
            <w:tcW w:w="4678" w:type="dxa"/>
          </w:tcPr>
          <w:p w14:paraId="1AA52BF2" w14:textId="77777777" w:rsidR="00A227EE" w:rsidRDefault="00A227EE"/>
          <w:p w14:paraId="4D93A85F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5" w:type="dxa"/>
              <w:tblLayout w:type="fixed"/>
              <w:tblLook w:val="04A0" w:firstRow="1" w:lastRow="0" w:firstColumn="1" w:lastColumn="0" w:noHBand="0" w:noVBand="1"/>
            </w:tblPr>
            <w:tblGrid>
              <w:gridCol w:w="4605"/>
            </w:tblGrid>
            <w:tr w:rsidR="00A227EE" w14:paraId="0D465922" w14:textId="77777777">
              <w:trPr>
                <w:trHeight w:val="414"/>
              </w:trPr>
              <w:tc>
                <w:tcPr>
                  <w:tcW w:w="4601" w:type="dxa"/>
                </w:tcPr>
                <w:p w14:paraId="34AF2CF6" w14:textId="77777777" w:rsidR="00A227EE" w:rsidRDefault="00A227EE"/>
                <w:p w14:paraId="3F5CBB26" w14:textId="77777777" w:rsidR="00A227EE" w:rsidRDefault="00A227EE">
                  <w:r>
                    <w:t>Директор</w:t>
                  </w:r>
                </w:p>
                <w:p w14:paraId="63847C37" w14:textId="77777777" w:rsidR="00A227EE" w:rsidRDefault="00A227EE"/>
                <w:p w14:paraId="6C9E3AE5" w14:textId="77777777" w:rsidR="00A227EE" w:rsidRDefault="00A227EE">
                  <w:pPr>
                    <w:rPr>
                      <w:b/>
                    </w:rPr>
                  </w:pPr>
                  <w:r>
                    <w:t>_______________/А.А. Кислейко /</w:t>
                  </w:r>
                </w:p>
              </w:tc>
            </w:tr>
            <w:tr w:rsidR="00A227EE" w14:paraId="5728FC93" w14:textId="77777777">
              <w:trPr>
                <w:trHeight w:val="161"/>
              </w:trPr>
              <w:tc>
                <w:tcPr>
                  <w:tcW w:w="4601" w:type="dxa"/>
                </w:tcPr>
                <w:p w14:paraId="5ED61D3B" w14:textId="77777777" w:rsidR="00A227EE" w:rsidRDefault="00A227EE">
                  <w:pPr>
                    <w:pStyle w:val="11"/>
                  </w:pPr>
                  <w:r>
                    <w:t>м.п.</w:t>
                  </w:r>
                </w:p>
                <w:p w14:paraId="572C3CE5" w14:textId="77777777" w:rsidR="00A227EE" w:rsidRDefault="00A227EE">
                  <w:pPr>
                    <w:jc w:val="both"/>
                  </w:pPr>
                </w:p>
              </w:tc>
            </w:tr>
            <w:tr w:rsidR="00A227EE" w14:paraId="5AB20610" w14:textId="77777777">
              <w:trPr>
                <w:trHeight w:val="172"/>
              </w:trPr>
              <w:tc>
                <w:tcPr>
                  <w:tcW w:w="4601" w:type="dxa"/>
                </w:tcPr>
                <w:p w14:paraId="5A6E7602" w14:textId="77777777" w:rsidR="00A227EE" w:rsidRDefault="00A227EE">
                  <w:pPr>
                    <w:jc w:val="both"/>
                  </w:pPr>
                </w:p>
              </w:tc>
            </w:tr>
            <w:tr w:rsidR="00A227EE" w14:paraId="53A87589" w14:textId="77777777">
              <w:trPr>
                <w:trHeight w:val="323"/>
              </w:trPr>
              <w:tc>
                <w:tcPr>
                  <w:tcW w:w="4601" w:type="dxa"/>
                </w:tcPr>
                <w:p w14:paraId="7A9F7DC2" w14:textId="77777777" w:rsidR="00A227EE" w:rsidRDefault="00A227EE">
                  <w:pPr>
                    <w:jc w:val="both"/>
                  </w:pPr>
                </w:p>
              </w:tc>
            </w:tr>
          </w:tbl>
          <w:p w14:paraId="00B1DE91" w14:textId="77777777" w:rsidR="00A227EE" w:rsidRDefault="00A227EE">
            <w:pPr>
              <w:jc w:val="both"/>
              <w:rPr>
                <w:b/>
              </w:rPr>
            </w:pPr>
          </w:p>
        </w:tc>
      </w:tr>
    </w:tbl>
    <w:p w14:paraId="11564F44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2BA92A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1057259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69007BBF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ПРИЛОЖЕНИЕ № 2</w:t>
      </w:r>
    </w:p>
    <w:p w14:paraId="52985029" w14:textId="77777777" w:rsidR="00A227EE" w:rsidRDefault="00A227EE" w:rsidP="00A227EE">
      <w:pPr>
        <w:pStyle w:val="ConsPlusNormal0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к договору №__________  от ____________2026г. </w:t>
      </w:r>
    </w:p>
    <w:p w14:paraId="384825D0" w14:textId="77777777" w:rsidR="00A227EE" w:rsidRDefault="00A227EE" w:rsidP="00A227EE">
      <w:pPr>
        <w:jc w:val="center"/>
        <w:rPr>
          <w:b/>
          <w:bCs/>
        </w:rPr>
      </w:pPr>
    </w:p>
    <w:p w14:paraId="42DF6C23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СПИСОК ЗАСТРАХОВАННЫХ ЛИЦ</w:t>
      </w:r>
    </w:p>
    <w:p w14:paraId="104450D0" w14:textId="77777777" w:rsidR="00A227EE" w:rsidRDefault="00A227EE" w:rsidP="00A227EE">
      <w:pPr>
        <w:rPr>
          <w:b/>
          <w:bCs/>
        </w:rPr>
      </w:pPr>
    </w:p>
    <w:p w14:paraId="27DCE3BA" w14:textId="77777777" w:rsidR="00A227EE" w:rsidRDefault="00A227EE" w:rsidP="00A227EE">
      <w:pPr>
        <w:jc w:val="center"/>
        <w:rPr>
          <w:b/>
          <w:bCs/>
        </w:rPr>
      </w:pPr>
      <w:r>
        <w:rPr>
          <w:b/>
          <w:bCs/>
        </w:rPr>
        <w:t>(Прилагается отдельным файлом)</w:t>
      </w:r>
    </w:p>
    <w:p w14:paraId="601917D5" w14:textId="77777777" w:rsidR="00A227EE" w:rsidRDefault="00A227EE" w:rsidP="00A227EE">
      <w:pPr>
        <w:jc w:val="center"/>
        <w:rPr>
          <w:b/>
          <w:bCs/>
        </w:rPr>
      </w:pPr>
    </w:p>
    <w:p w14:paraId="3DB4283C" w14:textId="77777777" w:rsidR="00A227EE" w:rsidRDefault="00A227EE" w:rsidP="00A227EE">
      <w:pPr>
        <w:jc w:val="center"/>
        <w:rPr>
          <w:b/>
          <w:bCs/>
        </w:rPr>
      </w:pPr>
    </w:p>
    <w:p w14:paraId="4378682E" w14:textId="77777777" w:rsidR="00A227EE" w:rsidRDefault="00A227EE" w:rsidP="00A227EE">
      <w:pPr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78"/>
      </w:tblGrid>
      <w:tr w:rsidR="00A227EE" w14:paraId="34E699CA" w14:textId="77777777" w:rsidTr="00A227EE">
        <w:tc>
          <w:tcPr>
            <w:tcW w:w="5173" w:type="dxa"/>
          </w:tcPr>
          <w:p w14:paraId="7D417324" w14:textId="77777777" w:rsidR="00A227EE" w:rsidRDefault="00A227EE">
            <w:pPr>
              <w:jc w:val="both"/>
              <w:rPr>
                <w:b/>
                <w:caps/>
              </w:rPr>
            </w:pPr>
          </w:p>
          <w:p w14:paraId="52EB2264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Страховщик:</w:t>
            </w:r>
          </w:p>
          <w:p w14:paraId="219328FA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2597BFB6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49A26822" w14:textId="77777777" w:rsidR="00A227EE" w:rsidRDefault="00A227EE">
            <w:pPr>
              <w:pStyle w:val="a4"/>
              <w:rPr>
                <w:b/>
                <w:sz w:val="20"/>
                <w:szCs w:val="20"/>
              </w:rPr>
            </w:pPr>
          </w:p>
          <w:p w14:paraId="7681B0F9" w14:textId="77777777" w:rsidR="00A227EE" w:rsidRDefault="00A227EE">
            <w:pPr>
              <w:pStyle w:val="11"/>
              <w:rPr>
                <w:b/>
              </w:rPr>
            </w:pPr>
            <w:r>
              <w:t>________________/_______________</w:t>
            </w:r>
            <w:r>
              <w:rPr>
                <w:b/>
              </w:rPr>
              <w:t>/</w:t>
            </w:r>
          </w:p>
          <w:p w14:paraId="686F2B61" w14:textId="77777777" w:rsidR="00A227EE" w:rsidRDefault="00A227EE">
            <w:pPr>
              <w:pStyle w:val="11"/>
            </w:pPr>
            <w:r>
              <w:t>м.п.</w:t>
            </w:r>
          </w:p>
        </w:tc>
        <w:tc>
          <w:tcPr>
            <w:tcW w:w="4678" w:type="dxa"/>
          </w:tcPr>
          <w:p w14:paraId="0BE009E0" w14:textId="77777777" w:rsidR="00A227EE" w:rsidRDefault="00A227EE"/>
          <w:p w14:paraId="2CE77D7D" w14:textId="77777777" w:rsidR="00A227EE" w:rsidRDefault="00A227E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5" w:type="dxa"/>
              <w:tblLayout w:type="fixed"/>
              <w:tblLook w:val="04A0" w:firstRow="1" w:lastRow="0" w:firstColumn="1" w:lastColumn="0" w:noHBand="0" w:noVBand="1"/>
            </w:tblPr>
            <w:tblGrid>
              <w:gridCol w:w="4605"/>
            </w:tblGrid>
            <w:tr w:rsidR="00A227EE" w14:paraId="5B358C43" w14:textId="77777777">
              <w:trPr>
                <w:trHeight w:val="414"/>
              </w:trPr>
              <w:tc>
                <w:tcPr>
                  <w:tcW w:w="4601" w:type="dxa"/>
                </w:tcPr>
                <w:p w14:paraId="47C5F735" w14:textId="77777777" w:rsidR="00A227EE" w:rsidRDefault="00A227EE"/>
                <w:p w14:paraId="10A97B15" w14:textId="77777777" w:rsidR="00A227EE" w:rsidRDefault="00A227EE">
                  <w:r>
                    <w:t>Директор</w:t>
                  </w:r>
                </w:p>
                <w:p w14:paraId="50E38B67" w14:textId="77777777" w:rsidR="00A227EE" w:rsidRDefault="00A227EE"/>
                <w:p w14:paraId="4467BFCA" w14:textId="77777777" w:rsidR="00A227EE" w:rsidRDefault="00A227EE">
                  <w:pPr>
                    <w:rPr>
                      <w:b/>
                    </w:rPr>
                  </w:pPr>
                  <w:r>
                    <w:t>_______________/А.А. Кислейко /</w:t>
                  </w:r>
                </w:p>
              </w:tc>
            </w:tr>
            <w:tr w:rsidR="00A227EE" w14:paraId="26E249E3" w14:textId="77777777">
              <w:trPr>
                <w:trHeight w:val="161"/>
              </w:trPr>
              <w:tc>
                <w:tcPr>
                  <w:tcW w:w="4601" w:type="dxa"/>
                </w:tcPr>
                <w:p w14:paraId="3052C50D" w14:textId="77777777" w:rsidR="00A227EE" w:rsidRDefault="00A227EE">
                  <w:pPr>
                    <w:pStyle w:val="11"/>
                  </w:pPr>
                  <w:r>
                    <w:t>м.п.</w:t>
                  </w:r>
                </w:p>
                <w:p w14:paraId="725E4DF9" w14:textId="77777777" w:rsidR="00A227EE" w:rsidRDefault="00A227EE">
                  <w:pPr>
                    <w:jc w:val="both"/>
                  </w:pPr>
                </w:p>
              </w:tc>
            </w:tr>
            <w:tr w:rsidR="00A227EE" w14:paraId="7AD224FA" w14:textId="77777777">
              <w:trPr>
                <w:trHeight w:val="172"/>
              </w:trPr>
              <w:tc>
                <w:tcPr>
                  <w:tcW w:w="4601" w:type="dxa"/>
                </w:tcPr>
                <w:p w14:paraId="523949D4" w14:textId="77777777" w:rsidR="00A227EE" w:rsidRDefault="00A227EE">
                  <w:pPr>
                    <w:jc w:val="both"/>
                  </w:pPr>
                </w:p>
              </w:tc>
            </w:tr>
            <w:tr w:rsidR="00A227EE" w14:paraId="66D09742" w14:textId="77777777">
              <w:trPr>
                <w:trHeight w:val="323"/>
              </w:trPr>
              <w:tc>
                <w:tcPr>
                  <w:tcW w:w="4601" w:type="dxa"/>
                </w:tcPr>
                <w:p w14:paraId="6AE1784A" w14:textId="77777777" w:rsidR="00A227EE" w:rsidRDefault="00A227EE">
                  <w:pPr>
                    <w:jc w:val="both"/>
                  </w:pPr>
                </w:p>
              </w:tc>
            </w:tr>
          </w:tbl>
          <w:p w14:paraId="6B4799DD" w14:textId="77777777" w:rsidR="00A227EE" w:rsidRDefault="00A227EE">
            <w:pPr>
              <w:jc w:val="both"/>
              <w:rPr>
                <w:b/>
              </w:rPr>
            </w:pPr>
          </w:p>
        </w:tc>
      </w:tr>
    </w:tbl>
    <w:p w14:paraId="0DA6A072" w14:textId="77777777" w:rsidR="00A227EE" w:rsidRDefault="00A227EE" w:rsidP="00A227EE"/>
    <w:p w14:paraId="72F635FE" w14:textId="77777777" w:rsidR="00AE718E" w:rsidRDefault="00AE718E"/>
    <w:sectPr w:rsidR="00A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C40"/>
    <w:multiLevelType w:val="hybridMultilevel"/>
    <w:tmpl w:val="02DE3B5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A15638"/>
    <w:multiLevelType w:val="singleLevel"/>
    <w:tmpl w:val="508691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B8"/>
    <w:rsid w:val="008123B8"/>
    <w:rsid w:val="00A227EE"/>
    <w:rsid w:val="00A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9F289-66AD-467D-879F-E2E8F90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27EE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27E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27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A227E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A2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3">
    <w:name w:val="Rule3"/>
    <w:basedOn w:val="a"/>
    <w:uiPriority w:val="99"/>
    <w:rsid w:val="00A227EE"/>
    <w:pPr>
      <w:spacing w:after="120"/>
      <w:ind w:firstLine="170"/>
      <w:jc w:val="both"/>
    </w:pPr>
    <w:rPr>
      <w:rFonts w:ascii="NewtonCTT" w:hAnsi="NewtonCTT" w:cs="NewtonCTT"/>
      <w:i/>
      <w:iCs/>
    </w:rPr>
  </w:style>
  <w:style w:type="paragraph" w:customStyle="1" w:styleId="11">
    <w:name w:val="???????1"/>
    <w:rsid w:val="00A2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227E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22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rsid w:val="00A227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lskiy@mail.ru" TargetMode="External"/><Relationship Id="rId5" Type="http://schemas.openxmlformats.org/officeDocument/2006/relationships/hyperlink" Target="mailto:Emshanova.Sahalin@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DFTH</dc:creator>
  <cp:keywords/>
  <dc:description/>
  <cp:lastModifiedBy>DFTH</cp:lastModifiedBy>
  <cp:revision>2</cp:revision>
  <dcterms:created xsi:type="dcterms:W3CDTF">2026-06-29T01:17:00Z</dcterms:created>
  <dcterms:modified xsi:type="dcterms:W3CDTF">2026-06-29T01:18:00Z</dcterms:modified>
</cp:coreProperties>
</file>