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25"/>
        <w:pBdr/>
        <w:spacing/>
        <w:ind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025"/>
        <w:pBdr/>
        <w:spacing/>
        <w:ind/>
        <w:jc w:val="center"/>
        <w:rPr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Контракт №</w:t>
      </w:r>
      <w:r>
        <w:rPr>
          <w:b/>
          <w:sz w:val="23"/>
          <w:szCs w:val="23"/>
        </w:rPr>
      </w:r>
    </w:p>
    <w:p>
      <w:pPr>
        <w:pStyle w:val="1025"/>
        <w:pBdr/>
        <w:spacing/>
        <w:ind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pStyle w:val="1029"/>
        <w:pBdr/>
        <w:spacing/>
        <w: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Хабаровск                                                                                                                               "     "             2026 г.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567"/>
        <w:jc w:val="both"/>
        <w:rPr>
          <w:bCs/>
          <w:iCs/>
          <w:spacing w:val="-6"/>
          <w:sz w:val="22"/>
          <w:szCs w:val="22"/>
        </w:rPr>
      </w:pPr>
      <w:r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 xml:space="preserve">"Заказчик",</w:t>
      </w:r>
      <w:r>
        <w:rPr>
          <w:sz w:val="22"/>
          <w:szCs w:val="22"/>
        </w:rPr>
        <w:t xml:space="preserve"> в лице ректора _____________________________, действующего на основании _________, с одной  стороны, и </w:t>
      </w:r>
      <w:r>
        <w:rPr>
          <w:b/>
          <w:sz w:val="22"/>
          <w:szCs w:val="22"/>
        </w:rPr>
        <w:t xml:space="preserve">_________________________________, </w:t>
      </w:r>
      <w:r>
        <w:rPr>
          <w:spacing w:val="6"/>
          <w:sz w:val="22"/>
          <w:szCs w:val="22"/>
        </w:rPr>
        <w:t xml:space="preserve">именуемое в </w:t>
      </w:r>
      <w:r>
        <w:rPr>
          <w:spacing w:val="3"/>
          <w:sz w:val="22"/>
          <w:szCs w:val="22"/>
        </w:rPr>
        <w:t xml:space="preserve">дальнейшем </w:t>
      </w:r>
      <w:r>
        <w:rPr>
          <w:b/>
          <w:spacing w:val="3"/>
          <w:sz w:val="22"/>
          <w:szCs w:val="22"/>
        </w:rPr>
        <w:t xml:space="preserve">«Поставщик</w:t>
      </w:r>
      <w:r>
        <w:rPr>
          <w:spacing w:val="3"/>
          <w:sz w:val="22"/>
          <w:szCs w:val="22"/>
        </w:rPr>
        <w:t xml:space="preserve">»</w:t>
      </w:r>
      <w:r>
        <w:rPr>
          <w:sz w:val="22"/>
          <w:szCs w:val="22"/>
        </w:rPr>
        <w:t xml:space="preserve">, в лице _____________________________, действующего на основании ___________, с другой стороны, здесь и далее именуемые "Стороны</w:t>
      </w:r>
      <w:r>
        <w:rPr>
          <w:rFonts w:eastAsia="Calibri"/>
          <w:sz w:val="22"/>
          <w:szCs w:val="22"/>
          <w:lang w:eastAsia="en-US"/>
        </w:rPr>
        <w:t xml:space="preserve">"</w:t>
      </w:r>
      <w:r>
        <w:rPr>
          <w:bCs/>
          <w:iCs/>
          <w:spacing w:val="-6"/>
          <w:sz w:val="22"/>
          <w:szCs w:val="22"/>
        </w:rPr>
        <w:t xml:space="preserve">, с соблюдением   требований Гражданского кодекса Российской Федерации, п. 5</w:t>
      </w:r>
      <w:r>
        <w:rPr>
          <w:bCs/>
          <w:iCs/>
          <w:spacing w:val="-6"/>
          <w:sz w:val="22"/>
          <w:szCs w:val="22"/>
        </w:rPr>
        <w:t xml:space="preserve"> ч.1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sz w:val="22"/>
          <w:szCs w:val="22"/>
        </w:rPr>
        <w:t xml:space="preserve">,</w:t>
      </w:r>
      <w:r>
        <w:rPr>
          <w:bCs/>
          <w:iCs/>
          <w:spacing w:val="-6"/>
          <w:sz w:val="22"/>
          <w:szCs w:val="22"/>
        </w:rPr>
        <w:t xml:space="preserve"> ИКЗ:</w:t>
      </w:r>
      <w:r>
        <w:rPr>
          <w:sz w:val="22"/>
          <w:szCs w:val="22"/>
        </w:rPr>
        <w:t xml:space="preserve"> </w:t>
      </w:r>
      <w:hyperlink r:id="rId10" w:tooltip="https://zakupki.gov.ru/epz/orderplan/pg2020/specialPurchase/special-purchase-info.html?plan-number=202603221000038001&amp;position-number=202603221000038001000006&amp;version=0" w:history="1">
        <w:r>
          <w:rPr>
            <w:rStyle w:val="998"/>
            <w:color w:val="000000"/>
            <w:sz w:val="22"/>
            <w:szCs w:val="22"/>
            <w:highlight w:val="white"/>
            <w:u w:val="none"/>
          </w:rPr>
          <w:t xml:space="preserve">261272102089627210100100170000000000</w:t>
        </w:r>
      </w:hyperlink>
      <w:r>
        <w:rPr>
          <w:sz w:val="22"/>
          <w:szCs w:val="22"/>
        </w:rPr>
        <w:t xml:space="preserve">,</w:t>
      </w:r>
      <w:r>
        <w:rPr>
          <w:bCs/>
          <w:iCs/>
          <w:spacing w:val="-6"/>
          <w:sz w:val="22"/>
          <w:szCs w:val="22"/>
        </w:rPr>
        <w:t xml:space="preserve"> заключили настоящий контракт (</w:t>
      </w:r>
      <w:r>
        <w:rPr>
          <w:bCs/>
          <w:iCs/>
          <w:spacing w:val="-6"/>
          <w:sz w:val="22"/>
          <w:szCs w:val="22"/>
        </w:rPr>
        <w:t xml:space="preserve">далее-Контракт</w:t>
      </w:r>
      <w:r>
        <w:rPr>
          <w:bCs/>
          <w:iCs/>
          <w:spacing w:val="-6"/>
          <w:sz w:val="22"/>
          <w:szCs w:val="22"/>
        </w:rPr>
        <w:t xml:space="preserve">) о нижеследующем:</w:t>
      </w:r>
      <w:r>
        <w:rPr>
          <w:bCs/>
          <w:iCs/>
          <w:spacing w:val="-6"/>
          <w:sz w:val="22"/>
          <w:szCs w:val="22"/>
        </w:rPr>
      </w:r>
    </w:p>
    <w:p>
      <w:pPr>
        <w:widowControl w:val="false"/>
        <w:pBdr/>
        <w:spacing w:before="120"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Предмет Контракта</w:t>
      </w:r>
      <w:r>
        <w:rPr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Поставщик обязуется в порядке и сроки, предусмотренные Контрактом, осуществить поставку </w:t>
      </w:r>
      <w:r>
        <w:rPr>
          <w:rFonts w:ascii="Times New Roman" w:hAnsi="Times New Roman"/>
          <w:sz w:val="22"/>
          <w:szCs w:val="22"/>
        </w:rPr>
        <w:t xml:space="preserve">медицинских изделий: медицинский расходный материал</w:t>
      </w:r>
      <w:r>
        <w:rPr>
          <w:rFonts w:ascii="Times New Roman" w:hAnsi="Times New Roman"/>
          <w:sz w:val="22"/>
          <w:szCs w:val="22"/>
        </w:rPr>
        <w:t xml:space="preserve"> (далее - Товар), в соответствии Спецификацией (</w:t>
      </w:r>
      <w:hyperlink w:tooltip="#P365" w:anchor="P365" w:history="1">
        <w:r>
          <w:rPr>
            <w:rFonts w:ascii="Times New Roman" w:hAnsi="Times New Roman"/>
            <w:sz w:val="22"/>
            <w:szCs w:val="22"/>
          </w:rPr>
          <w:t xml:space="preserve">приложение № 1</w:t>
        </w:r>
      </w:hyperlink>
      <w:r>
        <w:rPr>
          <w:rFonts w:ascii="Times New Roman" w:hAnsi="Times New Roman"/>
          <w:sz w:val="22"/>
          <w:szCs w:val="22"/>
        </w:rPr>
        <w:t xml:space="preserve"> к Контракту), а Заказчик обязуется в порядке и сроки, предусмотренные Контрактом, принять и оплатить поставленный Товар.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 Номенклатура Товара и его количество определяются Спецификацией (</w:t>
      </w:r>
      <w:hyperlink w:tooltip="#P365" w:anchor="P365" w:history="1">
        <w:r>
          <w:rPr>
            <w:rFonts w:ascii="Times New Roman" w:hAnsi="Times New Roman"/>
            <w:sz w:val="22"/>
            <w:szCs w:val="22"/>
          </w:rPr>
          <w:t xml:space="preserve">приложение № 1</w:t>
        </w:r>
      </w:hyperlink>
      <w:r>
        <w:rPr>
          <w:rFonts w:ascii="Times New Roman" w:hAnsi="Times New Roman"/>
          <w:sz w:val="22"/>
          <w:szCs w:val="22"/>
        </w:rPr>
        <w:t xml:space="preserve"> к Контракту) и Техническими характеристиками (</w:t>
      </w:r>
      <w:hyperlink w:tooltip="#P410" w:anchor="P410" w:history="1">
        <w:r>
          <w:rPr>
            <w:rFonts w:ascii="Times New Roman" w:hAnsi="Times New Roman"/>
            <w:sz w:val="22"/>
            <w:szCs w:val="22"/>
          </w:rPr>
          <w:t xml:space="preserve">приложение № 2</w:t>
        </w:r>
      </w:hyperlink>
      <w:r>
        <w:rPr>
          <w:rFonts w:ascii="Times New Roman" w:hAnsi="Times New Roman"/>
          <w:sz w:val="22"/>
          <w:szCs w:val="22"/>
        </w:rPr>
        <w:t xml:space="preserve"> к Контракту).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Поставка Товара осуществляется Поставщиком собственными силами с разгрузкой транспортного средства по адресу: </w:t>
      </w:r>
      <w:r>
        <w:rPr>
          <w:rFonts w:ascii="Times New Roman" w:hAnsi="Times New Roman"/>
          <w:sz w:val="22"/>
          <w:szCs w:val="22"/>
        </w:rPr>
        <w:t xml:space="preserve">г</w:t>
      </w:r>
      <w:r>
        <w:rPr>
          <w:rFonts w:ascii="Times New Roman" w:hAnsi="Times New Roman"/>
          <w:sz w:val="22"/>
          <w:szCs w:val="22"/>
        </w:rPr>
        <w:t xml:space="preserve">. Хабаровск, ул. Муравьева Амурского, 35, (далее – Место доставки) в соответствии с Отгрузочной разнарядкой (Планом распределения) (Приложение № 3 к Контракту) сроками и графиком поставки, указанными в Технических характеристиках (Приложение № 2).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Контракта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Цена Контракта составляет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__________________________________</w:t>
      </w:r>
      <w:r>
        <w:rPr>
          <w:rFonts w:ascii="Times New Roman" w:hAnsi="Times New Roman"/>
          <w:sz w:val="22"/>
          <w:szCs w:val="22"/>
        </w:rPr>
        <w:t xml:space="preserve">(________________________) </w:t>
      </w:r>
      <w:r>
        <w:rPr>
          <w:rFonts w:ascii="Times New Roman" w:hAnsi="Times New Roman"/>
          <w:sz w:val="22"/>
          <w:szCs w:val="22"/>
        </w:rPr>
        <w:t xml:space="preserve">рублей </w:t>
      </w:r>
      <w:r>
        <w:rPr>
          <w:rFonts w:ascii="Times New Roman" w:hAnsi="Times New Roman"/>
          <w:b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 копеек, в том числе НДС - _________________ / либо НДС – не облагается</w:t>
      </w:r>
      <w:r>
        <w:rPr>
          <w:rFonts w:ascii="Times New Roman" w:hAnsi="Times New Roman"/>
          <w:b/>
          <w:sz w:val="22"/>
          <w:szCs w:val="22"/>
        </w:rPr>
        <w:t xml:space="preserve">.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Цена Контракта и валюта платежа устанавливаются в российских рублях.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Цена Контракта включает в себя стоимость Товара</w:t>
      </w:r>
      <w:r>
        <w:rPr>
          <w:rFonts w:ascii="Times New Roman" w:hAnsi="Times New Roman"/>
          <w:sz w:val="22"/>
          <w:szCs w:val="22"/>
        </w:rPr>
        <w:t xml:space="preserve">, а также все расходы на транспортировку, страхование, уплату налогов, пошлин, сборов и других обязательных платежей, которые Поставщик должен оплатить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 Цена Контракта является твердой и определяется на весь срок его исполнения, за исключением случаев, предусмотренных </w:t>
      </w:r>
      <w:hyperlink w:tooltip="#P63" w:anchor="P63" w:history="1">
        <w:r>
          <w:rPr>
            <w:rFonts w:ascii="Times New Roman" w:hAnsi="Times New Roman"/>
            <w:sz w:val="22"/>
            <w:szCs w:val="22"/>
          </w:rPr>
          <w:t xml:space="preserve">пунктами 2.5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2.5. По соглашению Сторон цена Контракта может быть снижена </w:t>
      </w:r>
      <w:r>
        <w:rPr>
          <w:rFonts w:ascii="Times New Roman" w:hAnsi="Times New Roman"/>
          <w:sz w:val="22"/>
          <w:szCs w:val="22"/>
        </w:rPr>
        <w:t xml:space="preserve">без изменения,</w:t>
      </w:r>
      <w:r>
        <w:rPr>
          <w:rFonts w:ascii="Times New Roman" w:hAnsi="Times New Roman"/>
          <w:sz w:val="22"/>
          <w:szCs w:val="22"/>
        </w:rPr>
        <w:t xml:space="preserve"> предусмотренного Контрактом количества Товара и иных условий Контракта.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2.6. Источник финансирования-средства бюджетного учреждения.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contextualSpacing w:val="true"/>
        <w:jc w:val="center"/>
        <w:outlineLvl w:val="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3. Права и обязанности Сторон</w:t>
      </w:r>
      <w:r>
        <w:rPr>
          <w:rFonts w:ascii="Times New Roman" w:hAnsi="Times New Roman"/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3.1. Поставщик обязан: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3.1.2. представлять по требованию Заказчика информацию и документы, относящиеся к предмету Контракта;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3.1.3. незамедлительно информировать Заказчика обо всех обстоятельствах, препятствующих исполнению Контракта;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3.1.4. устранять своими силами и за свой счет допущенные недостатки при поставке Товара</w:t>
      </w:r>
      <w:bookmarkStart w:id="0" w:name="P73"/>
      <w:r/>
      <w:bookmarkStart w:id="1" w:name="P79"/>
      <w:r/>
      <w:bookmarkEnd w:id="0"/>
      <w:r/>
      <w:bookmarkEnd w:id="1"/>
      <w:r>
        <w:rPr>
          <w:color w:val="000000"/>
          <w:sz w:val="22"/>
          <w:szCs w:val="22"/>
        </w:rPr>
        <w:t xml:space="preserve">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3.1.5. </w:t>
      </w:r>
      <w:r>
        <w:rPr>
          <w:sz w:val="22"/>
          <w:szCs w:val="22"/>
        </w:rPr>
        <w:t xml:space="preserve">соответствовать требованиям </w:t>
      </w:r>
      <w:r>
        <w:rPr>
          <w:sz w:val="22"/>
          <w:szCs w:val="22"/>
        </w:rPr>
        <w:t xml:space="preserve">ч</w:t>
      </w:r>
      <w:r>
        <w:rPr>
          <w:sz w:val="22"/>
          <w:szCs w:val="22"/>
        </w:rPr>
        <w:t xml:space="preserve">.1 ст.31 </w:t>
      </w:r>
      <w:r>
        <w:rPr>
          <w:bCs/>
          <w:iCs/>
          <w:spacing w:val="-6"/>
          <w:sz w:val="22"/>
          <w:szCs w:val="22"/>
        </w:rPr>
        <w:t xml:space="preserve">Федерального закона</w:t>
      </w:r>
      <w:r>
        <w:rPr>
          <w:sz w:val="22"/>
          <w:szCs w:val="22"/>
        </w:rPr>
        <w:t xml:space="preserve"> №44-ФЗ.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3.2. Поставщик вправе: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3.2.1. требовать от Заказчика/ Получателя приемки поставленного Товара в Месте доставки;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3.2.2. требовать от Заказчика предоставления имеющейся у него информации, необходимой для исполнения обязательств по Контракту;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3.2.3. требовать от Заказчика своевременной оплаты поставленного Товара в порядке и на условиях, предусмотренных Контрактом.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3.3. Заказчик обязан: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3.3.2. своевременно принять и оплатить поставленный Товар.   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3.4. Заказчик вправе: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3.4.1. требовать от Поставщика надлежащего исполнения обязательств, предусмотренных Контрактом;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3.4.2. запрашивать у Поставщика информацию об исполнении им обязательств по Контракту;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3.4.3. 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3.4.4. осуществлять выборочную проверку качества поставляемого Товара, в том числе после приемки Товара;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3.4.5. требовать от Поставщика устранения недостатков, допущенных при исполнении Контракта, за его счет;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3.4.6. отказаться от приемки Товара, не соответствующего условиям Контракта, и потребовать безвозмездного устранения недостатков;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  <w:r>
        <w:rPr>
          <w:color w:val="000000"/>
          <w:sz w:val="22"/>
          <w:szCs w:val="22"/>
        </w:rPr>
      </w:r>
    </w:p>
    <w:p>
      <w:pPr>
        <w:pStyle w:val="1025"/>
        <w:pBdr/>
        <w:spacing/>
        <w:ind w:firstLine="54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Упаковка и маркировка. Условия транспортировки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Упаковка и маркировка Товара должны соответствовать требованиям законодательства Российской Федерации, международных контрактов и актов, составляющих право Евразийского экономического союза.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4.3. Вся упаковка должна иметь следующую маркировку: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Наименование Товара: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Контракт /счет № __________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Заказчик/Получатель: ФГБОУ ВО ДВГМУ Минздрава России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Поставщик:</w:t>
      </w:r>
      <w:r>
        <w:rPr>
          <w:rFonts w:ascii="Times New Roman" w:hAnsi="Times New Roman"/>
          <w:b/>
          <w:bCs/>
          <w:iCs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Пункт назначения: 680000, Хабаровский край, </w:t>
      </w:r>
      <w:r>
        <w:rPr>
          <w:rFonts w:ascii="Times New Roman" w:hAnsi="Times New Roman"/>
          <w:sz w:val="22"/>
          <w:szCs w:val="22"/>
        </w:rPr>
        <w:t xml:space="preserve">г</w:t>
      </w:r>
      <w:r>
        <w:rPr>
          <w:rFonts w:ascii="Times New Roman" w:hAnsi="Times New Roman"/>
          <w:sz w:val="22"/>
          <w:szCs w:val="22"/>
        </w:rPr>
        <w:t xml:space="preserve">. Хабаровск, ул. Муравьева Амурского, 35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Грузоотправитель: _________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Всего ящиков _______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 Каждый ящик должен сопровождать экземпляр упаковочного листа с описанием Товара, указанием количества Товара, указанием номера и даты Контракта/счета (далее - Упаковочный лист). Упаковочный ли</w:t>
      </w:r>
      <w:r>
        <w:rPr>
          <w:rFonts w:ascii="Times New Roman" w:hAnsi="Times New Roman"/>
          <w:sz w:val="22"/>
          <w:szCs w:val="22"/>
        </w:rPr>
        <w:t xml:space="preserve">ст с пр</w:t>
      </w:r>
      <w:r>
        <w:rPr>
          <w:rFonts w:ascii="Times New Roman" w:hAnsi="Times New Roman"/>
          <w:sz w:val="22"/>
          <w:szCs w:val="22"/>
        </w:rPr>
        <w:t xml:space="preserve">иложением документов, предусмотренных </w:t>
      </w:r>
      <w:hyperlink w:tooltip="#P130" w:anchor="P130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должен находиться внутри ящика.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4.5.</w:t>
      </w:r>
      <w:r>
        <w:rPr>
          <w:rFonts w:ascii="Times New Roman" w:hAnsi="Times New Roman"/>
          <w:sz w:val="22"/>
          <w:szCs w:val="22"/>
        </w:rPr>
        <w:t xml:space="preserve">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Товар.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Поставка Товара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Поставка Товара осуществляется Поставщиком </w:t>
      </w:r>
      <w:r>
        <w:rPr>
          <w:rFonts w:ascii="Times New Roman" w:hAnsi="Times New Roman"/>
          <w:sz w:val="22"/>
          <w:szCs w:val="22"/>
        </w:rPr>
        <w:t xml:space="preserve">в место доставки</w:t>
      </w:r>
      <w:r>
        <w:rPr>
          <w:rFonts w:ascii="Times New Roman" w:hAnsi="Times New Roman"/>
          <w:sz w:val="22"/>
          <w:szCs w:val="22"/>
        </w:rPr>
        <w:t xml:space="preserve"> в соответствии с Отгрузочной разнарядкой (Планом распределения) (приложение № 3 к Контракту), сроками и графиком поставки, указанными в Технических характеристиках (Приложение № 2).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за 3 (три) дня до осуществления поставки Товара в соответствии с Отгрузочной разнарядкой (Планом распределения) (приложение № 3 к Контракту) направляет в адрес Получателя уведомление о времени доставки Товара в Место доставки.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Фактической датой поставки считается дата подписания обеими сторонами товарной накладной или универсального передаточного документа, и подписание Заказчиком Акта приемки и проведения экспертизы товара (работ, услуг) собственными силами.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5.3. При поставке Товара Поставщик представляет следующие документы: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а) счет;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б) счет-фактуру (при наличии);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г) сводный реестр товарных накладных на поставку Товара (Приложение № 4 к Контракту) (при необходимости);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) копия действующих регистрационных удостоверений на товар.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5.4. Поставка Товара осуществляется в целых упаковках в соответствии с требованиями, действующими на территории Российской Федерации. 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Приемка Товара 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 и Техническим характеристикам (приложение № 2 к Контракту);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б) проверку полноты и правильности оформления комплекта документов, предусмотренных </w:t>
      </w:r>
      <w:hyperlink w:tooltip="#P130" w:anchor="P130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в) контроль </w:t>
      </w:r>
      <w:r>
        <w:rPr>
          <w:rFonts w:ascii="Times New Roman" w:hAnsi="Times New Roman"/>
          <w:sz w:val="22"/>
          <w:szCs w:val="22"/>
        </w:rPr>
        <w:t xml:space="preserve">наличия/отсутствия внешних повреждений упаковки Товара</w:t>
      </w:r>
      <w:r>
        <w:rPr>
          <w:rFonts w:ascii="Times New Roman" w:hAnsi="Times New Roman"/>
          <w:sz w:val="22"/>
          <w:szCs w:val="22"/>
        </w:rPr>
        <w:t xml:space="preserve">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г) проверку соблюдения температурного режима при хранении и транспортировке Товара.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 факту приемки Товара Поставщик и Заказчик/ Получатель подписывают </w:t>
      </w:r>
      <w:r>
        <w:rPr>
          <w:rFonts w:ascii="Times New Roman" w:hAnsi="Times New Roman"/>
          <w:color w:val="000000"/>
          <w:sz w:val="22"/>
          <w:szCs w:val="22"/>
        </w:rPr>
        <w:t xml:space="preserve">Акт приемки (ф. 0510452), предусмотренный приказом Минфина России от 15.04.2021 № 61н «Об утверждении унифициро</w:t>
      </w:r>
      <w:r>
        <w:rPr>
          <w:rFonts w:ascii="Times New Roman" w:hAnsi="Times New Roman"/>
          <w:color w:val="000000"/>
          <w:sz w:val="22"/>
          <w:szCs w:val="22"/>
        </w:rPr>
        <w:t xml:space="preserve">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</w:t>
      </w:r>
      <w:r>
        <w:rPr>
          <w:rFonts w:ascii="Times New Roman" w:hAnsi="Times New Roman"/>
          <w:color w:val="000000"/>
          <w:sz w:val="22"/>
          <w:szCs w:val="22"/>
        </w:rPr>
        <w:t xml:space="preserve"> При отсутствии Поставщика при пр</w:t>
      </w:r>
      <w:r>
        <w:rPr>
          <w:rFonts w:ascii="Times New Roman" w:hAnsi="Times New Roman"/>
          <w:color w:val="000000"/>
          <w:sz w:val="22"/>
          <w:szCs w:val="22"/>
        </w:rPr>
        <w:t xml:space="preserve">иемке поставленного товара, подписание Акта приёмки (ф. 0510452) исполнителем не предусмотрено. Акт приёмки (ф. 0510452) утверждается без поставщика, и в его адрес в целях подтверждения возникновения у принимающей стороны обязанности оплатить поставленный </w:t>
      </w:r>
      <w:r>
        <w:rPr>
          <w:rFonts w:ascii="Times New Roman" w:hAnsi="Times New Roman"/>
          <w:color w:val="000000"/>
          <w:sz w:val="22"/>
          <w:szCs w:val="22"/>
        </w:rPr>
        <w:t xml:space="preserve">товар направляется</w:t>
      </w:r>
      <w:r>
        <w:rPr>
          <w:rFonts w:ascii="Times New Roman" w:hAnsi="Times New Roman"/>
          <w:color w:val="000000"/>
          <w:sz w:val="22"/>
          <w:szCs w:val="22"/>
        </w:rPr>
        <w:t xml:space="preserve"> Акт приёмки (ф. 0510452) или его скан-копия.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Для проверки предоставленных Поставщиком результатов поставки, предусмотренных Контрактом, в части их с</w:t>
      </w:r>
      <w:r>
        <w:rPr>
          <w:rFonts w:ascii="Times New Roman" w:hAnsi="Times New Roman"/>
          <w:sz w:val="22"/>
          <w:szCs w:val="22"/>
        </w:rPr>
        <w:t xml:space="preserve">оответствия условиям Контракта, Заказчиком проводится экспертиза Товара, в порядке, установленном законодательством Российской Федерации. Экспертиза может проводиться силами Заказчика или к ее проведению могут привлекаться эксперты, экспертные организации.</w:t>
      </w:r>
      <w:bookmarkStart w:id="2" w:name="P148"/>
      <w:r/>
      <w:bookmarkEnd w:id="2"/>
      <w:r/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Заказчик в течение 10 (десяти) дней, со дня получения от Поставщика документов, предусмотренных </w:t>
      </w:r>
      <w:hyperlink w:tooltip="#P130" w:anchor="P130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направляет Поставщику подписанный </w:t>
      </w:r>
      <w:hyperlink r:id="rId11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или мотивированный отказ от подписания, в котором указываются недостатки и сроки их устранения. Поставщик обязан подписать </w:t>
      </w:r>
      <w:hyperlink r:id="rId12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в течение 10 (календарных) дней со дня получения от Заказчика.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После устранения недостатков, послуживших основанием для </w:t>
      </w:r>
      <w:r>
        <w:rPr>
          <w:rFonts w:ascii="Times New Roman" w:hAnsi="Times New Roman"/>
          <w:sz w:val="22"/>
          <w:szCs w:val="22"/>
        </w:rPr>
        <w:t xml:space="preserve">неподписания</w:t>
      </w:r>
      <w:r>
        <w:rPr>
          <w:rFonts w:ascii="Times New Roman" w:hAnsi="Times New Roman"/>
          <w:sz w:val="22"/>
          <w:szCs w:val="22"/>
        </w:rPr>
        <w:t xml:space="preserve"> </w:t>
      </w:r>
      <w:hyperlink r:id="rId13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/>
          <w:sz w:val="22"/>
          <w:szCs w:val="22"/>
        </w:rPr>
        <w:t xml:space="preserve">а приемки (ф. 0510452), Поставщик и Заказчик подписывают </w:t>
      </w:r>
      <w:hyperlink r:id="rId14" w:tooltip="https://login.consultant.ru/link/?req=doc&amp;base=RZB&amp;n=465243&amp;dst=1668" w:history="1">
        <w:r>
          <w:rPr>
            <w:rFonts w:ascii="Times New Roman" w:hAnsi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/>
          <w:sz w:val="22"/>
          <w:szCs w:val="22"/>
        </w:rPr>
        <w:t xml:space="preserve"> приемки (ф. 0510452) в порядке и сроки, предусмотренные </w:t>
      </w:r>
      <w:hyperlink w:tooltip="#P147" w:anchor="P147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пунктами 6.2</w:t>
        </w:r>
      </w:hyperlink>
      <w:r>
        <w:rPr>
          <w:rFonts w:ascii="Times New Roman" w:hAnsi="Times New Roman"/>
          <w:sz w:val="22"/>
          <w:szCs w:val="22"/>
        </w:rPr>
        <w:t xml:space="preserve"> и </w:t>
      </w:r>
      <w:hyperlink w:tooltip="#P148" w:anchor="P148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6.3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6.5. Со дня подпис</w:t>
      </w:r>
      <w:r>
        <w:rPr>
          <w:rFonts w:ascii="Times New Roman" w:hAnsi="Times New Roman"/>
          <w:sz w:val="22"/>
          <w:szCs w:val="22"/>
        </w:rPr>
        <w:t xml:space="preserve">ания Акта приемки и проведения экспертизы товара (работ, услуг) собственными силами, товарной накладной или универсального передаточного документа Заказчиком/Получателем риск случайной гибели, утраты или повреждения Товара переходит к Заказчику/Получателю.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7. Выборочная проверка Товара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7.1. Заказчик имеет право осуществлять выборочную проверку поставляемого Товара, в том числе после приемки Товара.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7.2. Выбор независимых профильных экспертных организаций по контролю качества осуществляется Заказчиком/Получателем.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7.3. Проверка Товара проводится за счет средств Заказчика.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7.4.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забраковывается в объеме всей серии. При этом объем </w:t>
      </w:r>
      <w:r>
        <w:rPr>
          <w:rFonts w:ascii="Times New Roman" w:hAnsi="Times New Roman"/>
          <w:sz w:val="22"/>
          <w:szCs w:val="22"/>
        </w:rPr>
        <w:t xml:space="preserve">поставки,</w:t>
      </w:r>
      <w:r>
        <w:rPr>
          <w:rFonts w:ascii="Times New Roman" w:hAnsi="Times New Roman"/>
          <w:sz w:val="22"/>
          <w:szCs w:val="22"/>
        </w:rPr>
        <w:t xml:space="preserve"> и сумма Контракта остаются неизменными, а Поставщик обязан заменить забракованную серию Товара.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7.5. 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7.6. Заказчик/Получатель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8. Гарантийные обязательства и Качество Товара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подтверждается, документом, подтверждающим соответствие Товара.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 Остаточный гара</w:t>
      </w:r>
      <w:r>
        <w:rPr>
          <w:rFonts w:ascii="Times New Roman" w:hAnsi="Times New Roman"/>
          <w:sz w:val="22"/>
          <w:szCs w:val="22"/>
        </w:rPr>
        <w:t xml:space="preserve">нтийный срок хранения (срок годности Товара) на дату поставки Заказчику/Получателю должен соответствовать значению, указанному в Технических характеристиках (Приложение № 2 к Контракту). Срок годности Товара подтверждается копией документа, подтверждающего</w:t>
      </w:r>
      <w:r>
        <w:rPr>
          <w:rFonts w:ascii="Times New Roman" w:hAnsi="Times New Roman"/>
          <w:sz w:val="22"/>
          <w:szCs w:val="22"/>
        </w:rPr>
        <w:t xml:space="preserve"> соответствие качества Товара, выданного уполномоченными органами (организациями) и/или инструкцией по применению Товара на русском языке, и/или информацией, указанной на русском языке на первичной упаковке Товара и на вторичной (потребительской) упаковке.</w:t>
      </w:r>
      <w:r>
        <w:rPr>
          <w:rFonts w:ascii="Times New Roman" w:hAnsi="Times New Roman"/>
          <w:sz w:val="22"/>
          <w:szCs w:val="22"/>
        </w:rPr>
      </w:r>
    </w:p>
    <w:p>
      <w:pPr>
        <w:pBdr/>
        <w:tabs>
          <w:tab w:val="left" w:leader="none" w:pos="62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Поставщик гарантирует, что поставляемый Товар новый, не бывший в употреблении, свободен от прав третьих лиц, не является предметом спора, не находится в залоге, под арестом или иным обременением. </w:t>
      </w:r>
      <w:r>
        <w:rPr>
          <w:sz w:val="22"/>
          <w:szCs w:val="22"/>
        </w:rPr>
      </w:r>
    </w:p>
    <w:p>
      <w:pPr>
        <w:pBdr/>
        <w:tabs>
          <w:tab w:val="left" w:leader="none" w:pos="62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5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9. Порядок расчетов </w:t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9.1. Оплата по Контракту осуществляется за счет средств бюджетного учреждения на 2026 г.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Оплата по Контракту осуществляется после исполнения Поставщиком обязательств по поставке Товара (либо - по каждому этапу поставки Товара) </w:t>
      </w:r>
      <w:bookmarkStart w:id="3" w:name="P176"/>
      <w:r/>
      <w:bookmarkEnd w:id="3"/>
      <w:r/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9.3. Оплата по Контракту за поставленный Товар осуществляется Заказчиком после представления Поставщиком не позднее 5 (пяти) дней документов, предусмотренных </w:t>
      </w:r>
      <w:hyperlink w:tooltip="#P130" w:anchor="P130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/>
          <w:sz w:val="22"/>
          <w:szCs w:val="22"/>
        </w:rPr>
        <w:t xml:space="preserve"> Контракта, а также документов на оплату: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а) счет;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б) счет-фактуру (при наличии); 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г) сводный реестр товарных накладных на поставку Товара (Приложение № 4 к  Контракту) (при необходимости);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  <w:highlight w:val="red"/>
        </w:rPr>
      </w:pP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) копия действующих регистрационных удостоверений на товар.</w:t>
      </w:r>
      <w:r>
        <w:rPr>
          <w:rFonts w:ascii="Times New Roman" w:hAnsi="Times New Roman"/>
          <w:sz w:val="22"/>
          <w:szCs w:val="22"/>
          <w:highlight w:val="red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9.4. На всех документах, перечисленных в </w:t>
      </w:r>
      <w:hyperlink w:tooltip="#P177" w:anchor="P177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подпунктах "а"</w:t>
        </w:r>
      </w:hyperlink>
      <w:r>
        <w:rPr>
          <w:rFonts w:ascii="Times New Roman" w:hAnsi="Times New Roman"/>
          <w:sz w:val="22"/>
          <w:szCs w:val="22"/>
        </w:rPr>
        <w:t xml:space="preserve"> - </w:t>
      </w:r>
      <w:hyperlink w:tooltip="#P182" w:anchor="P182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"</w:t>
        </w:r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д</w:t>
        </w:r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"</w:t>
        </w:r>
      </w:hyperlink>
      <w:r>
        <w:rPr>
          <w:rFonts w:ascii="Times New Roman" w:hAnsi="Times New Roman"/>
          <w:sz w:val="22"/>
          <w:szCs w:val="22"/>
        </w:rPr>
        <w:t xml:space="preserve">  пункта 9.3 Контракта, должны быть указаны наименование Заказчика, Поставщика, номер и дата Контракта, даты оформления и подписания документов.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9.5. Оплата по Контракту осуществляется по факту поставки всего Товара, предусмотренного Спецификацией (приложение № 1 к Контракту), в течение 10 (десяти) рабочих дней </w:t>
      </w:r>
      <w:r>
        <w:rPr>
          <w:rFonts w:ascii="Times New Roman" w:hAnsi="Times New Roman"/>
          <w:sz w:val="22"/>
          <w:szCs w:val="22"/>
        </w:rPr>
        <w:t xml:space="preserve">с даты подписания</w:t>
      </w:r>
      <w:r>
        <w:rPr>
          <w:rFonts w:ascii="Times New Roman" w:hAnsi="Times New Roman"/>
          <w:sz w:val="22"/>
          <w:szCs w:val="22"/>
        </w:rPr>
        <w:t xml:space="preserve"> Заказчиком Акта приемки и проведения экспертизы товара (работ, услуг) собственными силами и на основании документов, предусмотренных </w:t>
      </w:r>
      <w:hyperlink w:tooltip="#P176" w:anchor="P176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пунктом 9.3</w:t>
        </w:r>
      </w:hyperlink>
      <w:r>
        <w:rPr>
          <w:rFonts w:ascii="Times New Roman" w:hAnsi="Times New Roman"/>
          <w:sz w:val="22"/>
          <w:szCs w:val="22"/>
        </w:rPr>
        <w:t xml:space="preserve"> Контракта.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9.6. По окончании исполнения Сторонами обязательств по Контракту в течение 30-ти дней  при необходимости Стороны подписывают Акт сверки расчетов (</w:t>
      </w:r>
      <w:hyperlink w:tooltip="#P692" w:anchor="P692" w:history="1">
        <w:r>
          <w:rPr>
            <w:rStyle w:val="998"/>
            <w:rFonts w:ascii="Times New Roman" w:hAnsi="Times New Roman"/>
            <w:color w:val="000000"/>
            <w:sz w:val="22"/>
            <w:szCs w:val="22"/>
            <w:u w:val="none"/>
          </w:rPr>
          <w:t xml:space="preserve">приложение № 5</w:t>
        </w:r>
      </w:hyperlink>
      <w:r>
        <w:rPr>
          <w:rFonts w:ascii="Times New Roman" w:hAnsi="Times New Roman"/>
          <w:sz w:val="22"/>
          <w:szCs w:val="22"/>
        </w:rPr>
        <w:t xml:space="preserve"> к Контракту).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10. Ответственность Сторон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 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10.2. </w:t>
      </w:r>
      <w:r>
        <w:rPr>
          <w:rFonts w:eastAsia="Calibri"/>
          <w:sz w:val="22"/>
          <w:szCs w:val="22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10.3. В случае </w:t>
      </w:r>
      <w:r>
        <w:rPr>
          <w:color w:val="000000"/>
          <w:sz w:val="22"/>
          <w:szCs w:val="22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10.4. 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color w:val="000000"/>
          <w:sz w:val="22"/>
          <w:szCs w:val="22"/>
        </w:rPr>
        <w:t xml:space="preserve">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взыскать с Заказчика штраф в размере 1000 рублей.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10.7. В случае нарушения Поставщиком срока предоставления документов, предусмотренного пунктом 9.3. Контракта, Заказчик не несет ответственность, установленную пунктами 10.3 – 10.5 Контракта.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10.8. В случае просрочки исполн</w:t>
      </w:r>
      <w:r>
        <w:rPr>
          <w:color w:val="000000"/>
          <w:sz w:val="22"/>
          <w:szCs w:val="22"/>
        </w:rPr>
        <w:t xml:space="preserve">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10.9. Пеня начисляется за каждый день просрочки исполнения Поставщиком обязательства, предусмотренного Контрактом, в </w:t>
      </w:r>
      <w:r>
        <w:rPr>
          <w:color w:val="000000"/>
          <w:sz w:val="22"/>
          <w:szCs w:val="22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10.10.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За каждый факт неисполнения или ненадлежащего исполнения Поставщиком обязательств, </w:t>
      </w:r>
      <w:r>
        <w:rPr>
          <w:color w:val="000000"/>
          <w:sz w:val="22"/>
          <w:szCs w:val="22"/>
        </w:rPr>
        <w:t xml:space="preserve">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11. Порядок урегулирования споров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11.1.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</w:t>
      </w:r>
      <w:r>
        <w:rPr>
          <w:color w:val="000000"/>
          <w:sz w:val="22"/>
          <w:szCs w:val="22"/>
        </w:rPr>
        <w:t xml:space="preserve"> в рамках настоящего Контракта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11.2.В случае невозможности разрешения разногласий путем переговоров спор передается на рассмотрение Арбитражного суда Хабаровского края.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12. Обстоятельства непреодолимой силы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12.1. </w:t>
      </w:r>
      <w:r>
        <w:rPr>
          <w:color w:val="000000"/>
          <w:sz w:val="22"/>
          <w:szCs w:val="22"/>
        </w:rPr>
        <w:t xml:space="preserve">Стороны освобождаются от ответственности за полн</w:t>
      </w:r>
      <w:r>
        <w:rPr>
          <w:color w:val="000000"/>
          <w:sz w:val="22"/>
          <w:szCs w:val="22"/>
        </w:rPr>
        <w:t xml:space="preserve">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</w:t>
      </w:r>
      <w:r>
        <w:rPr>
          <w:color w:val="000000"/>
          <w:sz w:val="22"/>
          <w:szCs w:val="22"/>
        </w:rPr>
        <w:t xml:space="preserve">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r>
        <w:rPr>
          <w:color w:val="000000"/>
          <w:sz w:val="22"/>
          <w:szCs w:val="22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12.2. При наступлении таких обстоятель</w:t>
      </w:r>
      <w:r>
        <w:rPr>
          <w:color w:val="000000"/>
          <w:sz w:val="22"/>
          <w:szCs w:val="22"/>
        </w:rPr>
        <w:t xml:space="preserve">ств ср</w:t>
      </w:r>
      <w:r>
        <w:rPr>
          <w:color w:val="000000"/>
          <w:sz w:val="22"/>
          <w:szCs w:val="22"/>
        </w:rPr>
        <w:t xml:space="preserve">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12.3. </w:t>
      </w:r>
      <w:r>
        <w:rPr>
          <w:color w:val="000000"/>
          <w:sz w:val="22"/>
          <w:szCs w:val="22"/>
        </w:rPr>
        <w:t xml:space="preserve">Сторона, для которой надлежащее исполнение обязательств оказало</w:t>
      </w:r>
      <w:r>
        <w:rPr>
          <w:color w:val="000000"/>
          <w:sz w:val="22"/>
          <w:szCs w:val="22"/>
        </w:rPr>
        <w:t xml:space="preserve">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12.4. Если обстоятельства, указанные в п.12.1 настоящего контракта, будут длиться более 2 (двух) месяцев </w:t>
      </w:r>
      <w:r>
        <w:rPr>
          <w:color w:val="000000"/>
          <w:sz w:val="22"/>
          <w:szCs w:val="22"/>
        </w:rPr>
        <w:t xml:space="preserve">с даты</w:t>
      </w:r>
      <w:r>
        <w:rPr>
          <w:color w:val="000000"/>
          <w:sz w:val="22"/>
          <w:szCs w:val="22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12.5. Не уведомлен</w:t>
      </w:r>
      <w:r>
        <w:rPr>
          <w:color w:val="000000"/>
          <w:sz w:val="22"/>
          <w:szCs w:val="22"/>
        </w:rP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13. </w:t>
      </w:r>
      <w:r>
        <w:rPr>
          <w:b/>
          <w:color w:val="000000"/>
          <w:sz w:val="22"/>
          <w:szCs w:val="22"/>
        </w:rPr>
        <w:t xml:space="preserve">Антикоррупционная</w:t>
      </w:r>
      <w:r>
        <w:rPr>
          <w:b/>
          <w:color w:val="000000"/>
          <w:sz w:val="22"/>
          <w:szCs w:val="22"/>
        </w:rPr>
        <w:t xml:space="preserve"> оговорка</w:t>
      </w:r>
      <w:r>
        <w:rPr>
          <w:b/>
          <w:color w:val="000000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13.1. </w:t>
      </w:r>
      <w:r>
        <w:rPr>
          <w:rFonts w:ascii="Times New Roman" w:hAnsi="Times New Roman"/>
          <w:sz w:val="22"/>
          <w:szCs w:val="22"/>
        </w:rPr>
        <w:t xml:space="preserve">При исполнении своих обязательств по настоящему контракту Стороны, их </w:t>
      </w:r>
      <w:r>
        <w:rPr>
          <w:rFonts w:ascii="Times New Roman" w:hAnsi="Times New Roman"/>
          <w:sz w:val="22"/>
          <w:szCs w:val="22"/>
        </w:rPr>
        <w:t xml:space="preserve">аффилированные</w:t>
      </w:r>
      <w:r>
        <w:rPr>
          <w:rFonts w:ascii="Times New Roman" w:hAnsi="Times New Roman"/>
          <w:sz w:val="22"/>
          <w:szCs w:val="22"/>
        </w:rPr>
        <w:t xml:space="preserve"> лица, работники или посредники не выплачивают, н</w:t>
      </w:r>
      <w:r>
        <w:rPr>
          <w:rFonts w:ascii="Times New Roman" w:hAnsi="Times New Roman"/>
          <w:sz w:val="22"/>
          <w:szCs w:val="22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13.2. При исполнении своих обязательств по настоящему контракту Стороны, их </w:t>
      </w:r>
      <w:r>
        <w:rPr>
          <w:rFonts w:ascii="Times New Roman" w:hAnsi="Times New Roman"/>
          <w:sz w:val="22"/>
          <w:szCs w:val="22"/>
        </w:rPr>
        <w:t xml:space="preserve">аффилированные</w:t>
      </w:r>
      <w:r>
        <w:rPr>
          <w:rFonts w:ascii="Times New Roman" w:hAnsi="Times New Roman"/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</w:t>
      </w:r>
      <w:r>
        <w:rPr>
          <w:rFonts w:ascii="Times New Roman" w:hAnsi="Times New Roman"/>
          <w:sz w:val="22"/>
          <w:szCs w:val="22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</w:t>
      </w:r>
      <w:r>
        <w:rPr>
          <w:rFonts w:ascii="Times New Roman" w:hAnsi="Times New Roman"/>
          <w:sz w:val="22"/>
          <w:szCs w:val="22"/>
        </w:rPr>
        <w:t xml:space="preserve">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rFonts w:ascii="Times New Roman" w:hAnsi="Times New Roman"/>
          <w:sz w:val="22"/>
          <w:szCs w:val="22"/>
        </w:rPr>
        <w:t xml:space="preserve">с даты направления</w:t>
      </w:r>
      <w:r>
        <w:rPr>
          <w:rFonts w:ascii="Times New Roman" w:hAnsi="Times New Roman"/>
          <w:sz w:val="22"/>
          <w:szCs w:val="22"/>
        </w:rPr>
        <w:t xml:space="preserve"> письменного уведомления.</w:t>
      </w:r>
      <w:r>
        <w:rPr>
          <w:rFonts w:ascii="Times New Roman" w:hAnsi="Times New Roman"/>
          <w:sz w:val="22"/>
          <w:szCs w:val="22"/>
        </w:rPr>
      </w:r>
    </w:p>
    <w:p>
      <w:pPr>
        <w:pStyle w:val="1025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13.4. </w:t>
      </w:r>
      <w:r>
        <w:rPr>
          <w:rFonts w:ascii="Times New Roman" w:hAnsi="Times New Roman"/>
          <w:sz w:val="22"/>
          <w:szCs w:val="22"/>
        </w:rPr>
        <w:t xml:space="preserve">В письме</w:t>
      </w:r>
      <w:r>
        <w:rPr>
          <w:rFonts w:ascii="Times New Roman" w:hAnsi="Times New Roman"/>
          <w:sz w:val="22"/>
          <w:szCs w:val="22"/>
        </w:rPr>
        <w:t xml:space="preserve">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r>
        <w:rPr>
          <w:rFonts w:ascii="Times New Roman" w:hAnsi="Times New Roman"/>
          <w:sz w:val="22"/>
          <w:szCs w:val="22"/>
        </w:rPr>
        <w:t xml:space="preserve">аффилированными</w:t>
      </w:r>
      <w:r>
        <w:rPr>
          <w:rFonts w:ascii="Times New Roman" w:hAnsi="Times New Roman"/>
          <w:sz w:val="22"/>
          <w:szCs w:val="22"/>
        </w:rPr>
        <w:t xml:space="preserve"> лицами, работниками или посредниками, выражающееся в действиях, </w:t>
      </w:r>
      <w:r>
        <w:rPr>
          <w:rFonts w:ascii="Times New Roman" w:hAnsi="Times New Roman"/>
          <w:sz w:val="22"/>
          <w:szCs w:val="22"/>
        </w:rPr>
        <w:t xml:space="preserve">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r>
        <w:rPr>
          <w:rFonts w:ascii="Times New Roman" w:hAnsi="Times New Roman"/>
          <w:sz w:val="22"/>
          <w:szCs w:val="22"/>
        </w:rPr>
        <w:t xml:space="preserve"> легализации (отмыванию) доходов, полученных преступным путем.</w:t>
      </w:r>
      <w:r>
        <w:rPr>
          <w:rFonts w:ascii="Times New Roman" w:hAnsi="Times New Roman"/>
          <w:sz w:val="22"/>
          <w:szCs w:val="22"/>
        </w:rPr>
      </w:r>
    </w:p>
    <w:p>
      <w:pPr>
        <w:pStyle w:val="1049"/>
        <w:pBdr/>
        <w:spacing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rFonts w:ascii="Times New Roman" w:hAnsi="Times New Roman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rFonts w:ascii="Times New Roman" w:hAnsi="Times New Roman"/>
        </w:rPr>
      </w:r>
    </w:p>
    <w:p>
      <w:pPr>
        <w:pStyle w:val="1049"/>
        <w:pBdr/>
        <w:spacing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rFonts w:ascii="Times New Roman" w:hAnsi="Times New Roman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14. Изменение и расторжение Контракта 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14.1. Все изменения Контракта должны быть совершены в письменном виде и оформлены дополнительными соглашениями к Контракту.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14.2. Настоящий контракт может быть расторгнут: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14.2.1. по соглашению Сторон;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14.2.2. в судебном порядке.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 Заказчик вправе принять решение об одностороннем отказе от исполнения контракта в следующих случаях: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14.3.1. При существенном нарушении условий контракта Поставщиком.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14.3.2. В случае просрочки срока поставки товара. 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14.3.3. В иных случаях, предусмотренных действующим законодательством.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14.4.Расторжение контракта по соглашению Сторон производится Сторонами путем подписания соответствующего соглашения о расторжении.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14.5.  Исполнитель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15. Исключительные права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15.1.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15.2. Все убытки, понесенные Заказчиком в случае нарушения исключительных прав третьих лиц на результаты интеллектуа</w:t>
      </w:r>
      <w:r>
        <w:rPr>
          <w:color w:val="000000"/>
          <w:sz w:val="22"/>
          <w:szCs w:val="22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16. Уведомления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16.1.Все уведомления Сторон, связанные с исполнением настоящего Контракта, направляются в письменной форме по почте заказным письмом по фактическому </w:t>
      </w:r>
      <w:r>
        <w:rPr>
          <w:color w:val="000000"/>
          <w:sz w:val="22"/>
          <w:szCs w:val="22"/>
        </w:rPr>
        <w:t xml:space="preserve">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16.2. В случае направления уведомлений с использованием почты уведомления считаются полученными Стороной в день фактического получ</w:t>
      </w:r>
      <w:r>
        <w:rPr>
          <w:color w:val="000000"/>
          <w:sz w:val="22"/>
          <w:szCs w:val="22"/>
        </w:rPr>
        <w:t xml:space="preserve">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уведомления противоположной Стороной.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709"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17. Заключительные положения</w:t>
      </w:r>
      <w:r>
        <w:rPr>
          <w:b/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17.1. Контра</w:t>
      </w:r>
      <w:r>
        <w:rPr>
          <w:color w:val="000000"/>
          <w:sz w:val="22"/>
          <w:szCs w:val="22"/>
        </w:rPr>
        <w:t xml:space="preserve">кт вст</w:t>
      </w:r>
      <w:r>
        <w:rPr>
          <w:color w:val="000000"/>
          <w:sz w:val="22"/>
          <w:szCs w:val="22"/>
        </w:rPr>
        <w:t xml:space="preserve">упает в силу с даты заключения и действует до 31.12.2026 г, а в части расчетов и гарантийных обязательств – до полного их исполнения сторонами.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17.2. Настоящий Контракт составлен в 2 (двух) экземплярах, имеющих одинаковую юридическую силу, по одному экземпляру для каждой из Сторон.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17.3. Все адреса и реквизиты, указанные в разделе 18 настоящего Контракта, являютс</w:t>
      </w:r>
      <w:r>
        <w:rPr>
          <w:color w:val="000000"/>
          <w:sz w:val="22"/>
          <w:szCs w:val="22"/>
        </w:rPr>
        <w:t xml:space="preserve">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изменения.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 Все Приложения к Контракту являются его неотъемлемыми частями, а именно: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17.5.1. Приложение № 1 – Спецификация;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17.5.2. Приложение № 2 – Технические характеристики;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17.5.3. Приложение № 3 -  Отгрузочная разнарядка (План распределения); 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17.5.4. Приложение № 4 -  Сводный реестр товарных накладных на поставку Товара;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17.5.5. Приложение № 5 -  Акт сверки расчетов.</w:t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Bdr/>
        <w:spacing/>
        <w:ind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18. Банковские реквизиты и подписи сторон</w:t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4957" w:type="pct"/>
        <w:tblBorders/>
        <w:tblLook w:val="01E0" w:firstRow="1" w:lastRow="1" w:firstColumn="1" w:lastColumn="1" w:noHBand="0" w:noVBand="0"/>
      </w:tblPr>
      <w:tblGrid>
        <w:gridCol w:w="4996"/>
        <w:gridCol w:w="5336"/>
      </w:tblGrid>
      <w:tr>
        <w:trPr/>
        <w:tc>
          <w:tcPr>
            <w:tcBorders/>
            <w:tcW w:w="492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ФГБОУ ВО ДВГМУ Минздрава России 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Юридический/почтовый адрес: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Хабаровский край, </w:t>
            </w: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 Хабаровск,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 Муравьева-Амурского, д. 35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(4212) 32-55-92, 34-66-20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snab</w:t>
            </w:r>
            <w:r>
              <w:rPr>
                <w:sz w:val="22"/>
                <w:szCs w:val="22"/>
              </w:rPr>
              <w:t xml:space="preserve">@</w:t>
            </w:r>
            <w:r>
              <w:rPr>
                <w:sz w:val="22"/>
                <w:szCs w:val="22"/>
                <w:lang w:val="en-US"/>
              </w:rPr>
              <w:t xml:space="preserve">m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  <w:lang w:val="en-US"/>
              </w:rPr>
              <w:t xml:space="preserve">il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fesmu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ru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2721020896  КПП 272101001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Приморскому краю (ФГБОУ ВО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ДВГМУ Минздрава России ЛС 20226Х51140)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№1 ДГУ Банка России//УФК по Приморскому краю </w:t>
            </w: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 Владивосток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 010507002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счета банка получателя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(Единый казначейский счет) 40102810545370000012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счета получателя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(казначейский счет) 03214643000000012006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____________________/_________________/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2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Наименование организации_________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Юридический адрес: 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Тел./факс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ИНН/КПП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</w:t>
            </w:r>
            <w:r>
              <w:rPr>
                <w:sz w:val="22"/>
                <w:szCs w:val="22"/>
                <w:lang w:eastAsia="ar-SA"/>
              </w:rPr>
              <w:t xml:space="preserve">/с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к/с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Банк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БИК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ОКПО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ОГРН</w:t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ОКТМО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Электр</w:t>
            </w:r>
            <w:r>
              <w:rPr>
                <w:sz w:val="22"/>
                <w:szCs w:val="22"/>
                <w:lang w:eastAsia="ar-SA"/>
              </w:rPr>
              <w:t xml:space="preserve">.п</w:t>
            </w:r>
            <w:r>
              <w:rPr>
                <w:sz w:val="22"/>
                <w:szCs w:val="22"/>
                <w:lang w:eastAsia="ar-SA"/>
              </w:rPr>
              <w:t xml:space="preserve">очта</w:t>
            </w:r>
            <w:r>
              <w:rPr>
                <w:sz w:val="22"/>
                <w:szCs w:val="22"/>
                <w:lang w:eastAsia="ar-SA"/>
              </w:rPr>
              <w:t xml:space="preserve">:</w:t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900"/>
              </w:tabs>
              <w:spacing/>
              <w:ind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___________________</w:t>
            </w:r>
            <w:r>
              <w:rPr>
                <w:sz w:val="22"/>
                <w:szCs w:val="22"/>
                <w:lang w:eastAsia="ar-SA"/>
              </w:rPr>
              <w:t xml:space="preserve"> /</w:t>
            </w:r>
            <w:r>
              <w:rPr>
                <w:rFonts w:eastAsia="Calibri"/>
                <w:sz w:val="22"/>
                <w:szCs w:val="22"/>
              </w:rPr>
              <w:t xml:space="preserve">  </w:t>
            </w:r>
            <w:r>
              <w:rPr>
                <w:rFonts w:eastAsia="Calibri"/>
                <w:sz w:val="22"/>
                <w:szCs w:val="22"/>
              </w:rPr>
            </w:r>
          </w:p>
          <w:p>
            <w:pPr>
              <w:pBdr/>
              <w:tabs>
                <w:tab w:val="left" w:leader="none" w:pos="900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Bdr/>
        <w:spacing/>
        <w:ind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ageBreakBefore w:val="true"/>
        <w:widowControl w:val="false"/>
        <w:pBdr/>
        <w:tabs>
          <w:tab w:val="left" w:leader="none" w:pos="9923"/>
        </w:tabs>
        <w:spacing/>
        <w:ind/>
        <w:jc w:val="right"/>
        <w:outlineLvl w:val="1"/>
        <w:rPr>
          <w:sz w:val="22"/>
          <w:szCs w:val="22"/>
        </w:rPr>
        <w:sectPr>
          <w:footerReference w:type="default" r:id="rId9"/>
          <w:footnotePr/>
          <w:endnotePr/>
          <w:type w:val="nextPage"/>
          <w:pgSz w:h="16838" w:orient="portrait" w:w="11906"/>
          <w:pgMar w:top="284" w:right="566" w:bottom="568" w:left="1134" w:header="397" w:footer="397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ageBreakBefore w:val="true"/>
        <w:widowControl w:val="false"/>
        <w:pBdr/>
        <w:tabs>
          <w:tab w:val="left" w:leader="none" w:pos="9923"/>
        </w:tabs>
        <w:spacing/>
        <w:ind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№ 1</w:t>
      </w:r>
      <w:r>
        <w:rPr>
          <w:sz w:val="22"/>
          <w:szCs w:val="22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Контракту №        от "     "            2026  г.</w:t>
      </w:r>
      <w:r>
        <w:rPr>
          <w:sz w:val="22"/>
          <w:szCs w:val="22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СПЕЦИФИКАЦИЯ </w:t>
      </w:r>
      <w:r>
        <w:rPr>
          <w:b/>
          <w:sz w:val="22"/>
          <w:szCs w:val="22"/>
        </w:rPr>
      </w:r>
    </w:p>
    <w:tbl>
      <w:tblPr>
        <w:tblInd w:w="-34" w:type="dxa"/>
        <w:tblW w:w="15722" w:type="dxa"/>
        <w:tblBorders/>
        <w:tblLayout w:type="fixed"/>
        <w:tblLook w:val="04A0" w:firstRow="1" w:lastRow="0" w:firstColumn="1" w:lastColumn="0" w:noHBand="0" w:noVBand="1"/>
      </w:tblPr>
      <w:tblGrid>
        <w:gridCol w:w="413"/>
        <w:gridCol w:w="2206"/>
        <w:gridCol w:w="1930"/>
        <w:gridCol w:w="1517"/>
        <w:gridCol w:w="1932"/>
        <w:gridCol w:w="1240"/>
        <w:gridCol w:w="1379"/>
        <w:gridCol w:w="827"/>
        <w:gridCol w:w="1241"/>
        <w:gridCol w:w="1379"/>
        <w:gridCol w:w="1658"/>
      </w:tblGrid>
      <w:tr>
        <w:trPr>
          <w:trHeight w:val="18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color w:val="000000"/>
                <w:sz w:val="22"/>
                <w:szCs w:val="22"/>
              </w:rPr>
              <w:t xml:space="preserve">п</w:t>
            </w:r>
            <w:r>
              <w:rPr>
                <w:b/>
                <w:color w:val="000000"/>
                <w:sz w:val="22"/>
                <w:szCs w:val="22"/>
              </w:rPr>
              <w:t xml:space="preserve">/</w:t>
            </w:r>
            <w:r>
              <w:rPr>
                <w:b/>
                <w:color w:val="000000"/>
                <w:sz w:val="22"/>
                <w:szCs w:val="22"/>
              </w:rPr>
              <w:t xml:space="preserve">п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6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Наименование Товара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(с указанием количества единиц в  упаковке)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0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Товара (в соответствии с регистрационным удостоверением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7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регистрации Товара и его регистрационный номер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Код позиции каталога товаров, работ, услуг для обеспечения государственных и муниципальных нужд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0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Наименование страны происхождения Товара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ОКПД</w:t>
            </w:r>
            <w:r>
              <w:rPr>
                <w:b/>
                <w:color w:val="000000"/>
                <w:sz w:val="22"/>
                <w:szCs w:val="22"/>
              </w:rPr>
              <w:t xml:space="preserve">2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Единицы измерения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Количество в единицах измерения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Цена за единицу измерения, руб.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8" w:type="dxa"/>
            <w:textDirection w:val="lrTb"/>
            <w:noWrap w:val="false"/>
          </w:tcPr>
          <w:p>
            <w:pPr>
              <w:pBdr/>
              <w:spacing/>
              <w:ind w:right="354"/>
              <w:contextualSpacing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Стоимость, руб.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26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0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7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0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21.20.24.150-00000050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21.20.24.150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22.19.60.119-00000008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22.19.60.119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22.19.50.000-00000064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22.19.50.000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21.20.24.110-00000019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21.20.24.110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32.50.50.190-00000885</w:t>
            </w:r>
            <w:r>
              <w:rPr>
                <w:rFonts w:ascii="Times New Roman" w:hAnsi="Times New Roman" w:eastAsia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32.50.50.190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21.20.24.131-00000148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13.20.44.120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0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spacing w:after="200" w:line="276" w:lineRule="auto"/>
              <w:ind w:right="-251" w:left="0"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21.20.24.131-00000022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21.20.24.131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09"/>
        </w:trPr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413" w:type="dxa"/>
            <w:textDirection w:val="lrTb"/>
            <w:noWrap w:val="false"/>
          </w:tcPr>
          <w:p>
            <w:pPr>
              <w:pBdr/>
              <w:spacing w:after="200" w:line="276" w:lineRule="auto"/>
              <w:ind/>
              <w:contextualSpacing w:val="tru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</w:r>
            <w:r>
              <w:rPr>
                <w:bCs/>
                <w:sz w:val="22"/>
                <w:szCs w:val="22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17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1086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Style w:val="1086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widowControl w:val="false"/>
        <w:pBdr/>
        <w:tabs>
          <w:tab w:val="left" w:leader="none" w:pos="9923"/>
        </w:tabs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Цена Контракта составляет</w:t>
      </w:r>
      <w:r>
        <w:rPr>
          <w:b/>
          <w:sz w:val="22"/>
          <w:szCs w:val="22"/>
        </w:rPr>
        <w:t xml:space="preserve"> ______________________  </w:t>
      </w:r>
      <w:r>
        <w:rPr>
          <w:sz w:val="22"/>
          <w:szCs w:val="22"/>
        </w:rPr>
        <w:t xml:space="preserve">(________________________) </w:t>
      </w:r>
      <w:r>
        <w:rPr>
          <w:sz w:val="22"/>
          <w:szCs w:val="22"/>
        </w:rPr>
        <w:t xml:space="preserve">рублей </w:t>
      </w:r>
      <w:r>
        <w:rPr>
          <w:b/>
          <w:sz w:val="22"/>
          <w:szCs w:val="22"/>
        </w:rPr>
        <w:t xml:space="preserve">___</w:t>
      </w:r>
      <w:r>
        <w:rPr>
          <w:sz w:val="22"/>
          <w:szCs w:val="22"/>
        </w:rPr>
        <w:t xml:space="preserve"> копеек, в том числе НДС - _________________ / либо НДС – не облагается</w:t>
      </w:r>
      <w:r>
        <w:rPr>
          <w:sz w:val="22"/>
          <w:szCs w:val="22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8031"/>
        <w:gridCol w:w="6907"/>
      </w:tblGrid>
      <w:tr>
        <w:trPr>
          <w:trHeight w:val="470"/>
        </w:trPr>
        <w:tc>
          <w:tcPr>
            <w:tcBorders/>
            <w:tcW w:w="832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5"/>
        </w:trPr>
        <w:tc>
          <w:tcPr>
            <w:tcBorders/>
            <w:tcW w:w="832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/_____________/ 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</w:t>
            </w:r>
            <w:r>
              <w:rPr>
                <w:sz w:val="22"/>
                <w:szCs w:val="22"/>
                <w:lang w:eastAsia="ar-SA"/>
              </w:rPr>
              <w:t xml:space="preserve"> /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67"/>
        </w:trPr>
        <w:tc>
          <w:tcPr>
            <w:tcBorders/>
            <w:tcW w:w="832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</w:tr>
    </w:tbl>
    <w:p>
      <w:pPr>
        <w:pageBreakBefore w:val="true"/>
        <w:widowControl w:val="false"/>
        <w:pBdr/>
        <w:spacing/>
        <w:ind/>
        <w:jc w:val="right"/>
        <w:rPr>
          <w:sz w:val="22"/>
          <w:szCs w:val="22"/>
        </w:rPr>
        <w:sectPr>
          <w:footnotePr/>
          <w:endnotePr/>
          <w:type w:val="nextPage"/>
          <w:pgSz w:h="11906" w:orient="landscape" w:w="16838"/>
          <w:pgMar w:top="851" w:right="567" w:bottom="566" w:left="1134" w:header="397" w:footer="397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ageBreakBefore w:val="true"/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2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Контракту от "  "          2026г. № 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after="160" w:line="256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contextualSpacing w:val="true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ТЕХНИЧЕСКИЕ ХАРАКТЕРИСТИКИ</w:t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outlineLvl w:val="0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 xml:space="preserve">СВЕДЕНИЯ ОБ ОБЪЕКТЕ ЗАКУПКИ</w:t>
      </w:r>
      <w:r>
        <w:rPr>
          <w:b/>
          <w:sz w:val="22"/>
          <w:szCs w:val="22"/>
          <w:shd w:val="clear" w:color="auto" w:fill="ffffff"/>
        </w:rPr>
      </w:r>
    </w:p>
    <w:p>
      <w:pPr>
        <w:pStyle w:val="1036"/>
        <w:pBdr/>
        <w:spacing w:after="0" w:line="240" w:lineRule="auto"/>
        <w:ind w:left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</w:r>
      <w:r>
        <w:rPr>
          <w:rFonts w:ascii="Times New Roman" w:hAnsi="Times New Roman"/>
          <w:b/>
          <w:lang w:val="ru-RU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Товар, поставка которого предусмотрена требованиям настоящей технической части, должен быть зарегистрирован и разрешен к применению в медицинской практике на территории Российской Федерации, что подтверждается копией</w:t>
      </w:r>
      <w:r>
        <w:rPr>
          <w:sz w:val="22"/>
          <w:szCs w:val="22"/>
        </w:rPr>
        <w:t xml:space="preserve"> действующего регистрационного удостоверениям Федеральной службы по надзору в сфере здравоохранения, Министерства здравоохранения Российской Федерации, на основании п.4 ст.38 ФЗ №323- ФЗ от 21 ноября 2011 г. «Об основах охраны здоровья граждан в российской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Федерации», Постановления Правительства Российской Федерации от 30 ноября 2024г. №1684 «Об утверж</w:t>
      </w:r>
      <w:r>
        <w:rPr>
          <w:sz w:val="22"/>
          <w:szCs w:val="22"/>
        </w:rPr>
        <w:t xml:space="preserve">дении правил государственной регистрации медицинских изделий», Постановления Правительства Российской Федерации от 03 апреля 2020г. № 430 «Об особенностях обращения медицинских изделий, в том числе регистрации серии (партии) медицинского изделия», Приказа </w:t>
      </w:r>
      <w:r>
        <w:rPr>
          <w:sz w:val="22"/>
          <w:szCs w:val="22"/>
        </w:rPr>
        <w:t xml:space="preserve">Росздравнадзора</w:t>
      </w:r>
      <w:r>
        <w:rPr>
          <w:sz w:val="22"/>
          <w:szCs w:val="22"/>
        </w:rPr>
        <w:t xml:space="preserve"> от 06.05.2019 N 3371 "Об утверждении Административного регламента Федеральной службы по надзору в сфере здравоохранения по предоставлению государственной услуги</w:t>
      </w:r>
      <w:r>
        <w:rPr>
          <w:sz w:val="22"/>
          <w:szCs w:val="22"/>
        </w:rPr>
        <w:t xml:space="preserve"> по государственной регистрации медицинских изделий". Если на момент поставки товара регистрация медицинских изделий не предусмотрена, то предоставляются отказные письма.</w:t>
      </w:r>
      <w:r>
        <w:rPr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Поставляемый товар должен быть новым, ранее не использованным, не подвергнутый восстановлению, в том числе в качестве выставочного образца и свободным от прав третьих лиц.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1.3. Поставляемый товар должен быть упакован в заводских условиях. Упаковка каждой единицы товара должна быть</w:t>
      </w:r>
      <w:r>
        <w:rPr>
          <w:color w:val="000000"/>
          <w:sz w:val="22"/>
          <w:szCs w:val="22"/>
        </w:rPr>
        <w:t xml:space="preserve"> выполнена в соответствии с техническими условиями производителя и соответствовать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</w:t>
      </w:r>
      <w:r>
        <w:rPr>
          <w:color w:val="000000"/>
          <w:sz w:val="22"/>
          <w:szCs w:val="22"/>
        </w:rPr>
        <w:t xml:space="preserve">елем), номер и серию партии, дату изготовления и срок годности. Информация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</w:t>
      </w:r>
      <w:r>
        <w:rPr>
          <w:color w:val="000000"/>
          <w:sz w:val="22"/>
          <w:szCs w:val="22"/>
        </w:rPr>
        <w:t xml:space="preserve">вующего вида продукции на территории Российской Федерации, упаковка такой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Товар должен соответствовать современным нормам качества и функциональности, применимы</w:t>
      </w:r>
      <w:r>
        <w:rPr>
          <w:rFonts w:eastAsia="Nimbus Roman"/>
          <w:color w:val="000000"/>
          <w:sz w:val="22"/>
          <w:szCs w:val="22"/>
        </w:rPr>
        <w:t xml:space="preserve">м в </w:t>
      </w:r>
      <w:r>
        <w:rPr>
          <w:color w:val="000000"/>
          <w:sz w:val="22"/>
          <w:szCs w:val="22"/>
        </w:rPr>
        <w:t xml:space="preserve">современной российской и европейской медицине и соответствовать стандартам и нормам, установленным для соответс</w:t>
      </w:r>
      <w:r>
        <w:rPr>
          <w:color w:val="000000"/>
          <w:sz w:val="22"/>
          <w:szCs w:val="22"/>
        </w:rPr>
        <w:t xml:space="preserve">твующей продукции на территории Российской Федерации. Участник обязан гарантировать качество и годность продукции к эксплуатации, при использовании, в целях, для которых предназначен данный товар. Сроки гарантии каждого вида товара должны соответствовать, </w:t>
      </w:r>
      <w:r>
        <w:rPr>
          <w:color w:val="000000"/>
          <w:sz w:val="22"/>
          <w:szCs w:val="22"/>
        </w:rPr>
        <w:t xml:space="preserve">указанным</w:t>
      </w:r>
      <w:r>
        <w:rPr>
          <w:color w:val="000000"/>
          <w:sz w:val="22"/>
          <w:szCs w:val="22"/>
        </w:rPr>
        <w:t xml:space="preserve"> в настоящем техническом задании.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1.5.Товар должен соответст</w:t>
      </w:r>
      <w:r>
        <w:rPr>
          <w:color w:val="000000"/>
          <w:sz w:val="22"/>
          <w:szCs w:val="22"/>
        </w:rPr>
        <w:t xml:space="preserve">вовать его функциональному назначению, должен быть серийного выпуска. Факторы, оказывающие вредные воздействия на здоровье со стороны всех составных частей оборудования не должны превышать действующих норм для сотрудников, работающих с данным видом товара.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1.6. Товар должен быть безопасными для окружающей среды и человека. Гигиенические характеристи</w:t>
      </w:r>
      <w:r>
        <w:rPr>
          <w:color w:val="000000"/>
          <w:sz w:val="22"/>
          <w:szCs w:val="22"/>
        </w:rPr>
        <w:t xml:space="preserve">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усмотрение участника (документы не являются обязательными).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1.7. </w:t>
      </w:r>
      <w:r>
        <w:rPr>
          <w:sz w:val="22"/>
          <w:szCs w:val="22"/>
        </w:rPr>
        <w:t xml:space="preserve">Соответствие товара указанным требованиям должно быть подтверждено при поставке товара предоставленными заказчику сертификатами качества и/или декларацией соответствия, заверенными печатью поставщика на каждую партию каждого вида поставл</w:t>
      </w:r>
      <w:r>
        <w:rPr>
          <w:sz w:val="22"/>
          <w:szCs w:val="22"/>
        </w:rPr>
        <w:t xml:space="preserve">енного товара в момент осуществления поставки, если на товар предусмотрена система добровольной сертификации на основании декларации соответствия, то товар должен иметь отказное письмо и Поставщик должен декларировать безопасность и соответствие продукции.</w:t>
      </w:r>
      <w:r>
        <w:rPr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1.8. Требования и условия поставки продукции, а также иные требования к выполнению настоящего заказа изложены в настоящей </w:t>
      </w:r>
      <w:r>
        <w:rPr>
          <w:color w:val="000000"/>
          <w:sz w:val="22"/>
          <w:szCs w:val="22"/>
        </w:rPr>
        <w:t xml:space="preserve">технической части, которая является неотъемлемой частью данной закупки. Требования к функциональным, техническим, качественным и эксплуатационным характеристикам, требования к безопасности товаров и их количество предусмотрены настоящей технической частью.</w:t>
      </w:r>
      <w:r>
        <w:rPr>
          <w:color w:val="000000"/>
          <w:sz w:val="22"/>
          <w:szCs w:val="22"/>
        </w:rPr>
      </w:r>
    </w:p>
    <w:p>
      <w:pPr>
        <w:pBdr/>
        <w:spacing/>
        <w: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1.9 Поставщик должен поставить товар в соответствии с положениями настоящей технической частью. Частичная поставка не допускается.</w:t>
      </w:r>
      <w:r>
        <w:rPr>
          <w:color w:val="000000"/>
          <w:sz w:val="22"/>
          <w:szCs w:val="22"/>
        </w:rPr>
      </w:r>
    </w:p>
    <w:p>
      <w:pPr>
        <w:pBdr/>
        <w:spacing/>
        <w:ind/>
        <w:contextualSpacing w:val="true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 поставки: с даты заключения контракта в течение 10 дней</w:t>
      </w:r>
      <w:r>
        <w:rPr>
          <w:b/>
          <w:sz w:val="22"/>
          <w:szCs w:val="22"/>
        </w:rPr>
        <w:t xml:space="preserve"> .</w:t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доставки: </w:t>
      </w:r>
      <w:r>
        <w:rPr>
          <w:b/>
          <w:bCs/>
          <w:sz w:val="22"/>
          <w:szCs w:val="22"/>
        </w:rPr>
        <w:t xml:space="preserve">г</w:t>
      </w:r>
      <w:r>
        <w:rPr>
          <w:b/>
          <w:bCs/>
          <w:sz w:val="22"/>
          <w:szCs w:val="22"/>
        </w:rPr>
        <w:t xml:space="preserve">. Хабаровск, ул. Муравьева - Амурского, 35</w:t>
      </w:r>
      <w:r>
        <w:rPr>
          <w:b/>
          <w:bCs/>
          <w:sz w:val="22"/>
          <w:szCs w:val="22"/>
        </w:rPr>
      </w:r>
    </w:p>
    <w:p>
      <w:pPr>
        <w:pStyle w:val="1049"/>
        <w:pBdr/>
        <w:spacing/>
        <w:ind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 w:eastAsia="Times New Roman"/>
          <w:b/>
        </w:rPr>
        <w:t xml:space="preserve">Количество к поставке:</w:t>
      </w:r>
      <w:r>
        <w:rPr>
          <w:rFonts w:ascii="Times New Roman" w:hAnsi="Times New Roman"/>
          <w:b/>
          <w:bCs/>
        </w:rPr>
      </w:r>
    </w:p>
    <w:tbl>
      <w:tblPr>
        <w:tblW w:w="5105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405"/>
        <w:gridCol w:w="1486"/>
        <w:gridCol w:w="1090"/>
        <w:gridCol w:w="2068"/>
        <w:gridCol w:w="1858"/>
      </w:tblGrid>
      <w:tr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п.п.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 ОКПД</w:t>
            </w: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позиции КТРУ 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175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21.20.24.150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21.20.24.150-00000050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Пара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11000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22.19.60.119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22.19.60.119-00000008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22.19.50.000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22.19.50.000-00000064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4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73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21.20.24.110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21.20.24.110-00000019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40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32.50.50.190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32.50.50.190-00000885</w:t>
            </w:r>
            <w:r>
              <w:rPr>
                <w:rFonts w:ascii="Times New Roman" w:hAnsi="Times New Roman" w:eastAsia="Times New Roman"/>
                <w:color w:val="000000" w:themeColor="text1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6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142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13.20.44.120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21.20.24.131-00000148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46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823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21.20.24.131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2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21.20.24.131-00000022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/>
        <w:ind/>
        <w:contextualSpacing w:val="true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Функциональные, технические и качественные характери</w:t>
      </w:r>
      <w:r>
        <w:rPr>
          <w:b/>
          <w:bCs/>
          <w:sz w:val="22"/>
          <w:szCs w:val="22"/>
        </w:rPr>
        <w:t xml:space="preserve">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могут изменяться</w:t>
      </w:r>
      <w:r>
        <w:rPr>
          <w:b/>
          <w:bCs/>
          <w:sz w:val="22"/>
          <w:szCs w:val="22"/>
        </w:rPr>
      </w:r>
    </w:p>
    <w:p>
      <w:pPr>
        <w:pBdr/>
        <w:spacing/>
        <w:ind/>
        <w:contextualSpacing w:val="tru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 w:eastAsia="Times New Roman"/>
          <w:b/>
          <w:bCs/>
          <w:color w:val="000000" w:themeColor="text1"/>
        </w:rPr>
        <w:t xml:space="preserve">1.   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Вата</w:t>
      </w:r>
      <w:r>
        <w:rPr>
          <w:rFonts w:ascii="Times New Roman" w:hAnsi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 xml:space="preserve">- 175 штук</w:t>
      </w:r>
      <w:r>
        <w:rPr>
          <w:rFonts w:ascii="Times New Roman" w:hAnsi="Times New Roman"/>
          <w:b/>
          <w:bCs/>
          <w:color w:val="000000" w:themeColor="text1"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1278"/>
        <w:gridCol w:w="5972"/>
        <w:gridCol w:w="3064"/>
      </w:tblGrid>
      <w:tr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происхождения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58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lang w:eastAsia="ru-RU"/>
              </w:rPr>
              <w:t xml:space="preserve">Описание: </w:t>
            </w:r>
            <w:r>
              <w:rPr>
                <w:rFonts w:ascii="Times New Roman" w:hAnsi="Times New Roman" w:eastAsia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Изделие, предназначенное для использования в качестве абсорбента, изготавливаемое из нестерильной массы ваты или иску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сственных волокон, сформированное в виде непрерывного отрезка (рулона) и, как правило, используемое в качестве впитывающего средства общего назначения или для набивки в лечебных учреждениях или домашних условиях; это не бинт и не специализированная повязка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Соответствие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4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Масса, грамм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250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Стерильность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Нестерильный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3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09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Тип укладки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Рулон</w:t>
            </w:r>
            <w:r>
              <w:rPr>
                <w:rFonts w:ascii="Times New Roman" w:hAnsi="Times New Roman"/>
              </w:rPr>
            </w:r>
          </w:p>
        </w:tc>
      </w:tr>
    </w:tbl>
    <w:p w14:paraId="5D865F07">
      <w:pPr>
        <w:pStyle w:val="1049"/>
        <w:pBdr/>
        <w:spacing/>
        <w:ind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  <w:highlight w:val="none"/>
        </w:rPr>
      </w:pPr>
      <w:r>
        <w:rPr>
          <w:rFonts w:ascii="Times New Roman" w:hAnsi="Times New Roman" w:eastAsia="Times New Roman"/>
          <w:b/>
          <w:bCs/>
          <w:color w:val="000000" w:themeColor="text1"/>
        </w:rPr>
        <w:t xml:space="preserve">2. 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Перчатки смотровые/процедурные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нитриловые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,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неопудренные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, нестерильные</w:t>
      </w:r>
      <w:r>
        <w:rPr>
          <w:rFonts w:ascii="Times New Roman" w:hAnsi="Times New Roman"/>
          <w:b/>
          <w:bCs/>
          <w:color w:val="000000" w:themeColor="text1"/>
        </w:rPr>
        <w:t xml:space="preserve"> - 11 000 пар</w:t>
      </w:r>
      <w:r>
        <w:rPr>
          <w:rFonts w:ascii="Times New Roman" w:hAnsi="Times New Roman"/>
          <w:b/>
          <w:bCs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891"/>
        <w:gridCol w:w="6359"/>
        <w:gridCol w:w="3064"/>
      </w:tblGrid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6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hd w:val="clear" w:color="auto" w:fill="ffffff"/>
              </w:rPr>
              <w:t xml:space="preserve">Описание: 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Нестерильное изделие, изготавливаемое из нитрила для использования в качестве защитного барьера на руках медицинского работника во время осмотра/лечения пациента или для других санитарных целей; внутренняя поверхность перчаток 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неопудрена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, и они не содержат антибактериальных веществ/материалов.</w:t>
            </w:r>
            <w:r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Классификация по типу: Тип 2 - изготовленные на основе нитрильного латекса (Согласно ГОСТ </w:t>
            </w:r>
            <w:r>
              <w:rPr>
                <w:rFonts w:ascii="Times New Roman" w:hAnsi="Times New Roman" w:eastAsia="Times New Roman"/>
              </w:rPr>
              <w:t xml:space="preserve">Р</w:t>
            </w:r>
            <w:r>
              <w:rPr>
                <w:rFonts w:ascii="Times New Roman" w:hAnsi="Times New Roman" w:eastAsia="Times New Roman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Наличие</w:t>
            </w:r>
            <w:r>
              <w:rPr>
                <w:bCs/>
                <w:sz w:val="22"/>
                <w:szCs w:val="22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Классификация в соответствии с отделкой: Текстурный рисунок (Согласно ГОСТ </w:t>
            </w:r>
            <w:r>
              <w:rPr>
                <w:rFonts w:ascii="Times New Roman" w:hAnsi="Times New Roman" w:eastAsia="Times New Roman"/>
              </w:rPr>
              <w:t xml:space="preserve">Р</w:t>
            </w:r>
            <w:r>
              <w:rPr>
                <w:rFonts w:ascii="Times New Roman" w:hAnsi="Times New Roman" w:eastAsia="Times New Roman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Наличие</w:t>
            </w:r>
            <w:r>
              <w:rPr>
                <w:bCs/>
                <w:sz w:val="22"/>
                <w:szCs w:val="22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Код размера: 7,5 (Согласно ГОСТ </w:t>
            </w:r>
            <w:r>
              <w:rPr>
                <w:rFonts w:ascii="Times New Roman" w:hAnsi="Times New Roman" w:eastAsia="Times New Roman"/>
              </w:rPr>
              <w:t xml:space="preserve">Р</w:t>
            </w:r>
            <w:r>
              <w:rPr>
                <w:rFonts w:ascii="Times New Roman" w:hAnsi="Times New Roman" w:eastAsia="Times New Roman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Наличие</w:t>
            </w:r>
            <w:r>
              <w:rPr>
                <w:bCs/>
                <w:sz w:val="22"/>
                <w:szCs w:val="22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Классификация в соответствии с отделкой: </w:t>
            </w:r>
            <w:r>
              <w:rPr>
                <w:rFonts w:ascii="Times New Roman" w:hAnsi="Times New Roman" w:eastAsia="Times New Roman"/>
              </w:rPr>
              <w:t xml:space="preserve">Неопудренная</w:t>
            </w:r>
            <w:r>
              <w:rPr>
                <w:rFonts w:ascii="Times New Roman" w:hAnsi="Times New Roman" w:eastAsia="Times New Roman"/>
              </w:rPr>
              <w:t xml:space="preserve"> поверхность (Согласно ГОСТ </w:t>
            </w:r>
            <w:r>
              <w:rPr>
                <w:rFonts w:ascii="Times New Roman" w:hAnsi="Times New Roman" w:eastAsia="Times New Roman"/>
              </w:rPr>
              <w:t xml:space="preserve">Р</w:t>
            </w:r>
            <w:r>
              <w:rPr>
                <w:rFonts w:ascii="Times New Roman" w:hAnsi="Times New Roman" w:eastAsia="Times New Roman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Наличие</w:t>
            </w:r>
            <w:r>
              <w:rPr>
                <w:bCs/>
                <w:sz w:val="22"/>
                <w:szCs w:val="22"/>
                <w:shd w:val="clear" w:color="auto" w:fill="ffffff"/>
              </w:rPr>
            </w:r>
          </w:p>
        </w:tc>
      </w:tr>
    </w:tbl>
    <w:p w14:paraId="63A24CBD"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  <w:highlight w:val="none"/>
          <w:shd w:val="clear" w:color="auto" w:fill="ffffff"/>
        </w:rPr>
      </w:pPr>
      <w:r>
        <w:rPr>
          <w:rFonts w:ascii="Times New Roman" w:hAnsi="Times New Roman" w:eastAsia="Times New Roman"/>
          <w:color w:val="000000" w:themeColor="text1"/>
        </w:rPr>
      </w:r>
      <w:r>
        <w:rPr>
          <w:rFonts w:ascii="Times New Roman" w:hAnsi="Times New Roman" w:eastAsia="Times New Roman"/>
          <w:b/>
          <w:bCs/>
          <w:color w:val="000000" w:themeColor="text1"/>
        </w:rPr>
        <w:t xml:space="preserve">3.  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Клеенка подкладная резинотканевая</w:t>
      </w:r>
      <w:r>
        <w:rPr>
          <w:rFonts w:ascii="Times New Roman" w:hAnsi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 xml:space="preserve">- 1 штука</w:t>
      </w:r>
      <w:r>
        <w:rPr>
          <w:rFonts w:ascii="Times New Roman" w:hAnsi="Times New Roman"/>
          <w:b/>
          <w:color w:val="000000" w:themeColor="text1"/>
          <w:shd w:val="clear" w:color="auto" w:fill="ffffff"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1252"/>
        <w:gridCol w:w="5998"/>
        <w:gridCol w:w="3064"/>
      </w:tblGrid>
      <w:tr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/>
            <w:tcW w:w="5834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Назначение: </w:t>
            </w:r>
            <w:r>
              <w:rPr>
                <w:rFonts w:ascii="Times New Roman" w:hAnsi="Times New Roman"/>
              </w:rPr>
              <w:t xml:space="preserve">Клеенка подкладная предназначена  для санитарно-гигиенических целей в качестве подкладочного, непроницаемого материала.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Соответствие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4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Длина рулона, метр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Ткань - основа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Хлопчатобумажная ткань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6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Формат выпуска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Рулон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8" w:type="dxa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7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4" w:type="dxa"/>
            <w:vAlign w:val="center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Ширина рулона, метр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</w:tr>
    </w:tbl>
    <w:p w14:paraId="1B2F804A">
      <w:pPr>
        <w:pStyle w:val="1049"/>
        <w:pBdr/>
        <w:spacing/>
        <w:ind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  <w:highlight w:val="none"/>
        </w:rPr>
      </w:pPr>
      <w:r>
        <w:rPr>
          <w:rFonts w:ascii="Times New Roman" w:hAnsi="Times New Roman"/>
          <w:b/>
          <w:bCs/>
        </w:rPr>
        <w:t xml:space="preserve">4.  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Лейкопластырь кожный</w:t>
      </w:r>
      <w:r>
        <w:rPr>
          <w:rFonts w:ascii="Times New Roman" w:hAnsi="Times New Roman"/>
          <w:b/>
          <w:bCs/>
          <w:color w:val="000000" w:themeColor="text1"/>
        </w:rPr>
        <w:t xml:space="preserve"> - 73 штуки</w:t>
      </w:r>
      <w:r>
        <w:rPr>
          <w:rFonts w:ascii="Times New Roman" w:hAnsi="Times New Roman"/>
          <w:b/>
          <w:bCs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891"/>
        <w:gridCol w:w="6359"/>
        <w:gridCol w:w="3064"/>
      </w:tblGrid>
      <w:tr>
        <w:trPr>
          <w:trHeight w:val="8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Описание: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Длинная и узкая гибкая полоска из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несиликонового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материала (например, ткани, пластика, бумаги), покрытая с одной или с двух сторон самоклеящимся слоем, предназначенная для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неинвазивного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сцепления с поверхностью кожи с целью фиксации повязки на месте или прикрепления предметов (например, катетера, лампы); изделие может обладать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гипоаллергенными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и/или водонепроницаемыми свойствами.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4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Воздухопроницаемый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Да</w:t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Длина, сантиметр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6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Основа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Тканая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7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Ширина, сантиметр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</w:tbl>
    <w:p w14:paraId="18A66EC0">
      <w:pPr>
        <w:pStyle w:val="1049"/>
        <w:pBdr/>
        <w:spacing/>
        <w:ind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highlight w:val="none"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  <w:highlight w:val="none"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  <w:bCs/>
        </w:rPr>
        <w:t xml:space="preserve">5.  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Мешок патологоанатомический</w:t>
      </w:r>
      <w:r>
        <w:rPr>
          <w:rFonts w:ascii="Times New Roman" w:hAnsi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 xml:space="preserve">- 40 штук</w:t>
      </w:r>
      <w:r>
        <w:rPr>
          <w:rFonts w:ascii="Times New Roman" w:hAnsi="Times New Roman"/>
          <w:b/>
          <w:bCs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893"/>
        <w:gridCol w:w="6358"/>
        <w:gridCol w:w="3063"/>
      </w:tblGrid>
      <w:tr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установлено, указывается поставщиком в заявке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>
              <w:rPr>
                <w:sz w:val="22"/>
                <w:szCs w:val="22"/>
              </w:rPr>
              <w:t xml:space="preserve">установлена</w:t>
            </w:r>
            <w:r>
              <w:rPr>
                <w:sz w:val="22"/>
                <w:szCs w:val="22"/>
              </w:rPr>
              <w:t xml:space="preserve">, указывается поставщиком в заявке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Описание: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Мешок для хранения трупа, подготовленного для анатомического исследования. Это изделие одноразовое.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Материал: Полиэтилен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Наличие</w:t>
            </w:r>
            <w:r>
              <w:rPr>
                <w:rFonts w:ascii="Times New Roman" w:hAnsi="Times New Roman"/>
                <w:bCs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Длина, сантиметр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Ширина, сантиметр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молнии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Расположение молнии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 центру изделия</w:t>
            </w:r>
            <w:r>
              <w:rPr>
                <w:rFonts w:ascii="Times New Roman" w:hAnsi="Times New Roman"/>
                <w:highlight w:val="white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" w:type="dxa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ручек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vMerge w:val="restart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1049"/>
        <w:pBdr/>
        <w:spacing/>
        <w:ind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6. 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Рулон марлевый тканый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 Вид 1</w:t>
      </w:r>
      <w:r>
        <w:rPr>
          <w:rFonts w:ascii="Times New Roman" w:hAnsi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 xml:space="preserve">- 142 штуки</w:t>
      </w:r>
      <w:r>
        <w:rPr>
          <w:rFonts w:ascii="Times New Roman" w:hAnsi="Times New Roman"/>
          <w:b/>
          <w:bCs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891"/>
        <w:gridCol w:w="6359"/>
        <w:gridCol w:w="3064"/>
      </w:tblGrid>
      <w:tr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6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</w:rPr>
              <w:t xml:space="preserve">О</w:t>
            </w:r>
            <w:r>
              <w:rPr>
                <w:rFonts w:ascii="Times New Roman" w:hAnsi="Times New Roman" w:eastAsia="Times New Roman"/>
                <w:color w:val="000000" w:themeColor="text1"/>
              </w:rPr>
              <w:t xml:space="preserve">писание: 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</w:t>
            </w: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Соответствие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Длина, 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Ширина, сантиметр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Наличие </w:t>
            </w:r>
            <w:r>
              <w:rPr>
                <w:rFonts w:ascii="Times New Roman" w:hAnsi="Times New Roman" w:eastAsia="Times New Roman"/>
              </w:rPr>
              <w:t xml:space="preserve">рентгеноконтрастной</w:t>
            </w:r>
            <w:r>
              <w:rPr>
                <w:rFonts w:ascii="Times New Roman" w:hAnsi="Times New Roman" w:eastAsia="Times New Roman"/>
              </w:rPr>
              <w:t xml:space="preserve"> нити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Нет</w:t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</w:tr>
    </w:tbl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49"/>
        <w:pBdr/>
        <w:spacing/>
        <w:ind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color w:val="000000" w:themeColor="text1"/>
        </w:rPr>
      </w:r>
      <w:r>
        <w:rPr>
          <w:rFonts w:ascii="Times New Roman" w:hAnsi="Times New Roman"/>
          <w:b/>
          <w:bCs/>
          <w:color w:val="000000" w:themeColor="text1"/>
        </w:rPr>
        <w:t xml:space="preserve">7.  </w:t>
      </w:r>
      <w:r>
        <w:rPr>
          <w:rFonts w:ascii="Times New Roman" w:hAnsi="Times New Roman"/>
          <w:b/>
          <w:bCs/>
          <w:color w:val="000000" w:themeColor="text1"/>
          <w:highlight w:val="red"/>
        </w:rPr>
        <w:t xml:space="preserve"> 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Рулон марлевый тканый</w:t>
      </w:r>
      <w:r>
        <w:rPr>
          <w:rFonts w:ascii="Times New Roman" w:hAnsi="Times New Roman" w:eastAsia="Times New Roman"/>
          <w:b/>
          <w:bCs/>
          <w:color w:val="000000" w:themeColor="text1"/>
          <w:highlight w:val="red"/>
        </w:rPr>
        <w:t xml:space="preserve"> Вид 2</w:t>
      </w:r>
      <w:r>
        <w:rPr>
          <w:rFonts w:ascii="Times New Roman" w:hAnsi="Times New Roman"/>
          <w:b/>
          <w:bCs/>
          <w:color w:val="000000" w:themeColor="text1"/>
        </w:rPr>
        <w:t xml:space="preserve"> - 823 штуки</w:t>
      </w:r>
      <w:r>
        <w:rPr>
          <w:rFonts w:ascii="Times New Roman" w:hAnsi="Times New Roman"/>
          <w:b/>
          <w:bCs/>
          <w:color w:val="000000" w:themeColor="text1"/>
        </w:rPr>
      </w:r>
      <w:r>
        <w:rPr>
          <w:rFonts w:ascii="Times New Roman" w:hAnsi="Times New Roman"/>
          <w:b/>
          <w:bCs/>
          <w:color w:val="000000" w:themeColor="text1"/>
        </w:rPr>
      </w:r>
    </w:p>
    <w:tbl>
      <w:tblPr>
        <w:tblW w:w="4948" w:type="pct"/>
        <w:tblBorders/>
        <w:tblLayout w:type="fixed"/>
        <w:tblLook w:val="0000" w:firstRow="0" w:lastRow="0" w:firstColumn="0" w:lastColumn="0" w:noHBand="0" w:noVBand="0"/>
      </w:tblPr>
      <w:tblGrid>
        <w:gridCol w:w="891"/>
        <w:gridCol w:w="6359"/>
        <w:gridCol w:w="3064"/>
      </w:tblGrid>
      <w:tr>
        <w:trPr>
          <w:trHeight w:val="7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Требуемое значение,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параметра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618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Описание: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исп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 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Соответствие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Длина, 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Ширина, сантиметр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rPr>
          <w:trHeight w:val="3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5" w:type="dxa"/>
            <w:textDirection w:val="lrTb"/>
            <w:noWrap w:val="false"/>
          </w:tcPr>
          <w:p>
            <w:pPr>
              <w:pStyle w:val="1049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Наличие </w:t>
            </w:r>
            <w:r>
              <w:rPr>
                <w:rFonts w:ascii="Times New Roman" w:hAnsi="Times New Roman" w:eastAsia="Times New Roman"/>
              </w:rPr>
              <w:t xml:space="preserve">рентгеноконтрастной</w:t>
            </w:r>
            <w:r>
              <w:rPr>
                <w:rFonts w:ascii="Times New Roman" w:hAnsi="Times New Roman" w:eastAsia="Times New Roman"/>
              </w:rPr>
              <w:t xml:space="preserve"> нити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highlight w:val="white"/>
              </w:rPr>
              <w:t xml:space="preserve">Нет</w:t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</w:tr>
    </w:tbl>
    <w:p>
      <w:pPr>
        <w:pBdr/>
        <w:spacing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jc w:val="both"/>
        <w:rPr>
          <w:bCs/>
          <w:i/>
          <w:iCs/>
          <w:sz w:val="18"/>
          <w:szCs w:val="18"/>
          <w:shd w:val="clear" w:color="auto" w:fill="ffffff"/>
        </w:rPr>
      </w:pPr>
      <w:r>
        <w:rPr>
          <w:i/>
          <w:sz w:val="18"/>
          <w:szCs w:val="18"/>
          <w:shd w:val="clear" w:color="auto" w:fill="ffffff"/>
        </w:rPr>
        <w:t xml:space="preserve">-наименование </w:t>
      </w:r>
      <w:r>
        <w:rPr>
          <w:i/>
          <w:sz w:val="18"/>
          <w:szCs w:val="18"/>
          <w:shd w:val="clear" w:color="auto" w:fill="ffffff"/>
        </w:rPr>
        <w:t xml:space="preserve">товара</w:t>
      </w:r>
      <w:r>
        <w:rPr>
          <w:i/>
          <w:sz w:val="18"/>
          <w:szCs w:val="18"/>
          <w:shd w:val="clear" w:color="auto" w:fill="ffffff"/>
        </w:rPr>
        <w:t xml:space="preserve"> указано исходя из номенклатурной классификации медицинских изделий по видам </w:t>
      </w:r>
      <w:r>
        <w:rPr>
          <w:i/>
          <w:sz w:val="18"/>
          <w:szCs w:val="18"/>
          <w:shd w:val="clear" w:color="auto" w:fill="ffffff"/>
        </w:rPr>
        <w:t xml:space="preserve">Росздравнадзора</w:t>
      </w:r>
      <w:r>
        <w:rPr>
          <w:i/>
          <w:sz w:val="18"/>
          <w:szCs w:val="18"/>
          <w:shd w:val="clear" w:color="auto" w:fill="ffffff"/>
        </w:rPr>
        <w:t xml:space="preserve"> </w:t>
      </w:r>
      <w:r>
        <w:rPr>
          <w:bCs/>
          <w:i/>
          <w:iCs/>
          <w:sz w:val="18"/>
          <w:szCs w:val="18"/>
          <w:shd w:val="clear" w:color="auto" w:fill="ffffff"/>
        </w:rPr>
      </w:r>
    </w:p>
    <w:p>
      <w:pPr>
        <w:pBdr/>
        <w:spacing/>
        <w:ind/>
        <w:contextualSpacing w:val="true"/>
        <w:jc w:val="both"/>
        <w:rPr>
          <w:i/>
          <w:sz w:val="18"/>
          <w:szCs w:val="18"/>
          <w:shd w:val="clear" w:color="auto" w:fill="ffffff"/>
        </w:rPr>
      </w:pPr>
      <w:r>
        <w:rPr>
          <w:i/>
          <w:sz w:val="18"/>
          <w:szCs w:val="18"/>
          <w:shd w:val="clear" w:color="auto" w:fill="ffffff"/>
        </w:rPr>
        <w:t xml:space="preserve">- в техническом задании одноименные товары, имеющие разные характеристики и параметры разделены по Видам</w:t>
      </w:r>
      <w:r>
        <w:rPr>
          <w:i/>
          <w:sz w:val="18"/>
          <w:szCs w:val="18"/>
          <w:shd w:val="clear" w:color="auto" w:fill="ffffff"/>
        </w:rPr>
      </w:r>
    </w:p>
    <w:p>
      <w:pPr>
        <w:pBdr/>
        <w:spacing/>
        <w:ind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*возможна поставка медицинских изделий в иной упаковке, чем указано в техническом задании, при условии соблюдения общего количества единиц измерения по каждой позиции</w:t>
      </w:r>
      <w:r>
        <w:rPr>
          <w:i/>
          <w:sz w:val="18"/>
          <w:szCs w:val="18"/>
        </w:rPr>
      </w:r>
    </w:p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  <w:r>
        <w:rPr>
          <w:b/>
          <w:sz w:val="22"/>
          <w:szCs w:val="22"/>
        </w:rPr>
      </w:r>
    </w:p>
    <w:p>
      <w:pPr>
        <w:pBdr/>
        <w:spacing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Безопасность Товара должна соответствовать требованиям технических регламентов, ГОСТ, действующих на территории Российской Федерации.</w:t>
      </w:r>
      <w:r>
        <w:rPr>
          <w:b/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Товар должен поставляться в оригинальной завод</w:t>
      </w:r>
      <w:r>
        <w:rPr>
          <w:sz w:val="22"/>
          <w:szCs w:val="22"/>
        </w:rPr>
        <w:t xml:space="preserve">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  <w:r>
        <w:rPr>
          <w:sz w:val="22"/>
          <w:szCs w:val="22"/>
        </w:rPr>
      </w:r>
    </w:p>
    <w:p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Мар</w:t>
      </w:r>
      <w:r>
        <w:rPr>
          <w:sz w:val="22"/>
          <w:szCs w:val="22"/>
        </w:rPr>
        <w:t xml:space="preserve">кировка товара и тары (упаковки) товара, в том числе транспортной, должна содержать информацию согласно требованиям действующего законодательства Российской Федерации: наименование изделия, наименование фирмы-изготовителя, адрес изготовителя, дату выпуска.</w:t>
      </w:r>
      <w:r>
        <w:rPr>
          <w:sz w:val="22"/>
          <w:szCs w:val="22"/>
        </w:rPr>
      </w:r>
    </w:p>
    <w:p>
      <w:pPr>
        <w:pBdr/>
        <w:spacing/>
        <w:ind w:firstLine="567"/>
        <w:contextualSpacing w:val="true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Наименование товара должно быть  указано исходя из номенклатурной классификации медицинских изделий по видам </w:t>
      </w:r>
      <w:r>
        <w:rPr>
          <w:sz w:val="22"/>
          <w:szCs w:val="22"/>
        </w:rPr>
        <w:t xml:space="preserve">Росздравнадзора</w:t>
      </w:r>
      <w:r>
        <w:rPr>
          <w:sz w:val="22"/>
          <w:szCs w:val="22"/>
        </w:rPr>
        <w:t xml:space="preserve"> и соответствующих </w:t>
      </w:r>
      <w:r>
        <w:rPr>
          <w:sz w:val="22"/>
          <w:szCs w:val="22"/>
        </w:rPr>
        <w:t xml:space="preserve">ГОСТов</w:t>
      </w:r>
      <w:r>
        <w:rPr>
          <w:sz w:val="22"/>
          <w:szCs w:val="22"/>
        </w:rPr>
        <w:t xml:space="preserve"> на изделия,</w:t>
      </w:r>
      <w:r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 возможна поставка </w:t>
      </w:r>
      <w:r>
        <w:rPr>
          <w:sz w:val="22"/>
          <w:szCs w:val="22"/>
        </w:rPr>
        <w:t xml:space="preserve">медицинских изделий в иной упаковке, чем указано в техническом задании, при условии соблюдения общего количества единиц измерения по каждой позиции.</w:t>
      </w:r>
      <w:r>
        <w:rPr>
          <w:bCs/>
          <w:iCs/>
          <w:sz w:val="22"/>
          <w:szCs w:val="22"/>
        </w:rPr>
      </w:r>
    </w:p>
    <w:p>
      <w:pPr>
        <w:pStyle w:val="1128"/>
        <w:pBdr/>
        <w:spacing/>
        <w:ind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lang w:eastAsia="zh-CN"/>
        </w:rPr>
        <w:t xml:space="preserve">Прослеживание товара в системе «Честный знак»: Маркировка товара согласно действующему законодательству Российской Федерации.</w:t>
      </w:r>
      <w:r>
        <w:rPr>
          <w:rFonts w:ascii="Times New Roman" w:hAnsi="Times New Roman" w:eastAsia="Calibri"/>
        </w:rPr>
      </w:r>
    </w:p>
    <w:p>
      <w:pPr>
        <w:pStyle w:val="1087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1757"/>
        <w:gridCol w:w="6806"/>
        <w:gridCol w:w="1859"/>
      </w:tblGrid>
      <w:tr>
        <w:trPr>
          <w:jc w:val="center"/>
          <w:trHeight w:val="20"/>
        </w:trPr>
        <w:tc>
          <w:tcPr>
            <w:gridSpan w:val="3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1.Требования к документам</w:t>
            </w:r>
            <w:r>
              <w:rPr>
                <w:sz w:val="22"/>
                <w:szCs w:val="22"/>
                <w:vertAlign w:val="superscript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3265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Копия регистрационного удостоверения МЗ РФ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</w:t>
            </w:r>
            <w:r>
              <w:rPr>
                <w:sz w:val="22"/>
                <w:szCs w:val="22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326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</w:t>
            </w:r>
            <w:r>
              <w:rPr>
                <w:position w:val="2"/>
                <w:sz w:val="22"/>
                <w:szCs w:val="22"/>
                <w:lang w:eastAsia="ar-SA"/>
              </w:rPr>
              <w:t xml:space="preserve">опия сертификата соответствия и/или (копия Декларации о соответствии)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</w:t>
            </w:r>
            <w:r>
              <w:rPr>
                <w:sz w:val="22"/>
                <w:szCs w:val="22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3265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Паспорт и/или руководство и/или этикетка по эксплуатации на русском языке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</w:t>
            </w:r>
            <w:r>
              <w:rPr>
                <w:sz w:val="22"/>
                <w:szCs w:val="22"/>
              </w:rPr>
            </w:r>
          </w:p>
        </w:tc>
      </w:tr>
      <w:tr>
        <w:trPr>
          <w:jc w:val="center"/>
          <w:trHeight w:val="20"/>
        </w:trPr>
        <w:tc>
          <w:tcPr>
            <w:gridSpan w:val="3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2. Требования к упаковке и маркировке </w:t>
            </w:r>
            <w:r>
              <w:rPr>
                <w:sz w:val="22"/>
                <w:szCs w:val="22"/>
                <w:vertAlign w:val="superscript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32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Маркировка наименования изделия на упаковке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contextualSpacing w:val="true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Требования к году (месяцу) изготовления товара</w:t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Остаточный срок годности – не менее 12 месяцев </w:t>
      </w:r>
      <w:r>
        <w:rPr>
          <w:sz w:val="22"/>
          <w:szCs w:val="22"/>
        </w:rPr>
        <w:t xml:space="preserve">с даты поставки</w:t>
      </w:r>
      <w:r>
        <w:rPr>
          <w:sz w:val="22"/>
          <w:szCs w:val="22"/>
        </w:rPr>
      </w:r>
    </w:p>
    <w:p>
      <w:pPr>
        <w:pBdr/>
        <w:spacing/>
        <w:ind/>
        <w:contextualSpacing w:val="true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0"/>
        </w:tabs>
        <w:spacing/>
        <w:ind w:right="-1" w:firstLine="709" w:left="-567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Примечание: </w:t>
      </w:r>
      <w:r>
        <w:rPr>
          <w:b/>
          <w:sz w:val="22"/>
          <w:szCs w:val="22"/>
        </w:rPr>
      </w:r>
    </w:p>
    <w:p>
      <w:pPr>
        <w:pBdr/>
        <w:tabs>
          <w:tab w:val="left" w:leader="none" w:pos="0"/>
        </w:tabs>
        <w:spacing/>
        <w:ind w:right="-1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sz w:val="18"/>
          <w:szCs w:val="18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sz w:val="18"/>
          <w:szCs w:val="18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sz w:val="18"/>
          <w:szCs w:val="18"/>
        </w:rPr>
      </w:r>
    </w:p>
    <w:p>
      <w:pPr>
        <w:pBdr/>
        <w:spacing/>
        <w:ind w:left="-14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 w:left="360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 w:left="36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468"/>
        <w:gridCol w:w="4673"/>
      </w:tblGrid>
      <w:tr>
        <w:trPr>
          <w:trHeight w:val="470"/>
        </w:trPr>
        <w:tc>
          <w:tcPr>
            <w:tcBorders/>
            <w:tcW w:w="53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54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5"/>
        </w:trPr>
        <w:tc>
          <w:tcPr>
            <w:tcBorders/>
            <w:tcW w:w="531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/_____________/ 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54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</w:t>
            </w:r>
            <w:r>
              <w:rPr>
                <w:sz w:val="22"/>
                <w:szCs w:val="22"/>
                <w:lang w:eastAsia="ar-SA"/>
              </w:rPr>
              <w:t xml:space="preserve"> /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67"/>
        </w:trPr>
        <w:tc>
          <w:tcPr>
            <w:tcBorders/>
            <w:tcW w:w="531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54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</w:tr>
    </w:tbl>
    <w:p>
      <w:pPr>
        <w:pageBreakBefore w:val="true"/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3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Контракту от "    "          2026г. № 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ОТГРУЗОЧНАЯ РАЗНАРЯДКА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(ПЛАН РАСПРЕДЕЛЕНИЯ)</w:t>
      </w:r>
      <w:r>
        <w:rPr>
          <w:sz w:val="22"/>
          <w:szCs w:val="22"/>
        </w:rPr>
      </w:r>
    </w:p>
    <w:tbl>
      <w:tblPr>
        <w:tblW w:w="9423" w:type="dxa"/>
        <w:tblCellMar>
          <w:left w:w="67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86"/>
        <w:gridCol w:w="3652"/>
        <w:gridCol w:w="1140"/>
        <w:gridCol w:w="1220"/>
        <w:gridCol w:w="2825"/>
      </w:tblGrid>
      <w:tr>
        <w:trPr>
          <w:trHeight w:val="934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tcW w:w="365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4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2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 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доставки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bookmarkStart w:id="4" w:name="_GoBack"/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End w:id="4"/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Пара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1049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color w:val="000000" w:themeColor="text1"/>
              </w:rPr>
              <w:t xml:space="preserve">Штука</w:t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vanish/>
          <w:sz w:val="22"/>
          <w:szCs w:val="22"/>
        </w:rPr>
      </w:pPr>
      <w:r>
        <w:rPr>
          <w:vanish/>
          <w:sz w:val="22"/>
          <w:szCs w:val="22"/>
        </w:rPr>
      </w:r>
      <w:r>
        <w:rPr>
          <w:vanish/>
          <w:sz w:val="22"/>
          <w:szCs w:val="22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470"/>
        <w:gridCol w:w="4671"/>
      </w:tblGrid>
      <w:tr>
        <w:trPr>
          <w:trHeight w:val="470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5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/_____________/ 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</w:t>
            </w:r>
            <w:r>
              <w:rPr>
                <w:sz w:val="22"/>
                <w:szCs w:val="22"/>
                <w:lang w:eastAsia="ar-SA"/>
              </w:rPr>
              <w:t xml:space="preserve"> /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67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vanish/>
          <w:sz w:val="22"/>
          <w:szCs w:val="22"/>
        </w:rPr>
      </w:pPr>
      <w:r>
        <w:rPr>
          <w:vanish/>
          <w:sz w:val="22"/>
          <w:szCs w:val="22"/>
        </w:rPr>
      </w:r>
      <w:r>
        <w:rPr>
          <w:vanish/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  <w:sectPr>
          <w:footnotePr/>
          <w:endnotePr/>
          <w:type w:val="nextPage"/>
          <w:pgSz w:h="16838" w:orient="portrait" w:w="11906"/>
          <w:pgMar w:top="567" w:right="566" w:bottom="568" w:left="1134" w:header="397" w:footer="397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4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Контракту от "    "         2026г. № 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Образец утвержден</w:t>
      </w:r>
      <w:r>
        <w:rPr>
          <w:b/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СВОДНЫЙ РЕЕСТР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ТОВАРНЫХ НАКЛАДНЫХ НА ПОСТАВКУ ТОВАРА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"__" ________ 20__ г. № 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(предоставляется при необходимости)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По Контракту от "__" ______ 20__ г. № 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Поставщик ИНН/КПП ______________________________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Сводный счет от "__" __________ 20__ г. № 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Ind w:w="62" w:type="dxa"/>
        <w:tblW w:w="0" w:type="auto"/>
        <w:tblCellMar>
          <w:left w:w="67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737"/>
        <w:gridCol w:w="1191"/>
        <w:gridCol w:w="1701"/>
        <w:gridCol w:w="624"/>
        <w:gridCol w:w="794"/>
        <w:gridCol w:w="1020"/>
        <w:gridCol w:w="1019"/>
        <w:gridCol w:w="1362"/>
      </w:tblGrid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62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41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Накладная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20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19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ед., руб.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36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Стоимость, руб.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 КПП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hyperlink r:id="rId15" w:tooltip="consultantplus://offline/ref=E905B4E6CBBADE0EE52117383EC529A589BC0A56EF66F201042ABE1112J6z3D" w:history="1">
              <w:r>
                <w:rPr>
                  <w:sz w:val="22"/>
                  <w:szCs w:val="22"/>
                </w:rPr>
                <w:t xml:space="preserve">ОКАТО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" w:tooltip="consultantplus://offline/ref=E905B4E6CBBADE0EE52117383EC529A58ABA015CEB6EF201042ABE1112J6z3D" w:history="1">
              <w:r>
                <w:rPr>
                  <w:sz w:val="22"/>
                  <w:szCs w:val="22"/>
                </w:rPr>
                <w:t xml:space="preserve">(ОКТМО)</w:t>
              </w:r>
            </w:hyperlink>
            <w:r/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2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3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2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1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36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2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1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36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2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1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36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1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2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1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36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Поставщика               _______________________________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Подпись, расшифровка подписи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М.П. (при наличии)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470"/>
        <w:gridCol w:w="4671"/>
      </w:tblGrid>
      <w:tr>
        <w:trPr>
          <w:trHeight w:val="470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5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/_____________/ 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</w:t>
            </w:r>
            <w:r>
              <w:rPr>
                <w:sz w:val="22"/>
                <w:szCs w:val="22"/>
                <w:lang w:eastAsia="ar-SA"/>
              </w:rPr>
              <w:t xml:space="preserve"> /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67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5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Контракту от "      "        2026г. №  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Образец утвержден</w:t>
      </w:r>
      <w:r>
        <w:rPr>
          <w:b/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  <w:highlight w:val="red"/>
        </w:rPr>
      </w:pPr>
      <w:r>
        <w:rPr>
          <w:sz w:val="22"/>
          <w:szCs w:val="22"/>
          <w:highlight w:val="red"/>
        </w:rPr>
      </w:r>
      <w:r>
        <w:rPr>
          <w:sz w:val="22"/>
          <w:szCs w:val="22"/>
          <w:highlight w:val="red"/>
        </w:rPr>
      </w:r>
    </w:p>
    <w:p>
      <w:pPr>
        <w:widowControl w:val="false"/>
        <w:pBdr/>
        <w:spacing/>
        <w:ind/>
        <w:jc w:val="both"/>
        <w:rPr>
          <w:sz w:val="22"/>
          <w:szCs w:val="22"/>
          <w:highlight w:val="red"/>
        </w:rPr>
      </w:pPr>
      <w:r>
        <w:rPr>
          <w:sz w:val="22"/>
          <w:szCs w:val="22"/>
          <w:highlight w:val="red"/>
        </w:rPr>
      </w:r>
      <w:r>
        <w:rPr>
          <w:sz w:val="22"/>
          <w:szCs w:val="22"/>
          <w:highlight w:val="red"/>
        </w:rPr>
      </w:r>
    </w:p>
    <w:p>
      <w:pPr>
        <w:widowControl w:val="false"/>
        <w:pBdr/>
        <w:spacing/>
        <w:ind/>
        <w:jc w:val="both"/>
        <w:rPr>
          <w:sz w:val="22"/>
          <w:szCs w:val="22"/>
          <w:highlight w:val="red"/>
        </w:rPr>
      </w:pPr>
      <w:r>
        <w:rPr>
          <w:sz w:val="22"/>
          <w:szCs w:val="22"/>
          <w:highlight w:val="red"/>
        </w:rPr>
      </w:r>
      <w:r>
        <w:rPr>
          <w:sz w:val="22"/>
          <w:szCs w:val="22"/>
          <w:highlight w:val="red"/>
        </w:rPr>
      </w:r>
    </w:p>
    <w:p>
      <w:pPr>
        <w:widowControl w:val="false"/>
        <w:pBdr/>
        <w:spacing/>
        <w:ind/>
        <w:jc w:val="both"/>
        <w:rPr>
          <w:sz w:val="22"/>
          <w:szCs w:val="22"/>
          <w:highlight w:val="red"/>
        </w:rPr>
      </w:pPr>
      <w:r>
        <w:rPr>
          <w:sz w:val="22"/>
          <w:szCs w:val="22"/>
          <w:highlight w:val="red"/>
        </w:rPr>
      </w:r>
      <w:r>
        <w:rPr>
          <w:sz w:val="22"/>
          <w:szCs w:val="22"/>
          <w:highlight w:val="red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АКТ СВЕРКИ РАСЧЕТОВ         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____________________________________________________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и __________________________________________________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(Контракт от "__" ____________ 20__ г. № ____)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Сальдо на ___________ ____________                 Раздел 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(дата)             (сумма)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Ind w:w="62" w:type="dxa"/>
        <w:tblW w:w="0" w:type="auto"/>
        <w:tblCellMar>
          <w:left w:w="67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860"/>
        <w:gridCol w:w="2041"/>
        <w:gridCol w:w="1960"/>
        <w:gridCol w:w="2153"/>
      </w:tblGrid>
      <w:tr>
        <w:trPr/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9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Заказчика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11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Поставщика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платежных поручений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4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Сумма, руб.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акта, дата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Сумма, руб.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4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Итого: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4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Сальдо </w:t>
      </w:r>
      <w:r>
        <w:rPr>
          <w:sz w:val="22"/>
          <w:szCs w:val="22"/>
        </w:rPr>
        <w:t xml:space="preserve">на</w:t>
      </w:r>
      <w:r>
        <w:rPr>
          <w:sz w:val="22"/>
          <w:szCs w:val="22"/>
        </w:rPr>
        <w:t xml:space="preserve"> ___________ 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(дата)             (сумма)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пользу 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Заказчик                                                          Поставщик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 ________________________   ____________ _______________________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(подпись)       (расшифровка подписи)             (подпись)        (расшифровка подписи)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Главный бухгалтер                                          Главный бухгалтер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 ________________________   ____________ _______________________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(подпись)        (расшифровка подписи)            (подпись)        (расшифровка подписи)</w:t>
      </w:r>
      <w:r>
        <w:rPr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470"/>
        <w:gridCol w:w="4671"/>
      </w:tblGrid>
      <w:tr>
        <w:trPr>
          <w:trHeight w:val="470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35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/_____________/ 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 _____________</w:t>
            </w:r>
            <w:r>
              <w:rPr>
                <w:sz w:val="22"/>
                <w:szCs w:val="22"/>
                <w:lang w:eastAsia="ar-SA"/>
              </w:rPr>
              <w:t xml:space="preserve"> /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67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709" w:right="566" w:bottom="709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DejaVu Sans">
    <w:panose1 w:val="020B0603030804020204"/>
  </w:font>
  <w:font w:name="Lucida Sans Unicode">
    <w:panose1 w:val="020B0502040504020204"/>
  </w:font>
  <w:font w:name="Courier New">
    <w:panose1 w:val="02070409020205020404"/>
  </w:font>
  <w:font w:name="FreeSans">
    <w:panose1 w:val="02020603050405020304"/>
  </w:font>
  <w:font w:name="Nimbus Roman">
    <w:panose1 w:val="00000500000000000000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alibri Light">
    <w:panose1 w:val="020F0502020204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Noto Sans CJK SC Regular">
    <w:panose1 w:val="020B0502040504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1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1058"/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8A4C9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2">
    <w:nsid w:val="033663DE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">
    <w:nsid w:val="07446B4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4">
    <w:nsid w:val="07864180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5">
    <w:nsid w:val="0B19695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6">
    <w:nsid w:val="0B5737E1"/>
    <w:lvl w:ilvl="0">
      <w:isLgl w:val="false"/>
      <w:lvlJc w:val="left"/>
      <w:lvlText w:val="%1"/>
      <w:numFmt w:val="decimal"/>
      <w:pPr>
        <w:pBdr/>
        <w:spacing/>
        <w:ind w:hanging="360" w:left="540"/>
      </w:pPr>
      <w:rPr/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7">
    <w:nsid w:val="0F531C8D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8">
    <w:nsid w:val="121150A6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9">
    <w:nsid w:val="130E3A2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10">
    <w:nsid w:val="16420A46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1">
    <w:nsid w:val="182B5F09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2">
    <w:nsid w:val="1DE51F5B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3">
    <w:nsid w:val="204D62AD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4">
    <w:nsid w:val="2098224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5">
    <w:nsid w:val="22640C31"/>
    <w:lvl w:ilvl="0">
      <w:isLgl w:val="false"/>
      <w:lvlJc w:val="left"/>
      <w:lvlText w:val="%1."/>
      <w:numFmt w:val="decimal"/>
      <w:pPr>
        <w:pBdr/>
        <w:spacing/>
        <w:ind w:hanging="360" w:left="100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2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4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6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8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0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2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4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64"/>
      </w:pPr>
      <w:rPr/>
      <w:start w:val="1"/>
      <w:suff w:val="tab"/>
    </w:lvl>
  </w:abstractNum>
  <w:abstractNum w:abstractNumId="16">
    <w:nsid w:val="22F435DD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7">
    <w:nsid w:val="23953BE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8">
    <w:nsid w:val="274DF0DA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9">
    <w:nsid w:val="2D415AE3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1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0">
    <w:nsid w:val="303F2F14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1">
    <w:nsid w:val="309F0BBE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2">
    <w:nsid w:val="3432140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3">
    <w:nsid w:val="350362D9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4">
    <w:nsid w:val="365051ED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3B28311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6">
    <w:nsid w:val="3C9909BE"/>
    <w:lvl w:ilvl="0">
      <w:isLgl w:val="false"/>
      <w:lvlJc w:val="left"/>
      <w:lvlText w:val="%1."/>
      <w:numFmt w:val="decimal"/>
      <w:pPr>
        <w:pBdr/>
        <w:spacing/>
        <w:ind w:hanging="360" w:left="540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27">
    <w:nsid w:val="3CC03FE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3F0A10D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9">
    <w:nsid w:val="3F960FE9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0">
    <w:nsid w:val="416B7863"/>
    <w:lvl w:ilvl="0">
      <w:isLgl w:val="false"/>
      <w:lvlJc w:val="left"/>
      <w:lvlText w:val="%1."/>
      <w:numFmt w:val="decimal"/>
      <w:pPr>
        <w:pBdr/>
        <w:spacing/>
        <w:ind w:hanging="360" w:left="540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31">
    <w:nsid w:val="4B2B7D5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32">
    <w:nsid w:val="4F34513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nsid w:val="4FF23A53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4">
    <w:nsid w:val="596C3BE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5">
    <w:nsid w:val="5A7575F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6">
    <w:nsid w:val="5E5A6CB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7">
    <w:nsid w:val="5EF53182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8">
    <w:nsid w:val="644624EF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39">
    <w:nsid w:val="644905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0">
    <w:nsid w:val="67881DA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1">
    <w:nsid w:val="6C28173C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42">
    <w:nsid w:val="6F5A1045"/>
    <w:lvl w:ilvl="0">
      <w:isLgl w:val="false"/>
      <w:lvlJc w:val="left"/>
      <w:lvlText w:val="%1."/>
      <w:numFmt w:val="decimal"/>
      <w:pPr>
        <w:pBdr/>
        <w:spacing/>
        <w:ind w:hanging="360" w:left="540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43">
    <w:nsid w:val="71620EA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4">
    <w:nsid w:val="79EE756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5">
    <w:nsid w:val="7F8C625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num w:numId="1">
    <w:abstractNumId w:val="31"/>
  </w:num>
  <w:num w:numId="2">
    <w:abstractNumId w:val="5"/>
  </w:num>
  <w:num w:numId="3">
    <w:abstractNumId w:val="0"/>
  </w:num>
  <w:num w:numId="4">
    <w:abstractNumId w:val="11"/>
  </w:num>
  <w:num w:numId="5">
    <w:abstractNumId w:val="27"/>
  </w:num>
  <w:num w:numId="6">
    <w:abstractNumId w:val="37"/>
  </w:num>
  <w:num w:numId="7">
    <w:abstractNumId w:val="35"/>
  </w:num>
  <w:num w:numId="8">
    <w:abstractNumId w:val="32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4"/>
  </w:num>
  <w:num w:numId="12">
    <w:abstractNumId w:val="2"/>
  </w:num>
  <w:num w:numId="13">
    <w:abstractNumId w:val="38"/>
  </w:num>
  <w:num w:numId="14">
    <w:abstractNumId w:val="45"/>
  </w:num>
  <w:num w:numId="15">
    <w:abstractNumId w:val="19"/>
  </w:num>
  <w:num w:numId="16">
    <w:abstractNumId w:val="4"/>
  </w:num>
  <w:num w:numId="17">
    <w:abstractNumId w:val="12"/>
  </w:num>
  <w:num w:numId="18">
    <w:abstractNumId w:val="17"/>
  </w:num>
  <w:num w:numId="19">
    <w:abstractNumId w:val="43"/>
  </w:num>
  <w:num w:numId="20">
    <w:abstractNumId w:val="7"/>
  </w:num>
  <w:num w:numId="21">
    <w:abstractNumId w:val="10"/>
  </w:num>
  <w:num w:numId="22">
    <w:abstractNumId w:val="34"/>
  </w:num>
  <w:num w:numId="23">
    <w:abstractNumId w:val="36"/>
  </w:num>
  <w:num w:numId="24">
    <w:abstractNumId w:val="41"/>
  </w:num>
  <w:num w:numId="25">
    <w:abstractNumId w:val="15"/>
  </w:num>
  <w:num w:numId="26">
    <w:abstractNumId w:val="30"/>
  </w:num>
  <w:num w:numId="27">
    <w:abstractNumId w:val="26"/>
  </w:num>
  <w:num w:numId="28">
    <w:abstractNumId w:val="42"/>
  </w:num>
  <w:num w:numId="29">
    <w:abstractNumId w:val="6"/>
  </w:num>
  <w:num w:numId="30">
    <w:abstractNumId w:val="20"/>
  </w:num>
  <w:num w:numId="31">
    <w:abstractNumId w:val="29"/>
  </w:num>
  <w:num w:numId="32">
    <w:abstractNumId w:val="23"/>
  </w:num>
  <w:num w:numId="33">
    <w:abstractNumId w:val="40"/>
  </w:num>
  <w:num w:numId="34">
    <w:abstractNumId w:val="3"/>
  </w:num>
  <w:num w:numId="35">
    <w:abstractNumId w:val="1"/>
  </w:num>
  <w:num w:numId="36">
    <w:abstractNumId w:val="9"/>
  </w:num>
  <w:num w:numId="37">
    <w:abstractNumId w:val="28"/>
  </w:num>
  <w:num w:numId="38">
    <w:abstractNumId w:val="13"/>
  </w:num>
  <w:num w:numId="39">
    <w:abstractNumId w:val="16"/>
  </w:num>
  <w:num w:numId="40">
    <w:abstractNumId w:val="44"/>
  </w:num>
  <w:num w:numId="41">
    <w:abstractNumId w:val="33"/>
  </w:num>
  <w:num w:numId="42">
    <w:abstractNumId w:val="22"/>
  </w:num>
  <w:num w:numId="43">
    <w:abstractNumId w:val="8"/>
  </w:num>
  <w:num w:numId="44">
    <w:abstractNumId w:val="25"/>
  </w:num>
  <w:num w:numId="45">
    <w:abstractNumId w:val="21"/>
  </w:num>
  <w:num w:numId="46">
    <w:abstractNumId w:val="18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7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paragraph" w:styleId="808">
    <w:name w:val="Heading 1"/>
    <w:basedOn w:val="807"/>
    <w:next w:val="807"/>
    <w:link w:val="820"/>
    <w:uiPriority w:val="9"/>
    <w:qFormat/>
    <w:pPr>
      <w:keepNext w:val="true"/>
      <w:pBdr/>
      <w:spacing w:after="60" w:before="240"/>
      <w:ind/>
      <w:outlineLvl w:val="0"/>
    </w:pPr>
    <w:rPr>
      <w:rFonts w:ascii="Arial" w:hAnsi="Arial"/>
      <w:b/>
      <w:bCs/>
      <w:sz w:val="32"/>
      <w:szCs w:val="32"/>
      <w:lang w:val="en-US" w:eastAsia="en-US"/>
    </w:rPr>
  </w:style>
  <w:style w:type="paragraph" w:styleId="809">
    <w:name w:val="Heading 2"/>
    <w:basedOn w:val="807"/>
    <w:next w:val="807"/>
    <w:link w:val="821"/>
    <w:uiPriority w:val="9"/>
    <w:semiHidden/>
    <w:unhideWhenUsed/>
    <w:qFormat/>
    <w:pPr>
      <w:keepNext w:val="true"/>
      <w:keepLines w:val="true"/>
      <w:pBdr/>
      <w:spacing w:before="200"/>
      <w:ind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810">
    <w:name w:val="Heading 3"/>
    <w:basedOn w:val="807"/>
    <w:next w:val="807"/>
    <w:link w:val="822"/>
    <w:uiPriority w:val="9"/>
    <w:qFormat/>
    <w:pPr>
      <w:keepNext w:val="true"/>
      <w:pBdr/>
      <w:spacing w:after="60" w:before="240"/>
      <w:ind/>
      <w:outlineLvl w:val="2"/>
    </w:pPr>
    <w:rPr>
      <w:rFonts w:ascii="Arial" w:hAnsi="Arial" w:eastAsia="Calibri"/>
      <w:b/>
      <w:bCs/>
      <w:sz w:val="26"/>
      <w:szCs w:val="26"/>
      <w:lang w:val="en-US" w:eastAsia="en-US"/>
    </w:rPr>
  </w:style>
  <w:style w:type="paragraph" w:styleId="811">
    <w:name w:val="Heading 4"/>
    <w:basedOn w:val="807"/>
    <w:next w:val="807"/>
    <w:link w:val="823"/>
    <w:uiPriority w:val="9"/>
    <w:qFormat/>
    <w:pPr>
      <w:keepNext w:val="true"/>
      <w:pBdr/>
      <w:spacing w:after="60" w:before="240"/>
      <w:ind/>
      <w:outlineLvl w:val="3"/>
    </w:pPr>
    <w:rPr>
      <w:b/>
      <w:bCs/>
      <w:sz w:val="28"/>
      <w:szCs w:val="28"/>
      <w:lang w:val="en-US" w:eastAsia="en-US"/>
    </w:rPr>
  </w:style>
  <w:style w:type="paragraph" w:styleId="812">
    <w:name w:val="Heading 5"/>
    <w:basedOn w:val="807"/>
    <w:next w:val="807"/>
    <w:link w:val="824"/>
    <w:uiPriority w:val="9"/>
    <w:unhideWhenUsed/>
    <w:qFormat/>
    <w:pPr>
      <w:keepNext w:val="true"/>
      <w:keepLines w:val="true"/>
      <w:pBdr/>
      <w:spacing w:after="40" w:before="80" w:line="276" w:lineRule="auto"/>
      <w:ind/>
      <w:outlineLvl w:val="4"/>
    </w:pPr>
    <w:rPr>
      <w:rFonts w:ascii="Arial" w:hAnsi="Arial" w:eastAsia="Arial" w:cs="Arial"/>
      <w:color w:val="365f91" w:themeColor="accent1" w:themeShade="BF"/>
      <w:sz w:val="22"/>
      <w:szCs w:val="22"/>
      <w:lang w:eastAsia="en-US"/>
    </w:rPr>
  </w:style>
  <w:style w:type="paragraph" w:styleId="813">
    <w:name w:val="Heading 6"/>
    <w:basedOn w:val="807"/>
    <w:next w:val="807"/>
    <w:link w:val="825"/>
    <w:uiPriority w:val="9"/>
    <w:unhideWhenUsed/>
    <w:qFormat/>
    <w:pPr>
      <w:keepNext w:val="true"/>
      <w:keepLines w:val="true"/>
      <w:pBdr/>
      <w:spacing w:before="40" w:line="276" w:lineRule="auto"/>
      <w:ind/>
      <w:outlineLvl w:val="5"/>
    </w:pPr>
    <w:rPr>
      <w:rFonts w:ascii="Arial" w:hAnsi="Arial" w:eastAsia="Arial" w:cs="Arial"/>
      <w:i/>
      <w:iCs/>
      <w:color w:val="595959" w:themeColor="text1" w:themeTint="A6"/>
      <w:sz w:val="22"/>
      <w:szCs w:val="22"/>
      <w:lang w:eastAsia="en-US"/>
    </w:rPr>
  </w:style>
  <w:style w:type="paragraph" w:styleId="814">
    <w:name w:val="Heading 7"/>
    <w:basedOn w:val="807"/>
    <w:next w:val="807"/>
    <w:link w:val="826"/>
    <w:uiPriority w:val="9"/>
    <w:unhideWhenUsed/>
    <w:qFormat/>
    <w:pPr>
      <w:keepNext w:val="true"/>
      <w:keepLines w:val="true"/>
      <w:pBdr/>
      <w:spacing w:before="40" w:line="276" w:lineRule="auto"/>
      <w:ind/>
      <w:outlineLvl w:val="6"/>
    </w:pPr>
    <w:rPr>
      <w:rFonts w:ascii="Arial" w:hAnsi="Arial" w:eastAsia="Arial" w:cs="Arial"/>
      <w:color w:val="595959" w:themeColor="text1" w:themeTint="A6"/>
      <w:sz w:val="22"/>
      <w:szCs w:val="22"/>
      <w:lang w:eastAsia="en-US"/>
    </w:rPr>
  </w:style>
  <w:style w:type="paragraph" w:styleId="815">
    <w:name w:val="Heading 8"/>
    <w:basedOn w:val="807"/>
    <w:next w:val="807"/>
    <w:link w:val="827"/>
    <w:uiPriority w:val="9"/>
    <w:unhideWhenUsed/>
    <w:qFormat/>
    <w:pPr>
      <w:keepNext w:val="true"/>
      <w:keepLines w:val="true"/>
      <w:pBdr/>
      <w:spacing w:line="276" w:lineRule="auto"/>
      <w:ind/>
      <w:outlineLvl w:val="7"/>
    </w:pPr>
    <w:rPr>
      <w:rFonts w:ascii="Arial" w:hAnsi="Arial" w:eastAsia="Arial" w:cs="Arial"/>
      <w:i/>
      <w:iCs/>
      <w:color w:val="272727" w:themeColor="text1" w:themeTint="D8"/>
      <w:sz w:val="22"/>
      <w:szCs w:val="22"/>
      <w:lang w:eastAsia="en-US"/>
    </w:rPr>
  </w:style>
  <w:style w:type="paragraph" w:styleId="816">
    <w:name w:val="Heading 9"/>
    <w:basedOn w:val="807"/>
    <w:next w:val="807"/>
    <w:link w:val="828"/>
    <w:uiPriority w:val="9"/>
    <w:unhideWhenUsed/>
    <w:qFormat/>
    <w:pPr>
      <w:keepNext w:val="true"/>
      <w:keepLines w:val="true"/>
      <w:pBdr/>
      <w:spacing w:line="276" w:lineRule="auto"/>
      <w:ind/>
      <w:outlineLvl w:val="8"/>
    </w:pPr>
    <w:rPr>
      <w:rFonts w:ascii="Arial" w:hAnsi="Arial" w:eastAsia="Arial" w:cs="Arial"/>
      <w:i/>
      <w:iCs/>
      <w:color w:val="272727" w:themeColor="text1" w:themeTint="D8"/>
      <w:sz w:val="22"/>
      <w:szCs w:val="22"/>
      <w:lang w:eastAsia="en-US"/>
    </w:rPr>
  </w:style>
  <w:style w:type="character" w:styleId="817" w:default="1">
    <w:name w:val="Default Paragraph Font"/>
    <w:uiPriority w:val="1"/>
    <w:semiHidden/>
    <w:unhideWhenUsed/>
    <w:pPr>
      <w:pBdr/>
      <w:spacing/>
      <w:ind/>
    </w:pPr>
  </w:style>
  <w:style w:type="table" w:styleId="81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9" w:default="1">
    <w:name w:val="No List"/>
    <w:uiPriority w:val="99"/>
    <w:semiHidden/>
    <w:unhideWhenUsed/>
    <w:pPr>
      <w:pBdr/>
      <w:spacing/>
      <w:ind/>
    </w:pPr>
  </w:style>
  <w:style w:type="character" w:styleId="820" w:customStyle="1">
    <w:name w:val="Заголовок 1 Знак"/>
    <w:link w:val="808"/>
    <w:uiPriority w:val="9"/>
    <w:pPr>
      <w:pBdr/>
      <w:spacing/>
      <w:ind/>
    </w:pPr>
    <w:rPr>
      <w:rFonts w:ascii="Arial" w:hAnsi="Arial" w:cs="Arial"/>
      <w:b/>
      <w:bCs/>
      <w:sz w:val="32"/>
      <w:szCs w:val="32"/>
    </w:rPr>
  </w:style>
  <w:style w:type="character" w:styleId="821" w:customStyle="1">
    <w:name w:val="Заголовок 2 Знак"/>
    <w:link w:val="809"/>
    <w:uiPriority w:val="9"/>
    <w:semiHidden/>
    <w:pPr>
      <w:pBdr/>
      <w:spacing/>
      <w:ind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822" w:customStyle="1">
    <w:name w:val="Заголовок 3 Знак"/>
    <w:link w:val="810"/>
    <w:uiPriority w:val="9"/>
    <w:pPr>
      <w:pBdr/>
      <w:spacing/>
      <w:ind/>
    </w:pPr>
    <w:rPr>
      <w:rFonts w:ascii="Arial" w:hAnsi="Arial" w:eastAsia="Calibri" w:cs="Arial"/>
      <w:b/>
      <w:bCs/>
      <w:sz w:val="26"/>
      <w:szCs w:val="26"/>
    </w:rPr>
  </w:style>
  <w:style w:type="character" w:styleId="823" w:customStyle="1">
    <w:name w:val="Заголовок 4 Знак"/>
    <w:link w:val="811"/>
    <w:uiPriority w:val="9"/>
    <w:pPr>
      <w:pBdr/>
      <w:spacing/>
      <w:ind/>
    </w:pPr>
    <w:rPr>
      <w:b/>
      <w:bCs/>
      <w:sz w:val="28"/>
      <w:szCs w:val="28"/>
    </w:rPr>
  </w:style>
  <w:style w:type="character" w:styleId="824" w:customStyle="1">
    <w:name w:val="Заголовок 5 Знак"/>
    <w:basedOn w:val="817"/>
    <w:link w:val="81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2"/>
      <w:szCs w:val="22"/>
      <w:lang w:eastAsia="en-US"/>
    </w:rPr>
  </w:style>
  <w:style w:type="character" w:styleId="825" w:customStyle="1">
    <w:name w:val="Заголовок 6 Знак"/>
    <w:basedOn w:val="817"/>
    <w:link w:val="8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  <w:sz w:val="22"/>
      <w:szCs w:val="22"/>
      <w:lang w:eastAsia="en-US"/>
    </w:rPr>
  </w:style>
  <w:style w:type="character" w:styleId="826" w:customStyle="1">
    <w:name w:val="Заголовок 7 Знак"/>
    <w:basedOn w:val="817"/>
    <w:link w:val="814"/>
    <w:uiPriority w:val="9"/>
    <w:pPr>
      <w:pBdr/>
      <w:spacing/>
      <w:ind/>
    </w:pPr>
    <w:rPr>
      <w:rFonts w:ascii="Arial" w:hAnsi="Arial" w:eastAsia="Arial" w:cs="Arial"/>
      <w:color w:val="595959" w:themeColor="text1" w:themeTint="A6"/>
      <w:sz w:val="22"/>
      <w:szCs w:val="22"/>
      <w:lang w:eastAsia="en-US"/>
    </w:rPr>
  </w:style>
  <w:style w:type="character" w:styleId="827" w:customStyle="1">
    <w:name w:val="Заголовок 8 Знак"/>
    <w:basedOn w:val="817"/>
    <w:link w:val="8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  <w:sz w:val="22"/>
      <w:szCs w:val="22"/>
      <w:lang w:eastAsia="en-US"/>
    </w:rPr>
  </w:style>
  <w:style w:type="character" w:styleId="828" w:customStyle="1">
    <w:name w:val="Заголовок 9 Знак"/>
    <w:basedOn w:val="817"/>
    <w:link w:val="8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  <w:sz w:val="22"/>
      <w:szCs w:val="22"/>
      <w:lang w:eastAsia="en-US"/>
    </w:rPr>
  </w:style>
  <w:style w:type="table" w:styleId="829" w:customStyle="1">
    <w:name w:val="Plain Table 1"/>
    <w:basedOn w:val="81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Plain Table 2"/>
    <w:basedOn w:val="81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Plain Table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Plain Table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Plain Table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Table Grid"/>
    <w:basedOn w:val="818"/>
    <w:uiPriority w:val="5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Table Grid Light"/>
    <w:basedOn w:val="81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а простая 11"/>
    <w:basedOn w:val="81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а простая 21"/>
    <w:basedOn w:val="818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а простая 3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а простая 4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а простая 5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а-сетка 1 светл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1 Light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1 Light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Таблица-сетка 2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2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2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Таблица-сетка 3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3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3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а-сетка 41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1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2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4 - Accent 3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4 - Accent 4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5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6"/>
    <w:basedOn w:val="818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а-сетка 5 темн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5 Dark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5 Dark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а-сетка 6 цветн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6 Colorful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6 Colorful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а-сетка 7 цветн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7 Colorful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Список-таблица 1 светл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1 Light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1 Light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Список-таблица 2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2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2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Список-таблица 3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3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Список-таблица 4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4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Список-таблица 5 темн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5 Dark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Список-таблица 6 цветн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Список-таблица 7 цветная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1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2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3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4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5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6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1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2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3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4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5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6"/>
    <w:basedOn w:val="81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1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2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3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4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5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6"/>
    <w:basedOn w:val="818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0">
    <w:name w:val="Title"/>
    <w:basedOn w:val="807"/>
    <w:next w:val="807"/>
    <w:link w:val="971"/>
    <w:qFormat/>
    <w:pPr>
      <w:pBdr/>
      <w:spacing w:after="60" w:before="240"/>
      <w:ind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styleId="971" w:customStyle="1">
    <w:name w:val="Название Знак"/>
    <w:link w:val="970"/>
    <w:pPr>
      <w:pBdr/>
      <w:spacing/>
      <w:ind/>
    </w:pPr>
    <w:rPr>
      <w:rFonts w:ascii="Calibri Light" w:hAnsi="Calibri Light"/>
      <w:b/>
      <w:bCs/>
      <w:sz w:val="32"/>
      <w:szCs w:val="32"/>
    </w:rPr>
  </w:style>
  <w:style w:type="paragraph" w:styleId="972">
    <w:name w:val="Subtitle"/>
    <w:basedOn w:val="807"/>
    <w:link w:val="973"/>
    <w:qFormat/>
    <w:pPr>
      <w:pBdr/>
      <w:tabs>
        <w:tab w:val="left" w:leader="none" w:pos="6804"/>
      </w:tabs>
      <w:spacing/>
      <w:ind/>
    </w:pPr>
    <w:rPr>
      <w:b/>
      <w:color w:val="000000"/>
      <w:sz w:val="16"/>
      <w:szCs w:val="20"/>
      <w:lang w:val="en-US" w:eastAsia="en-US"/>
    </w:rPr>
  </w:style>
  <w:style w:type="character" w:styleId="973" w:customStyle="1">
    <w:name w:val="Подзаголовок Знак"/>
    <w:link w:val="972"/>
    <w:pPr>
      <w:pBdr/>
      <w:spacing/>
      <w:ind/>
    </w:pPr>
    <w:rPr>
      <w:b/>
      <w:color w:val="000000"/>
      <w:sz w:val="16"/>
    </w:rPr>
  </w:style>
  <w:style w:type="paragraph" w:styleId="974">
    <w:name w:val="Quote"/>
    <w:basedOn w:val="807"/>
    <w:next w:val="807"/>
    <w:link w:val="975"/>
    <w:uiPriority w:val="29"/>
    <w:qFormat/>
    <w:pPr>
      <w:pBdr/>
      <w:spacing w:after="200" w:before="160" w:line="276" w:lineRule="auto"/>
      <w:ind/>
      <w:jc w:val="center"/>
    </w:pPr>
    <w:rPr>
      <w:rFonts w:ascii="Calibri" w:hAnsi="Calibri" w:eastAsia="Calibri"/>
      <w:i/>
      <w:iCs/>
      <w:color w:val="404040"/>
      <w:sz w:val="22"/>
      <w:szCs w:val="22"/>
      <w:lang w:eastAsia="en-US"/>
    </w:rPr>
  </w:style>
  <w:style w:type="character" w:styleId="975" w:customStyle="1">
    <w:name w:val="Цитата 2 Знак"/>
    <w:basedOn w:val="817"/>
    <w:link w:val="974"/>
    <w:uiPriority w:val="29"/>
    <w:pPr>
      <w:pBdr/>
      <w:spacing/>
      <w:ind/>
    </w:pPr>
    <w:rPr>
      <w:rFonts w:ascii="Calibri" w:hAnsi="Calibri" w:eastAsia="Calibri" w:cs="Times New Roman"/>
      <w:i/>
      <w:iCs/>
      <w:color w:val="404040"/>
      <w:sz w:val="22"/>
      <w:szCs w:val="22"/>
      <w:lang w:eastAsia="en-US"/>
    </w:rPr>
  </w:style>
  <w:style w:type="character" w:styleId="976" w:customStyle="1">
    <w:name w:val="Quote Char"/>
    <w:basedOn w:val="8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77">
    <w:name w:val="Intense Emphasis"/>
    <w:basedOn w:val="817"/>
    <w:uiPriority w:val="21"/>
    <w:qFormat/>
    <w:pPr>
      <w:pBdr/>
      <w:spacing/>
      <w:ind/>
    </w:pPr>
    <w:rPr>
      <w:i/>
      <w:iCs/>
      <w:color w:val="365f91"/>
    </w:rPr>
  </w:style>
  <w:style w:type="paragraph" w:styleId="978">
    <w:name w:val="Intense Quote"/>
    <w:basedOn w:val="807"/>
    <w:next w:val="807"/>
    <w:link w:val="979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 w:line="276" w:lineRule="auto"/>
      <w:ind w:right="864" w:left="864"/>
      <w:jc w:val="center"/>
    </w:pPr>
    <w:rPr>
      <w:rFonts w:ascii="Calibri" w:hAnsi="Calibri" w:eastAsia="Calibri"/>
      <w:i/>
      <w:iCs/>
      <w:color w:val="365f91"/>
      <w:sz w:val="22"/>
      <w:szCs w:val="22"/>
      <w:lang w:eastAsia="en-US"/>
    </w:rPr>
  </w:style>
  <w:style w:type="character" w:styleId="979" w:customStyle="1">
    <w:name w:val="Выделенная цитата Знак"/>
    <w:basedOn w:val="817"/>
    <w:link w:val="978"/>
    <w:uiPriority w:val="30"/>
    <w:pPr>
      <w:pBdr/>
      <w:spacing/>
      <w:ind/>
    </w:pPr>
    <w:rPr>
      <w:rFonts w:ascii="Calibri" w:hAnsi="Calibri" w:eastAsia="Calibri" w:cs="Times New Roman"/>
      <w:i/>
      <w:iCs/>
      <w:color w:val="365f91"/>
      <w:sz w:val="22"/>
      <w:szCs w:val="22"/>
      <w:lang w:eastAsia="en-US"/>
    </w:rPr>
  </w:style>
  <w:style w:type="character" w:styleId="980" w:customStyle="1">
    <w:name w:val="Intense Quote Char"/>
    <w:basedOn w:val="81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81">
    <w:name w:val="Intense Reference"/>
    <w:basedOn w:val="817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982">
    <w:name w:val="Subtle Emphasis"/>
    <w:basedOn w:val="817"/>
    <w:uiPriority w:val="19"/>
    <w:qFormat/>
    <w:pPr>
      <w:pBdr/>
      <w:spacing/>
      <w:ind/>
    </w:pPr>
    <w:rPr>
      <w:i/>
      <w:iCs/>
      <w:color w:val="404040"/>
    </w:rPr>
  </w:style>
  <w:style w:type="character" w:styleId="983">
    <w:name w:val="Emphasis"/>
    <w:basedOn w:val="817"/>
    <w:uiPriority w:val="20"/>
    <w:qFormat/>
    <w:pPr>
      <w:pBdr/>
      <w:spacing/>
      <w:ind/>
    </w:pPr>
    <w:rPr>
      <w:i/>
      <w:iCs/>
    </w:rPr>
  </w:style>
  <w:style w:type="character" w:styleId="984">
    <w:name w:val="Strong"/>
    <w:basedOn w:val="817"/>
    <w:uiPriority w:val="22"/>
    <w:qFormat/>
    <w:pPr>
      <w:pBdr/>
      <w:spacing/>
      <w:ind/>
    </w:pPr>
    <w:rPr>
      <w:b/>
      <w:bCs/>
    </w:rPr>
  </w:style>
  <w:style w:type="character" w:styleId="985">
    <w:name w:val="Subtle Reference"/>
    <w:basedOn w:val="817"/>
    <w:uiPriority w:val="31"/>
    <w:qFormat/>
    <w:pPr>
      <w:pBdr/>
      <w:spacing/>
      <w:ind/>
    </w:pPr>
    <w:rPr>
      <w:smallCaps/>
      <w:color w:val="5a5a5a"/>
    </w:rPr>
  </w:style>
  <w:style w:type="character" w:styleId="986">
    <w:name w:val="Book Title"/>
    <w:basedOn w:val="81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87" w:customStyle="1">
    <w:name w:val="Верхний колонтитул1"/>
    <w:basedOn w:val="807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988" w:customStyle="1">
    <w:name w:val="Нижний колонтитул1"/>
    <w:basedOn w:val="807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989" w:customStyle="1">
    <w:name w:val="Название объекта1"/>
    <w:basedOn w:val="807"/>
    <w:next w:val="807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90">
    <w:name w:val="footnote text"/>
    <w:basedOn w:val="807"/>
    <w:link w:val="991"/>
    <w:uiPriority w:val="99"/>
    <w:unhideWhenUsed/>
    <w:pPr>
      <w:pBdr/>
      <w:spacing/>
      <w:ind/>
    </w:pPr>
    <w:rPr>
      <w:rFonts w:ascii="Calibri" w:hAnsi="Calibri" w:eastAsia="Calibri"/>
      <w:sz w:val="20"/>
      <w:szCs w:val="20"/>
      <w:lang w:eastAsia="en-US"/>
    </w:rPr>
  </w:style>
  <w:style w:type="character" w:styleId="991" w:customStyle="1">
    <w:name w:val="Текст сноски Знак"/>
    <w:basedOn w:val="817"/>
    <w:link w:val="990"/>
    <w:uiPriority w:val="99"/>
    <w:pPr>
      <w:pBdr/>
      <w:spacing/>
      <w:ind/>
    </w:pPr>
    <w:rPr>
      <w:rFonts w:ascii="Calibri" w:hAnsi="Calibri" w:eastAsia="Calibri" w:cs="Times New Roman"/>
      <w:lang w:eastAsia="en-US"/>
    </w:rPr>
  </w:style>
  <w:style w:type="character" w:styleId="992" w:customStyle="1">
    <w:name w:val="Footnote Text Char"/>
    <w:basedOn w:val="817"/>
    <w:uiPriority w:val="99"/>
    <w:semiHidden/>
    <w:pPr>
      <w:pBdr/>
      <w:spacing/>
      <w:ind/>
    </w:pPr>
    <w:rPr>
      <w:sz w:val="20"/>
      <w:szCs w:val="20"/>
    </w:rPr>
  </w:style>
  <w:style w:type="character" w:styleId="993">
    <w:name w:val="footnote reference"/>
    <w:basedOn w:val="817"/>
    <w:uiPriority w:val="99"/>
    <w:unhideWhenUsed/>
    <w:pPr>
      <w:pBdr/>
      <w:spacing/>
      <w:ind/>
    </w:pPr>
    <w:rPr>
      <w:vertAlign w:val="superscript"/>
    </w:rPr>
  </w:style>
  <w:style w:type="paragraph" w:styleId="994">
    <w:name w:val="endnote text"/>
    <w:basedOn w:val="807"/>
    <w:link w:val="995"/>
    <w:uiPriority w:val="99"/>
    <w:unhideWhenUsed/>
    <w:pPr>
      <w:pBdr/>
      <w:spacing/>
      <w:ind/>
    </w:pPr>
    <w:rPr>
      <w:rFonts w:ascii="Calibri" w:hAnsi="Calibri" w:eastAsia="Calibri"/>
      <w:sz w:val="20"/>
      <w:szCs w:val="20"/>
      <w:lang w:eastAsia="en-US"/>
    </w:rPr>
  </w:style>
  <w:style w:type="character" w:styleId="995" w:customStyle="1">
    <w:name w:val="Текст концевой сноски Знак"/>
    <w:basedOn w:val="817"/>
    <w:link w:val="994"/>
    <w:uiPriority w:val="99"/>
    <w:pPr>
      <w:pBdr/>
      <w:spacing/>
      <w:ind/>
    </w:pPr>
    <w:rPr>
      <w:rFonts w:ascii="Calibri" w:hAnsi="Calibri" w:eastAsia="Calibri" w:cs="Times New Roman"/>
      <w:lang w:eastAsia="en-US"/>
    </w:rPr>
  </w:style>
  <w:style w:type="character" w:styleId="996" w:customStyle="1">
    <w:name w:val="Endnote Text Char"/>
    <w:basedOn w:val="817"/>
    <w:uiPriority w:val="99"/>
    <w:semiHidden/>
    <w:pPr>
      <w:pBdr/>
      <w:spacing/>
      <w:ind/>
    </w:pPr>
    <w:rPr>
      <w:sz w:val="20"/>
      <w:szCs w:val="20"/>
    </w:rPr>
  </w:style>
  <w:style w:type="character" w:styleId="997">
    <w:name w:val="endnote reference"/>
    <w:basedOn w:val="817"/>
    <w:uiPriority w:val="99"/>
    <w:unhideWhenUsed/>
    <w:pPr>
      <w:pBdr/>
      <w:spacing/>
      <w:ind/>
    </w:pPr>
    <w:rPr>
      <w:vertAlign w:val="superscript"/>
    </w:rPr>
  </w:style>
  <w:style w:type="character" w:styleId="998">
    <w:name w:val="Hyperlink"/>
    <w:basedOn w:val="817"/>
    <w:pPr>
      <w:pBdr/>
      <w:spacing/>
      <w:ind/>
    </w:pPr>
    <w:rPr>
      <w:rFonts w:cs="Times New Roman"/>
      <w:color w:val="0000ff"/>
      <w:u w:val="single"/>
    </w:rPr>
  </w:style>
  <w:style w:type="character" w:styleId="999">
    <w:name w:val="FollowedHyperlink"/>
    <w:basedOn w:val="817"/>
    <w:uiPriority w:val="99"/>
    <w:unhideWhenUsed/>
    <w:pPr>
      <w:pBdr/>
      <w:spacing/>
      <w:ind/>
    </w:pPr>
    <w:rPr>
      <w:color w:val="800080"/>
      <w:u w:val="single"/>
    </w:rPr>
  </w:style>
  <w:style w:type="paragraph" w:styleId="1000">
    <w:name w:val="toc 1"/>
    <w:basedOn w:val="807"/>
    <w:next w:val="807"/>
    <w:uiPriority w:val="39"/>
    <w:unhideWhenUsed/>
    <w:pPr>
      <w:pBdr/>
      <w:spacing w:after="100" w:line="276" w:lineRule="auto"/>
      <w:ind/>
    </w:pPr>
    <w:rPr>
      <w:rFonts w:ascii="Calibri" w:hAnsi="Calibri" w:eastAsia="Calibri"/>
      <w:sz w:val="22"/>
      <w:szCs w:val="22"/>
      <w:lang w:eastAsia="en-US"/>
    </w:rPr>
  </w:style>
  <w:style w:type="paragraph" w:styleId="1001">
    <w:name w:val="toc 2"/>
    <w:basedOn w:val="807"/>
    <w:next w:val="807"/>
    <w:uiPriority w:val="39"/>
    <w:unhideWhenUsed/>
    <w:pPr>
      <w:pBdr/>
      <w:spacing w:after="100" w:line="276" w:lineRule="auto"/>
      <w:ind w:left="220"/>
    </w:pPr>
    <w:rPr>
      <w:rFonts w:ascii="Calibri" w:hAnsi="Calibri" w:eastAsia="Calibri"/>
      <w:sz w:val="22"/>
      <w:szCs w:val="22"/>
      <w:lang w:eastAsia="en-US"/>
    </w:rPr>
  </w:style>
  <w:style w:type="paragraph" w:styleId="1002">
    <w:name w:val="toc 3"/>
    <w:basedOn w:val="807"/>
    <w:next w:val="807"/>
    <w:uiPriority w:val="39"/>
    <w:unhideWhenUsed/>
    <w:pPr>
      <w:pBdr/>
      <w:spacing w:after="100" w:line="276" w:lineRule="auto"/>
      <w:ind w:left="440"/>
    </w:pPr>
    <w:rPr>
      <w:rFonts w:ascii="Calibri" w:hAnsi="Calibri" w:eastAsia="Calibri"/>
      <w:sz w:val="22"/>
      <w:szCs w:val="22"/>
      <w:lang w:eastAsia="en-US"/>
    </w:rPr>
  </w:style>
  <w:style w:type="paragraph" w:styleId="1003">
    <w:name w:val="toc 4"/>
    <w:basedOn w:val="807"/>
    <w:next w:val="807"/>
    <w:uiPriority w:val="39"/>
    <w:unhideWhenUsed/>
    <w:pPr>
      <w:pBdr/>
      <w:spacing w:after="100" w:line="276" w:lineRule="auto"/>
      <w:ind w:left="660"/>
    </w:pPr>
    <w:rPr>
      <w:rFonts w:ascii="Calibri" w:hAnsi="Calibri" w:eastAsia="Calibri"/>
      <w:sz w:val="22"/>
      <w:szCs w:val="22"/>
      <w:lang w:eastAsia="en-US"/>
    </w:rPr>
  </w:style>
  <w:style w:type="paragraph" w:styleId="1004">
    <w:name w:val="toc 5"/>
    <w:basedOn w:val="807"/>
    <w:next w:val="807"/>
    <w:uiPriority w:val="39"/>
    <w:unhideWhenUsed/>
    <w:pPr>
      <w:pBdr/>
      <w:spacing w:after="100" w:line="276" w:lineRule="auto"/>
      <w:ind w:left="880"/>
    </w:pPr>
    <w:rPr>
      <w:rFonts w:ascii="Calibri" w:hAnsi="Calibri" w:eastAsia="Calibri"/>
      <w:sz w:val="22"/>
      <w:szCs w:val="22"/>
      <w:lang w:eastAsia="en-US"/>
    </w:rPr>
  </w:style>
  <w:style w:type="paragraph" w:styleId="1005">
    <w:name w:val="toc 6"/>
    <w:basedOn w:val="807"/>
    <w:next w:val="807"/>
    <w:uiPriority w:val="39"/>
    <w:unhideWhenUsed/>
    <w:pPr>
      <w:pBdr/>
      <w:spacing w:after="100" w:line="276" w:lineRule="auto"/>
      <w:ind w:left="1100"/>
    </w:pPr>
    <w:rPr>
      <w:rFonts w:ascii="Calibri" w:hAnsi="Calibri" w:eastAsia="Calibri"/>
      <w:sz w:val="22"/>
      <w:szCs w:val="22"/>
      <w:lang w:eastAsia="en-US"/>
    </w:rPr>
  </w:style>
  <w:style w:type="paragraph" w:styleId="1006">
    <w:name w:val="toc 7"/>
    <w:basedOn w:val="807"/>
    <w:next w:val="807"/>
    <w:uiPriority w:val="39"/>
    <w:unhideWhenUsed/>
    <w:pPr>
      <w:pBdr/>
      <w:spacing w:after="100" w:line="276" w:lineRule="auto"/>
      <w:ind w:left="1320"/>
    </w:pPr>
    <w:rPr>
      <w:rFonts w:ascii="Calibri" w:hAnsi="Calibri" w:eastAsia="Calibri"/>
      <w:sz w:val="22"/>
      <w:szCs w:val="22"/>
      <w:lang w:eastAsia="en-US"/>
    </w:rPr>
  </w:style>
  <w:style w:type="paragraph" w:styleId="1007">
    <w:name w:val="toc 8"/>
    <w:basedOn w:val="807"/>
    <w:next w:val="807"/>
    <w:uiPriority w:val="39"/>
    <w:unhideWhenUsed/>
    <w:pPr>
      <w:pBdr/>
      <w:spacing w:after="100" w:line="276" w:lineRule="auto"/>
      <w:ind w:left="1540"/>
    </w:pPr>
    <w:rPr>
      <w:rFonts w:ascii="Calibri" w:hAnsi="Calibri" w:eastAsia="Calibri"/>
      <w:sz w:val="22"/>
      <w:szCs w:val="22"/>
      <w:lang w:eastAsia="en-US"/>
    </w:rPr>
  </w:style>
  <w:style w:type="paragraph" w:styleId="1008">
    <w:name w:val="toc 9"/>
    <w:basedOn w:val="807"/>
    <w:next w:val="807"/>
    <w:uiPriority w:val="39"/>
    <w:unhideWhenUsed/>
    <w:pPr>
      <w:pBdr/>
      <w:spacing w:after="100" w:line="276" w:lineRule="auto"/>
      <w:ind w:left="1760"/>
    </w:pPr>
    <w:rPr>
      <w:rFonts w:ascii="Calibri" w:hAnsi="Calibri" w:eastAsia="Calibri"/>
      <w:sz w:val="22"/>
      <w:szCs w:val="22"/>
      <w:lang w:eastAsia="en-US"/>
    </w:rPr>
  </w:style>
  <w:style w:type="character" w:styleId="1009">
    <w:name w:val="Placeholder Text"/>
    <w:basedOn w:val="817"/>
    <w:uiPriority w:val="99"/>
    <w:semiHidden/>
    <w:pPr>
      <w:pBdr/>
      <w:spacing/>
      <w:ind/>
    </w:pPr>
    <w:rPr>
      <w:color w:val="666666"/>
    </w:rPr>
  </w:style>
  <w:style w:type="paragraph" w:styleId="1010">
    <w:name w:val="TOC Heading"/>
    <w:uiPriority w:val="39"/>
    <w:unhideWhenUsed/>
    <w:pPr>
      <w:pBdr/>
      <w:spacing w:after="200" w:line="276" w:lineRule="auto"/>
      <w:ind/>
    </w:pPr>
    <w:rPr>
      <w:rFonts w:ascii="Calibri" w:hAnsi="Calibri" w:eastAsia="Calibri"/>
      <w:sz w:val="22"/>
      <w:szCs w:val="22"/>
      <w:lang w:eastAsia="en-US"/>
    </w:rPr>
  </w:style>
  <w:style w:type="paragraph" w:styleId="1011">
    <w:name w:val="table of figures"/>
    <w:basedOn w:val="807"/>
    <w:next w:val="807"/>
    <w:uiPriority w:val="99"/>
    <w:unhideWhenUsed/>
    <w:pPr>
      <w:pBdr/>
      <w:spacing w:line="276" w:lineRule="auto"/>
      <w:ind/>
    </w:pPr>
    <w:rPr>
      <w:rFonts w:ascii="Calibri" w:hAnsi="Calibri" w:eastAsia="Calibri"/>
      <w:sz w:val="22"/>
      <w:szCs w:val="22"/>
      <w:lang w:eastAsia="en-US"/>
    </w:rPr>
  </w:style>
  <w:style w:type="character" w:styleId="1012" w:customStyle="1">
    <w:name w:val="Heading 3 Char"/>
    <w:uiPriority w:val="9"/>
    <w:pPr>
      <w:pBdr/>
      <w:spacing/>
      <w:ind/>
    </w:pPr>
    <w:rPr>
      <w:rFonts w:ascii="Cambria" w:hAnsi="Cambria" w:cs="Times New Roman"/>
      <w:b/>
      <w:bCs/>
      <w:sz w:val="26"/>
      <w:szCs w:val="26"/>
    </w:rPr>
  </w:style>
  <w:style w:type="character" w:styleId="1013" w:customStyle="1">
    <w:name w:val="Balloon Text Char"/>
    <w:pPr>
      <w:pBdr/>
      <w:spacing/>
      <w:ind/>
    </w:pPr>
    <w:rPr>
      <w:rFonts w:ascii="Tahoma" w:hAnsi="Tahoma" w:cs="Tahoma"/>
      <w:sz w:val="16"/>
      <w:szCs w:val="16"/>
      <w:lang w:eastAsia="ru-RU"/>
    </w:rPr>
  </w:style>
  <w:style w:type="character" w:styleId="1014" w:customStyle="1">
    <w:name w:val="ListLabel 1"/>
    <w:pPr>
      <w:pBdr/>
      <w:spacing/>
      <w:ind/>
    </w:pPr>
    <w:rPr>
      <w:rFonts w:cs="Times New Roman"/>
    </w:rPr>
  </w:style>
  <w:style w:type="character" w:styleId="1015" w:customStyle="1">
    <w:name w:val="ListLabel 2"/>
    <w:pPr>
      <w:pBdr/>
      <w:spacing/>
      <w:ind/>
    </w:pPr>
    <w:rPr>
      <w:rFonts w:cs="Times New Roman"/>
    </w:rPr>
  </w:style>
  <w:style w:type="character" w:styleId="1016" w:customStyle="1">
    <w:name w:val="ListLabel 3"/>
    <w:pPr>
      <w:pBdr/>
      <w:spacing/>
      <w:ind/>
    </w:pPr>
    <w:rPr>
      <w:rFonts w:cs="Times New Roman"/>
    </w:rPr>
  </w:style>
  <w:style w:type="character" w:styleId="1017" w:customStyle="1">
    <w:name w:val="ListLabel 4"/>
    <w:pPr>
      <w:pBdr/>
      <w:spacing/>
      <w:ind/>
    </w:pPr>
    <w:rPr>
      <w:rFonts w:cs="Times New Roman"/>
    </w:rPr>
  </w:style>
  <w:style w:type="character" w:styleId="1018" w:customStyle="1">
    <w:name w:val="ListLabel 5"/>
    <w:pPr>
      <w:pBdr/>
      <w:spacing/>
      <w:ind/>
    </w:pPr>
    <w:rPr>
      <w:rFonts w:cs="Times New Roman"/>
    </w:rPr>
  </w:style>
  <w:style w:type="paragraph" w:styleId="1019" w:customStyle="1">
    <w:name w:val="Заголовок1"/>
    <w:basedOn w:val="807"/>
    <w:next w:val="1020"/>
    <w:pPr>
      <w:keepNext w:val="true"/>
      <w:pBdr/>
      <w:spacing w:after="120" w:before="240"/>
      <w:ind/>
    </w:pPr>
    <w:rPr>
      <w:rFonts w:ascii="Liberation Sans" w:hAnsi="Liberation Sans" w:eastAsia="Noto Sans CJK SC Regular" w:cs="FreeSans"/>
      <w:sz w:val="28"/>
      <w:szCs w:val="28"/>
    </w:rPr>
  </w:style>
  <w:style w:type="paragraph" w:styleId="1020">
    <w:name w:val="Body Text"/>
    <w:basedOn w:val="807"/>
    <w:link w:val="1021"/>
    <w:pPr>
      <w:pBdr/>
      <w:spacing w:after="140" w:line="288" w:lineRule="auto"/>
      <w:ind/>
    </w:pPr>
    <w:rPr>
      <w:lang w:val="en-US" w:eastAsia="en-US"/>
    </w:rPr>
  </w:style>
  <w:style w:type="character" w:styleId="1021" w:customStyle="1">
    <w:name w:val="Основной текст Знак"/>
    <w:link w:val="1020"/>
    <w:pPr>
      <w:pBdr/>
      <w:spacing/>
      <w:ind/>
    </w:pPr>
    <w:rPr>
      <w:sz w:val="24"/>
      <w:szCs w:val="24"/>
    </w:rPr>
  </w:style>
  <w:style w:type="paragraph" w:styleId="1022">
    <w:name w:val="List"/>
    <w:basedOn w:val="1020"/>
    <w:pPr>
      <w:pBdr/>
      <w:spacing/>
      <w:ind/>
    </w:pPr>
    <w:rPr>
      <w:rFonts w:cs="FreeSans"/>
    </w:rPr>
  </w:style>
  <w:style w:type="paragraph" w:styleId="1023">
    <w:name w:val="Caption"/>
    <w:basedOn w:val="807"/>
    <w:uiPriority w:val="35"/>
    <w:qFormat/>
    <w:pPr>
      <w:suppressLineNumbers w:val="true"/>
      <w:pBdr/>
      <w:spacing w:after="120" w:before="120"/>
      <w:ind/>
    </w:pPr>
    <w:rPr>
      <w:rFonts w:cs="FreeSans"/>
      <w:i/>
      <w:iCs/>
    </w:rPr>
  </w:style>
  <w:style w:type="paragraph" w:styleId="1024" w:customStyle="1">
    <w:name w:val="Указатель1"/>
    <w:basedOn w:val="807"/>
    <w:pPr>
      <w:suppressLineNumbers w:val="true"/>
      <w:pBdr/>
      <w:spacing/>
      <w:ind/>
    </w:pPr>
    <w:rPr>
      <w:rFonts w:cs="FreeSans"/>
    </w:rPr>
  </w:style>
  <w:style w:type="paragraph" w:styleId="1025" w:customStyle="1">
    <w:name w:val="ConsPlusNormal"/>
    <w:link w:val="1026"/>
    <w:qFormat/>
    <w:pPr>
      <w:widowControl w:val="false"/>
      <w:pBdr/>
      <w:spacing/>
      <w:ind/>
    </w:pPr>
    <w:rPr>
      <w:rFonts w:ascii="Calibri" w:hAnsi="Calibri"/>
      <w:sz w:val="24"/>
    </w:rPr>
  </w:style>
  <w:style w:type="character" w:styleId="1026" w:customStyle="1">
    <w:name w:val="ConsPlusNormal Знак"/>
    <w:link w:val="1025"/>
    <w:uiPriority w:val="99"/>
    <w:pPr>
      <w:pBdr/>
      <w:spacing/>
      <w:ind/>
    </w:pPr>
    <w:rPr>
      <w:rFonts w:ascii="Calibri" w:hAnsi="Calibri"/>
      <w:sz w:val="24"/>
      <w:lang w:bidi="ar-SA"/>
    </w:rPr>
  </w:style>
  <w:style w:type="paragraph" w:styleId="1027" w:customStyle="1">
    <w:name w:val="ConsPlusNonformat"/>
    <w:pPr>
      <w:widowControl w:val="false"/>
      <w:pBdr/>
      <w:spacing/>
      <w:ind/>
    </w:pPr>
    <w:rPr>
      <w:rFonts w:ascii="Courier New" w:hAnsi="Courier New" w:cs="Courier New"/>
      <w:lang w:eastAsia="ru-RU"/>
    </w:rPr>
  </w:style>
  <w:style w:type="paragraph" w:styleId="1028" w:customStyle="1">
    <w:name w:val="ConsPlusTitle"/>
    <w:pPr>
      <w:widowControl w:val="false"/>
      <w:pBdr/>
      <w:spacing/>
      <w:ind/>
    </w:pPr>
    <w:rPr>
      <w:rFonts w:ascii="Calibri" w:hAnsi="Calibri" w:cs="Calibri"/>
      <w:b/>
      <w:sz w:val="24"/>
      <w:lang w:eastAsia="ru-RU"/>
    </w:rPr>
  </w:style>
  <w:style w:type="paragraph" w:styleId="1029" w:customStyle="1">
    <w:name w:val="ConsPlusCell"/>
    <w:pPr>
      <w:widowControl w:val="false"/>
      <w:pBdr/>
      <w:spacing/>
      <w:ind/>
    </w:pPr>
    <w:rPr>
      <w:rFonts w:ascii="Courier New" w:hAnsi="Courier New" w:cs="Courier New"/>
      <w:lang w:eastAsia="ru-RU"/>
    </w:rPr>
  </w:style>
  <w:style w:type="paragraph" w:styleId="1030" w:customStyle="1">
    <w:name w:val="ConsPlusDocList"/>
    <w:pPr>
      <w:widowControl w:val="false"/>
      <w:pBdr/>
      <w:spacing/>
      <w:ind/>
    </w:pPr>
    <w:rPr>
      <w:rFonts w:ascii="Courier New" w:hAnsi="Courier New" w:cs="Courier New"/>
      <w:lang w:eastAsia="ru-RU"/>
    </w:rPr>
  </w:style>
  <w:style w:type="paragraph" w:styleId="1031" w:customStyle="1">
    <w:name w:val="ConsPlusTitlePage"/>
    <w:pPr>
      <w:widowControl w:val="false"/>
      <w:pBdr/>
      <w:spacing/>
      <w:ind/>
    </w:pPr>
    <w:rPr>
      <w:rFonts w:ascii="Tahoma" w:hAnsi="Tahoma" w:cs="Tahoma"/>
      <w:lang w:eastAsia="ru-RU"/>
    </w:rPr>
  </w:style>
  <w:style w:type="paragraph" w:styleId="1032" w:customStyle="1">
    <w:name w:val="ConsPlusJurTerm"/>
    <w:pPr>
      <w:widowControl w:val="false"/>
      <w:pBdr/>
      <w:spacing/>
      <w:ind/>
    </w:pPr>
    <w:rPr>
      <w:rFonts w:ascii="Tahoma" w:hAnsi="Tahoma" w:cs="Tahoma"/>
      <w:sz w:val="26"/>
      <w:lang w:eastAsia="ru-RU"/>
    </w:rPr>
  </w:style>
  <w:style w:type="paragraph" w:styleId="1033" w:customStyle="1">
    <w:name w:val="ConsPlusTextList"/>
    <w:pPr>
      <w:widowControl w:val="false"/>
      <w:pBdr/>
      <w:spacing/>
      <w:ind/>
    </w:pPr>
    <w:rPr>
      <w:rFonts w:ascii="Arial" w:hAnsi="Arial" w:cs="Arial"/>
      <w:lang w:eastAsia="ru-RU"/>
    </w:rPr>
  </w:style>
  <w:style w:type="paragraph" w:styleId="1034">
    <w:name w:val="Balloon Text"/>
    <w:basedOn w:val="807"/>
    <w:link w:val="1035"/>
    <w:uiPriority w:val="99"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1035" w:customStyle="1">
    <w:name w:val="Текст выноски Знак"/>
    <w:link w:val="1034"/>
    <w:uiPriority w:val="99"/>
    <w:pPr>
      <w:pBdr/>
      <w:spacing/>
      <w:ind/>
    </w:pPr>
    <w:rPr>
      <w:rFonts w:ascii="Tahoma" w:hAnsi="Tahoma" w:cs="Tahoma"/>
      <w:sz w:val="16"/>
      <w:szCs w:val="16"/>
    </w:rPr>
  </w:style>
  <w:style w:type="paragraph" w:styleId="1036">
    <w:name w:val="List Paragraph"/>
    <w:basedOn w:val="807"/>
    <w:link w:val="1037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val="en-US" w:eastAsia="en-US"/>
    </w:rPr>
  </w:style>
  <w:style w:type="character" w:styleId="1037" w:customStyle="1">
    <w:name w:val="Абзац списка Знак"/>
    <w:link w:val="1036"/>
    <w:uiPriority w:val="34"/>
    <w:qFormat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38" w:customStyle="1">
    <w:name w:val="extra_fields_value"/>
    <w:basedOn w:val="817"/>
    <w:pPr>
      <w:pBdr/>
      <w:spacing/>
      <w:ind/>
    </w:pPr>
  </w:style>
  <w:style w:type="character" w:styleId="1039" w:customStyle="1">
    <w:name w:val="extra_fields_name"/>
    <w:basedOn w:val="817"/>
    <w:pPr>
      <w:pBdr/>
      <w:spacing/>
      <w:ind/>
    </w:pPr>
  </w:style>
  <w:style w:type="character" w:styleId="1040" w:customStyle="1">
    <w:name w:val="val hastip locate"/>
    <w:basedOn w:val="817"/>
    <w:pPr>
      <w:pBdr/>
      <w:spacing/>
      <w:ind/>
    </w:pPr>
  </w:style>
  <w:style w:type="character" w:styleId="1041" w:customStyle="1">
    <w:name w:val="thname"/>
    <w:basedOn w:val="817"/>
    <w:pPr>
      <w:pBdr/>
      <w:spacing/>
      <w:ind/>
    </w:pPr>
  </w:style>
  <w:style w:type="character" w:styleId="1042" w:customStyle="1">
    <w:name w:val="thvalue"/>
    <w:basedOn w:val="817"/>
    <w:pPr>
      <w:pBdr/>
      <w:spacing/>
      <w:ind/>
    </w:pPr>
  </w:style>
  <w:style w:type="character" w:styleId="1043" w:customStyle="1">
    <w:name w:val="extended-text__short"/>
    <w:basedOn w:val="817"/>
    <w:pPr>
      <w:pBdr/>
      <w:spacing/>
      <w:ind/>
    </w:pPr>
  </w:style>
  <w:style w:type="paragraph" w:styleId="1044">
    <w:name w:val="Normal (Web)"/>
    <w:basedOn w:val="807"/>
    <w:uiPriority w:val="99"/>
    <w:pPr>
      <w:pBdr/>
      <w:spacing w:after="100" w:afterAutospacing="1" w:before="100" w:beforeAutospacing="1"/>
      <w:ind/>
    </w:pPr>
  </w:style>
  <w:style w:type="character" w:styleId="1045" w:customStyle="1">
    <w:name w:val="features-list-name"/>
    <w:basedOn w:val="817"/>
    <w:pPr>
      <w:pBdr/>
      <w:spacing/>
      <w:ind/>
    </w:pPr>
  </w:style>
  <w:style w:type="character" w:styleId="1046" w:customStyle="1">
    <w:name w:val="features-list-value"/>
    <w:basedOn w:val="817"/>
    <w:pPr>
      <w:pBdr/>
      <w:spacing/>
      <w:ind/>
    </w:pPr>
  </w:style>
  <w:style w:type="character" w:styleId="1047" w:customStyle="1">
    <w:name w:val="val"/>
    <w:basedOn w:val="817"/>
    <w:pPr>
      <w:pBdr/>
      <w:spacing/>
      <w:ind/>
    </w:pPr>
  </w:style>
  <w:style w:type="character" w:styleId="1048" w:customStyle="1">
    <w:name w:val="td25"/>
    <w:pPr>
      <w:pBdr/>
      <w:spacing/>
      <w:ind/>
    </w:pPr>
    <w:rPr>
      <w:rFonts w:cs="Times New Roman"/>
    </w:rPr>
  </w:style>
  <w:style w:type="paragraph" w:styleId="1049">
    <w:name w:val="No Spacing"/>
    <w:link w:val="1050"/>
    <w:uiPriority w:val="1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050" w:customStyle="1">
    <w:name w:val="Без интервала Знак"/>
    <w:link w:val="1049"/>
    <w:uiPriority w:val="1"/>
    <w:pPr>
      <w:pBdr/>
      <w:spacing/>
      <w:ind/>
    </w:pPr>
    <w:rPr>
      <w:rFonts w:ascii="Calibri" w:hAnsi="Calibri" w:eastAsia="Calibri"/>
      <w:sz w:val="22"/>
      <w:szCs w:val="22"/>
      <w:lang w:eastAsia="en-US" w:bidi="ar-SA"/>
    </w:rPr>
  </w:style>
  <w:style w:type="character" w:styleId="1051" w:customStyle="1">
    <w:name w:val="extended-text__full"/>
    <w:basedOn w:val="817"/>
    <w:pPr>
      <w:pBdr/>
      <w:spacing/>
      <w:ind/>
    </w:pPr>
  </w:style>
  <w:style w:type="paragraph" w:styleId="1052">
    <w:name w:val="HTML Top of Form"/>
    <w:basedOn w:val="807"/>
    <w:next w:val="807"/>
    <w:link w:val="1053"/>
    <w:hidden/>
    <w:pPr>
      <w:pBdr>
        <w:bottom w:val="single" w:color="000000" w:sz="6" w:space="1"/>
      </w:pBdr>
      <w:spacing/>
      <w:ind/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styleId="1053" w:customStyle="1">
    <w:name w:val="z-Начало формы Знак"/>
    <w:link w:val="1052"/>
    <w:pPr>
      <w:pBdr/>
      <w:spacing/>
      <w:ind/>
    </w:pPr>
    <w:rPr>
      <w:rFonts w:ascii="Arial" w:hAnsi="Arial" w:cs="Arial"/>
      <w:vanish/>
      <w:sz w:val="16"/>
      <w:szCs w:val="16"/>
    </w:rPr>
  </w:style>
  <w:style w:type="paragraph" w:styleId="1054">
    <w:name w:val="HTML Bottom of Form"/>
    <w:basedOn w:val="807"/>
    <w:next w:val="807"/>
    <w:link w:val="1055"/>
    <w:hidden/>
    <w:pPr>
      <w:pBdr>
        <w:top w:val="single" w:color="000000" w:sz="6" w:space="1"/>
      </w:pBdr>
      <w:spacing/>
      <w:ind/>
      <w:jc w:val="center"/>
    </w:pPr>
    <w:rPr>
      <w:rFonts w:ascii="Arial" w:hAnsi="Arial"/>
      <w:vanish/>
      <w:sz w:val="16"/>
      <w:szCs w:val="16"/>
      <w:lang w:val="en-US" w:eastAsia="en-US"/>
    </w:rPr>
  </w:style>
  <w:style w:type="character" w:styleId="1055" w:customStyle="1">
    <w:name w:val="z-Конец формы Знак"/>
    <w:link w:val="1054"/>
    <w:pPr>
      <w:pBdr/>
      <w:spacing/>
      <w:ind/>
    </w:pPr>
    <w:rPr>
      <w:rFonts w:ascii="Arial" w:hAnsi="Arial" w:cs="Arial"/>
      <w:vanish/>
      <w:sz w:val="16"/>
      <w:szCs w:val="16"/>
    </w:rPr>
  </w:style>
  <w:style w:type="paragraph" w:styleId="1056" w:customStyle="1">
    <w:name w:val="msonormalcxspmiddle"/>
    <w:basedOn w:val="807"/>
    <w:pPr>
      <w:pBdr/>
      <w:spacing w:after="100" w:afterAutospacing="1" w:before="100" w:beforeAutospacing="1"/>
      <w:ind/>
    </w:pPr>
  </w:style>
  <w:style w:type="character" w:styleId="1057" w:customStyle="1">
    <w:name w:val="value"/>
    <w:uiPriority w:val="99"/>
    <w:pPr>
      <w:pBdr/>
      <w:spacing/>
      <w:ind/>
    </w:pPr>
    <w:rPr>
      <w:rFonts w:cs="Times New Roman"/>
    </w:rPr>
  </w:style>
  <w:style w:type="paragraph" w:styleId="1058">
    <w:name w:val="List Bullet"/>
    <w:basedOn w:val="807"/>
    <w:pPr>
      <w:numPr>
        <w:numId w:val="3"/>
      </w:numPr>
      <w:pBdr/>
      <w:spacing/>
      <w:ind/>
      <w:contextualSpacing w:val="true"/>
    </w:pPr>
  </w:style>
  <w:style w:type="paragraph" w:styleId="1059">
    <w:name w:val="Header"/>
    <w:basedOn w:val="807"/>
    <w:link w:val="1060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1060" w:customStyle="1">
    <w:name w:val="Верхний колонтитул Знак"/>
    <w:link w:val="1059"/>
    <w:uiPriority w:val="99"/>
    <w:pPr>
      <w:pBdr/>
      <w:spacing/>
      <w:ind/>
    </w:pPr>
    <w:rPr>
      <w:sz w:val="24"/>
      <w:szCs w:val="24"/>
    </w:rPr>
  </w:style>
  <w:style w:type="paragraph" w:styleId="1061">
    <w:name w:val="Footer"/>
    <w:basedOn w:val="807"/>
    <w:link w:val="1062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1062" w:customStyle="1">
    <w:name w:val="Нижний колонтитул Знак"/>
    <w:link w:val="1061"/>
    <w:uiPriority w:val="99"/>
    <w:pPr>
      <w:pBdr/>
      <w:spacing/>
      <w:ind/>
    </w:pPr>
    <w:rPr>
      <w:sz w:val="24"/>
      <w:szCs w:val="24"/>
    </w:rPr>
  </w:style>
  <w:style w:type="character" w:styleId="1063" w:customStyle="1">
    <w:name w:val="apple-style-span"/>
    <w:basedOn w:val="817"/>
    <w:pPr>
      <w:pBdr/>
      <w:spacing/>
      <w:ind/>
    </w:pPr>
  </w:style>
  <w:style w:type="character" w:styleId="1064" w:customStyle="1">
    <w:name w:val="lots-wrap-content__body__val"/>
    <w:basedOn w:val="817"/>
    <w:pPr>
      <w:pBdr/>
      <w:spacing/>
      <w:ind/>
    </w:pPr>
  </w:style>
  <w:style w:type="character" w:styleId="1065" w:customStyle="1">
    <w:name w:val="copy_target"/>
    <w:basedOn w:val="817"/>
    <w:pPr>
      <w:pBdr/>
      <w:spacing/>
      <w:ind/>
    </w:pPr>
  </w:style>
  <w:style w:type="paragraph" w:styleId="1066">
    <w:name w:val="Document Map"/>
    <w:basedOn w:val="807"/>
    <w:link w:val="1067"/>
    <w:uiPriority w:val="99"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1067" w:customStyle="1">
    <w:name w:val="Схема документа Знак"/>
    <w:link w:val="1066"/>
    <w:uiPriority w:val="99"/>
    <w:pPr>
      <w:pBdr/>
      <w:spacing/>
      <w:ind/>
    </w:pPr>
    <w:rPr>
      <w:rFonts w:ascii="Tahoma" w:hAnsi="Tahoma" w:cs="Tahoma"/>
      <w:sz w:val="16"/>
      <w:szCs w:val="16"/>
    </w:rPr>
  </w:style>
  <w:style w:type="paragraph" w:styleId="1068" w:customStyle="1">
    <w:name w:val="formattext"/>
    <w:basedOn w:val="807"/>
    <w:pPr>
      <w:pBdr/>
      <w:spacing w:after="100" w:afterAutospacing="1" w:before="100" w:beforeAutospacing="1"/>
      <w:ind/>
    </w:pPr>
  </w:style>
  <w:style w:type="character" w:styleId="1069" w:customStyle="1">
    <w:name w:val="section__title"/>
    <w:basedOn w:val="817"/>
    <w:pPr>
      <w:pBdr/>
      <w:spacing/>
      <w:ind/>
    </w:pPr>
  </w:style>
  <w:style w:type="character" w:styleId="1070" w:customStyle="1">
    <w:name w:val="section__info"/>
    <w:basedOn w:val="817"/>
    <w:pPr>
      <w:pBdr/>
      <w:spacing/>
      <w:ind/>
    </w:pPr>
  </w:style>
  <w:style w:type="character" w:styleId="1071" w:customStyle="1">
    <w:name w:val="Интернет-ссылка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072">
    <w:name w:val="Body Text Indent 3"/>
    <w:basedOn w:val="807"/>
    <w:link w:val="1073"/>
    <w:uiPriority w:val="99"/>
    <w:unhideWhenUsed/>
    <w:pPr>
      <w:pBdr/>
      <w:spacing w:after="120" w:line="276" w:lineRule="auto"/>
      <w:ind w:left="283"/>
    </w:pPr>
    <w:rPr>
      <w:rFonts w:ascii="Calibri" w:hAnsi="Calibri" w:eastAsia="Calibri"/>
      <w:sz w:val="16"/>
      <w:szCs w:val="16"/>
      <w:lang w:val="en-US" w:eastAsia="en-US"/>
    </w:rPr>
  </w:style>
  <w:style w:type="character" w:styleId="1073" w:customStyle="1">
    <w:name w:val="Основной текст с отступом 3 Знак"/>
    <w:link w:val="1072"/>
    <w:uiPriority w:val="99"/>
    <w:pPr>
      <w:pBdr/>
      <w:spacing/>
      <w:ind/>
    </w:pPr>
    <w:rPr>
      <w:rFonts w:ascii="Calibri" w:hAnsi="Calibri" w:eastAsia="Calibri"/>
      <w:sz w:val="16"/>
      <w:szCs w:val="16"/>
      <w:lang w:eastAsia="en-US"/>
    </w:rPr>
  </w:style>
  <w:style w:type="character" w:styleId="1074" w:customStyle="1">
    <w:name w:val="text-green"/>
    <w:basedOn w:val="817"/>
    <w:pPr>
      <w:pBdr/>
      <w:spacing/>
      <w:ind/>
    </w:pPr>
  </w:style>
  <w:style w:type="paragraph" w:styleId="1075" w:customStyle="1">
    <w:name w:val="Абзац списка1"/>
    <w:basedOn w:val="807"/>
    <w:pPr>
      <w:pBdr/>
      <w:spacing/>
      <w:ind w:left="720"/>
      <w:contextualSpacing w:val="true"/>
    </w:pPr>
  </w:style>
  <w:style w:type="paragraph" w:styleId="1076" w:customStyle="1">
    <w:name w:val="Содержимое таблицы"/>
    <w:basedOn w:val="807"/>
    <w:pPr>
      <w:widowControl w:val="false"/>
      <w:suppressLineNumbers w:val="true"/>
      <w:pBdr/>
      <w:spacing/>
      <w:ind/>
    </w:pPr>
    <w:rPr>
      <w:rFonts w:eastAsia="Lucida Sans Unicode" w:cs="Tahoma"/>
      <w:lang w:eastAsia="hi-IN" w:bidi="hi-IN"/>
    </w:rPr>
  </w:style>
  <w:style w:type="paragraph" w:styleId="1077" w:customStyle="1">
    <w:name w:val="Заголовок таблицы"/>
    <w:basedOn w:val="1076"/>
    <w:pPr>
      <w:pBdr/>
      <w:spacing/>
      <w:ind/>
      <w:jc w:val="center"/>
    </w:pPr>
    <w:rPr>
      <w:b/>
      <w:bCs/>
    </w:rPr>
  </w:style>
  <w:style w:type="character" w:styleId="1078" w:customStyle="1">
    <w:name w:val="pinkbg1"/>
    <w:pPr>
      <w:pBdr/>
      <w:spacing/>
      <w:ind/>
    </w:pPr>
    <w:rPr>
      <w:shd w:val="clear" w:color="auto" w:fill="fdd7c9"/>
    </w:rPr>
  </w:style>
  <w:style w:type="paragraph" w:styleId="1079" w:customStyle="1">
    <w:name w:val="Знак Знак Знак Знак"/>
    <w:basedOn w:val="807"/>
    <w:pPr>
      <w:pBdr/>
      <w:spacing w:after="100" w:afterAutospacing="1" w:before="100" w:beforeAutospacing="1"/>
      <w:ind/>
    </w:pPr>
    <w:rPr>
      <w:rFonts w:ascii="Tahoma" w:hAnsi="Tahoma"/>
      <w:sz w:val="20"/>
      <w:szCs w:val="20"/>
      <w:lang w:val="en-US" w:eastAsia="en-US"/>
    </w:rPr>
  </w:style>
  <w:style w:type="character" w:styleId="1080" w:customStyle="1">
    <w:name w:val="apple-converted-space"/>
    <w:basedOn w:val="817"/>
    <w:pPr>
      <w:pBdr/>
      <w:spacing/>
      <w:ind/>
    </w:pPr>
  </w:style>
  <w:style w:type="paragraph" w:styleId="1081">
    <w:name w:val="Body Text Indent"/>
    <w:basedOn w:val="807"/>
    <w:link w:val="1082"/>
    <w:pPr>
      <w:pBdr/>
      <w:spacing w:after="120"/>
      <w:ind w:left="283"/>
    </w:pPr>
    <w:rPr>
      <w:rFonts w:eastAsia="Calibri"/>
      <w:lang w:val="en-US" w:eastAsia="en-US"/>
    </w:rPr>
  </w:style>
  <w:style w:type="character" w:styleId="1082" w:customStyle="1">
    <w:name w:val="Основной текст с отступом Знак"/>
    <w:link w:val="1081"/>
    <w:pPr>
      <w:pBdr/>
      <w:spacing/>
      <w:ind/>
    </w:pPr>
    <w:rPr>
      <w:rFonts w:eastAsia="Calibri"/>
      <w:sz w:val="24"/>
      <w:szCs w:val="24"/>
    </w:rPr>
  </w:style>
  <w:style w:type="character" w:styleId="1083" w:customStyle="1">
    <w:name w:val="cardmaininfo__content"/>
    <w:basedOn w:val="817"/>
    <w:pPr>
      <w:pBdr/>
      <w:spacing/>
      <w:ind/>
    </w:pPr>
  </w:style>
  <w:style w:type="paragraph" w:styleId="1084" w:customStyle="1">
    <w:name w:val="111"/>
    <w:basedOn w:val="807"/>
    <w:link w:val="1085"/>
    <w:uiPriority w:val="99"/>
    <w:pPr>
      <w:pBdr/>
      <w:spacing/>
      <w:ind/>
    </w:pPr>
    <w:rPr>
      <w:sz w:val="20"/>
      <w:szCs w:val="20"/>
    </w:rPr>
  </w:style>
  <w:style w:type="character" w:styleId="1085" w:customStyle="1">
    <w:name w:val="111 Знак"/>
    <w:basedOn w:val="817"/>
    <w:link w:val="1084"/>
    <w:uiPriority w:val="99"/>
    <w:pPr>
      <w:pBdr/>
      <w:spacing/>
      <w:ind/>
    </w:pPr>
  </w:style>
  <w:style w:type="character" w:styleId="1086" w:customStyle="1">
    <w:name w:val="cardmaininfo__title"/>
    <w:basedOn w:val="817"/>
    <w:pPr>
      <w:pBdr/>
      <w:spacing/>
      <w:ind/>
    </w:pPr>
  </w:style>
  <w:style w:type="paragraph" w:styleId="1087" w:customStyle="1">
    <w:name w:val="222"/>
    <w:basedOn w:val="807"/>
    <w:qFormat/>
    <w:pPr>
      <w:pBdr/>
      <w:spacing/>
      <w:ind w:left="851"/>
    </w:pPr>
    <w:rPr>
      <w:sz w:val="20"/>
      <w:szCs w:val="20"/>
    </w:rPr>
  </w:style>
  <w:style w:type="character" w:styleId="1088" w:customStyle="1">
    <w:name w:val="fontstyle3"/>
    <w:basedOn w:val="817"/>
    <w:pPr>
      <w:pBdr/>
      <w:spacing/>
      <w:ind/>
    </w:pPr>
  </w:style>
  <w:style w:type="character" w:styleId="1089" w:customStyle="1">
    <w:name w:val="fontstyle1"/>
    <w:basedOn w:val="817"/>
    <w:pPr>
      <w:pBdr/>
      <w:spacing/>
      <w:ind/>
    </w:pPr>
  </w:style>
  <w:style w:type="character" w:styleId="1090" w:customStyle="1">
    <w:name w:val="section__info2"/>
    <w:pPr>
      <w:pBdr/>
      <w:spacing/>
      <w:ind/>
    </w:pPr>
  </w:style>
  <w:style w:type="paragraph" w:styleId="1091" w:customStyle="1">
    <w:name w:val="headertext"/>
    <w:basedOn w:val="807"/>
    <w:pPr>
      <w:pBdr/>
      <w:spacing w:after="100" w:afterAutospacing="1" w:before="100" w:beforeAutospacing="1"/>
      <w:ind/>
    </w:pPr>
  </w:style>
  <w:style w:type="paragraph" w:styleId="1092" w:customStyle="1">
    <w:name w:val="Standard 2"/>
    <w:uiPriority w:val="99"/>
    <w:qFormat/>
    <w:pPr>
      <w:widowControl w:val="false"/>
      <w:suppressLineNumbers w:val="true"/>
      <w:pBdr/>
      <w:spacing/>
      <w:ind/>
      <w:contextualSpacing w:val="true"/>
      <w:jc w:val="both"/>
    </w:pPr>
    <w:rPr>
      <w:rFonts w:eastAsia="DejaVu Sans" w:cs="DejaVu Sans"/>
      <w:sz w:val="24"/>
      <w:szCs w:val="24"/>
      <w:lang w:bidi="hi-IN"/>
    </w:rPr>
  </w:style>
  <w:style w:type="paragraph" w:styleId="1093" w:customStyle="1">
    <w:name w:val="Standard"/>
    <w:qFormat/>
    <w:pPr>
      <w:pBdr/>
      <w:spacing/>
      <w:ind/>
    </w:pPr>
    <w:rPr>
      <w:sz w:val="24"/>
      <w:szCs w:val="24"/>
    </w:rPr>
  </w:style>
  <w:style w:type="character" w:styleId="1094" w:customStyle="1">
    <w:name w:val="cardmaininfo__purchaselink"/>
    <w:basedOn w:val="817"/>
    <w:pPr>
      <w:pBdr/>
      <w:spacing/>
      <w:ind/>
    </w:pPr>
  </w:style>
  <w:style w:type="character" w:styleId="1095" w:customStyle="1">
    <w:name w:val="highlightcolor"/>
    <w:basedOn w:val="817"/>
    <w:pPr>
      <w:pBdr/>
      <w:spacing/>
      <w:ind/>
    </w:pPr>
  </w:style>
  <w:style w:type="table" w:styleId="1096" w:customStyle="1">
    <w:name w:val="List Table 3 - Accent 1"/>
    <w:basedOn w:val="818"/>
    <w:uiPriority w:val="9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4 - Accent 2"/>
    <w:basedOn w:val="818"/>
    <w:uiPriority w:val="9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4 - Accent 3"/>
    <w:basedOn w:val="818"/>
    <w:uiPriority w:val="9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6 Colorful - Accent 2"/>
    <w:basedOn w:val="818"/>
    <w:uiPriority w:val="9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00" w:customStyle="1">
    <w:name w:val="Заголовок 21"/>
    <w:basedOn w:val="807"/>
    <w:next w:val="807"/>
    <w:link w:val="1101"/>
    <w:uiPriority w:val="9"/>
    <w:unhideWhenUsed/>
    <w:qFormat/>
    <w:pPr>
      <w:keepNext w:val="true"/>
      <w:keepLines w:val="true"/>
      <w:pBdr/>
      <w:spacing w:after="80" w:before="160" w:line="276" w:lineRule="auto"/>
      <w:ind/>
      <w:outlineLvl w:val="1"/>
    </w:pPr>
    <w:rPr>
      <w:rFonts w:ascii="Arial" w:hAnsi="Arial" w:eastAsia="Arial" w:cs="Arial"/>
      <w:color w:val="365f91"/>
      <w:sz w:val="32"/>
      <w:szCs w:val="32"/>
      <w:lang w:eastAsia="en-US"/>
    </w:rPr>
  </w:style>
  <w:style w:type="character" w:styleId="1101" w:customStyle="1">
    <w:name w:val="Heading 2 Char"/>
    <w:basedOn w:val="817"/>
    <w:link w:val="1100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  <w:lang w:eastAsia="en-US"/>
    </w:rPr>
  </w:style>
  <w:style w:type="paragraph" w:styleId="1102" w:customStyle="1">
    <w:name w:val="Заголовок 41"/>
    <w:basedOn w:val="807"/>
    <w:next w:val="807"/>
    <w:link w:val="1103"/>
    <w:uiPriority w:val="9"/>
    <w:unhideWhenUsed/>
    <w:qFormat/>
    <w:pPr>
      <w:keepNext w:val="true"/>
      <w:keepLines w:val="true"/>
      <w:pBdr/>
      <w:spacing w:after="40" w:before="80" w:line="276" w:lineRule="auto"/>
      <w:ind/>
      <w:outlineLvl w:val="3"/>
    </w:pPr>
    <w:rPr>
      <w:rFonts w:ascii="Arial" w:hAnsi="Arial" w:eastAsia="Arial" w:cs="Arial"/>
      <w:i/>
      <w:iCs/>
      <w:color w:val="365f91"/>
      <w:sz w:val="22"/>
      <w:szCs w:val="22"/>
      <w:lang w:eastAsia="en-US"/>
    </w:rPr>
  </w:style>
  <w:style w:type="character" w:styleId="1103" w:customStyle="1">
    <w:name w:val="Heading 4 Char"/>
    <w:basedOn w:val="817"/>
    <w:link w:val="1102"/>
    <w:uiPriority w:val="9"/>
    <w:pPr>
      <w:pBdr/>
      <w:spacing/>
      <w:ind/>
    </w:pPr>
    <w:rPr>
      <w:rFonts w:ascii="Arial" w:hAnsi="Arial" w:eastAsia="Arial" w:cs="Arial"/>
      <w:i/>
      <w:iCs/>
      <w:color w:val="365f91"/>
      <w:sz w:val="22"/>
      <w:szCs w:val="22"/>
      <w:lang w:eastAsia="en-US"/>
    </w:rPr>
  </w:style>
  <w:style w:type="paragraph" w:styleId="1104" w:customStyle="1">
    <w:name w:val="Заголовок 51"/>
    <w:basedOn w:val="807"/>
    <w:next w:val="807"/>
    <w:link w:val="1105"/>
    <w:uiPriority w:val="9"/>
    <w:unhideWhenUsed/>
    <w:qFormat/>
    <w:pPr>
      <w:keepNext w:val="true"/>
      <w:keepLines w:val="true"/>
      <w:pBdr/>
      <w:spacing w:after="40" w:before="80" w:line="276" w:lineRule="auto"/>
      <w:ind/>
      <w:outlineLvl w:val="4"/>
    </w:pPr>
    <w:rPr>
      <w:rFonts w:ascii="Arial" w:hAnsi="Arial" w:eastAsia="Arial" w:cs="Arial"/>
      <w:color w:val="365f91"/>
      <w:sz w:val="22"/>
      <w:szCs w:val="22"/>
      <w:lang w:eastAsia="en-US"/>
    </w:rPr>
  </w:style>
  <w:style w:type="character" w:styleId="1105" w:customStyle="1">
    <w:name w:val="Heading 5 Char"/>
    <w:basedOn w:val="817"/>
    <w:link w:val="1104"/>
    <w:uiPriority w:val="9"/>
    <w:pPr>
      <w:pBdr/>
      <w:spacing/>
      <w:ind/>
    </w:pPr>
    <w:rPr>
      <w:rFonts w:ascii="Arial" w:hAnsi="Arial" w:eastAsia="Arial" w:cs="Arial"/>
      <w:color w:val="365f91"/>
      <w:sz w:val="22"/>
      <w:szCs w:val="22"/>
      <w:lang w:eastAsia="en-US"/>
    </w:rPr>
  </w:style>
  <w:style w:type="paragraph" w:styleId="1106" w:customStyle="1">
    <w:name w:val="Заголовок 61"/>
    <w:basedOn w:val="807"/>
    <w:next w:val="807"/>
    <w:link w:val="1107"/>
    <w:uiPriority w:val="9"/>
    <w:unhideWhenUsed/>
    <w:qFormat/>
    <w:pPr>
      <w:keepNext w:val="true"/>
      <w:keepLines w:val="true"/>
      <w:pBdr/>
      <w:spacing w:before="40" w:line="276" w:lineRule="auto"/>
      <w:ind/>
      <w:outlineLvl w:val="5"/>
    </w:pPr>
    <w:rPr>
      <w:rFonts w:ascii="Arial" w:hAnsi="Arial" w:eastAsia="Arial" w:cs="Arial"/>
      <w:i/>
      <w:iCs/>
      <w:color w:val="595959"/>
      <w:sz w:val="22"/>
      <w:szCs w:val="22"/>
      <w:lang w:eastAsia="en-US"/>
    </w:rPr>
  </w:style>
  <w:style w:type="character" w:styleId="1107" w:customStyle="1">
    <w:name w:val="Heading 6 Char"/>
    <w:basedOn w:val="817"/>
    <w:link w:val="1106"/>
    <w:uiPriority w:val="9"/>
    <w:pPr>
      <w:pBdr/>
      <w:spacing/>
      <w:ind/>
    </w:pPr>
    <w:rPr>
      <w:rFonts w:ascii="Arial" w:hAnsi="Arial" w:eastAsia="Arial" w:cs="Arial"/>
      <w:i/>
      <w:iCs/>
      <w:color w:val="595959"/>
      <w:sz w:val="22"/>
      <w:szCs w:val="22"/>
      <w:lang w:eastAsia="en-US"/>
    </w:rPr>
  </w:style>
  <w:style w:type="paragraph" w:styleId="1108" w:customStyle="1">
    <w:name w:val="Заголовок 71"/>
    <w:basedOn w:val="807"/>
    <w:next w:val="807"/>
    <w:link w:val="1109"/>
    <w:uiPriority w:val="9"/>
    <w:unhideWhenUsed/>
    <w:qFormat/>
    <w:pPr>
      <w:keepNext w:val="true"/>
      <w:keepLines w:val="true"/>
      <w:pBdr/>
      <w:spacing w:before="40" w:line="276" w:lineRule="auto"/>
      <w:ind/>
      <w:outlineLvl w:val="6"/>
    </w:pPr>
    <w:rPr>
      <w:rFonts w:ascii="Arial" w:hAnsi="Arial" w:eastAsia="Arial" w:cs="Arial"/>
      <w:color w:val="595959"/>
      <w:sz w:val="22"/>
      <w:szCs w:val="22"/>
      <w:lang w:eastAsia="en-US"/>
    </w:rPr>
  </w:style>
  <w:style w:type="character" w:styleId="1109" w:customStyle="1">
    <w:name w:val="Heading 7 Char"/>
    <w:basedOn w:val="817"/>
    <w:link w:val="1108"/>
    <w:uiPriority w:val="9"/>
    <w:pPr>
      <w:pBdr/>
      <w:spacing/>
      <w:ind/>
    </w:pPr>
    <w:rPr>
      <w:rFonts w:ascii="Arial" w:hAnsi="Arial" w:eastAsia="Arial" w:cs="Arial"/>
      <w:color w:val="595959"/>
      <w:sz w:val="22"/>
      <w:szCs w:val="22"/>
      <w:lang w:eastAsia="en-US"/>
    </w:rPr>
  </w:style>
  <w:style w:type="paragraph" w:styleId="1110" w:customStyle="1">
    <w:name w:val="Заголовок 81"/>
    <w:basedOn w:val="807"/>
    <w:next w:val="807"/>
    <w:link w:val="1111"/>
    <w:uiPriority w:val="9"/>
    <w:unhideWhenUsed/>
    <w:qFormat/>
    <w:pPr>
      <w:keepNext w:val="true"/>
      <w:keepLines w:val="true"/>
      <w:pBdr/>
      <w:spacing w:line="276" w:lineRule="auto"/>
      <w:ind/>
      <w:outlineLvl w:val="7"/>
    </w:pPr>
    <w:rPr>
      <w:rFonts w:ascii="Arial" w:hAnsi="Arial" w:eastAsia="Arial" w:cs="Arial"/>
      <w:i/>
      <w:iCs/>
      <w:color w:val="272727"/>
      <w:sz w:val="22"/>
      <w:szCs w:val="22"/>
      <w:lang w:eastAsia="en-US"/>
    </w:rPr>
  </w:style>
  <w:style w:type="character" w:styleId="1111" w:customStyle="1">
    <w:name w:val="Heading 8 Char"/>
    <w:basedOn w:val="817"/>
    <w:link w:val="1110"/>
    <w:uiPriority w:val="9"/>
    <w:pPr>
      <w:pBdr/>
      <w:spacing/>
      <w:ind/>
    </w:pPr>
    <w:rPr>
      <w:rFonts w:ascii="Arial" w:hAnsi="Arial" w:eastAsia="Arial" w:cs="Arial"/>
      <w:i/>
      <w:iCs/>
      <w:color w:val="272727"/>
      <w:sz w:val="22"/>
      <w:szCs w:val="22"/>
      <w:lang w:eastAsia="en-US"/>
    </w:rPr>
  </w:style>
  <w:style w:type="paragraph" w:styleId="1112" w:customStyle="1">
    <w:name w:val="Заголовок 91"/>
    <w:basedOn w:val="807"/>
    <w:next w:val="807"/>
    <w:link w:val="1113"/>
    <w:uiPriority w:val="9"/>
    <w:unhideWhenUsed/>
    <w:qFormat/>
    <w:pPr>
      <w:keepNext w:val="true"/>
      <w:keepLines w:val="true"/>
      <w:pBdr/>
      <w:spacing w:line="276" w:lineRule="auto"/>
      <w:ind/>
      <w:outlineLvl w:val="8"/>
    </w:pPr>
    <w:rPr>
      <w:rFonts w:ascii="Arial" w:hAnsi="Arial" w:eastAsia="Arial" w:cs="Arial"/>
      <w:i/>
      <w:iCs/>
      <w:color w:val="272727"/>
      <w:sz w:val="22"/>
      <w:szCs w:val="22"/>
      <w:lang w:eastAsia="en-US"/>
    </w:rPr>
  </w:style>
  <w:style w:type="character" w:styleId="1113" w:customStyle="1">
    <w:name w:val="Heading 9 Char"/>
    <w:basedOn w:val="817"/>
    <w:link w:val="1112"/>
    <w:uiPriority w:val="9"/>
    <w:pPr>
      <w:pBdr/>
      <w:spacing/>
      <w:ind/>
    </w:pPr>
    <w:rPr>
      <w:rFonts w:ascii="Arial" w:hAnsi="Arial" w:eastAsia="Arial" w:cs="Arial"/>
      <w:i/>
      <w:iCs/>
      <w:color w:val="272727"/>
      <w:sz w:val="22"/>
      <w:szCs w:val="22"/>
      <w:lang w:eastAsia="en-US"/>
    </w:rPr>
  </w:style>
  <w:style w:type="character" w:styleId="1114" w:customStyle="1">
    <w:name w:val="Heading 1 Char"/>
    <w:basedOn w:val="817"/>
    <w:link w:val="1115"/>
    <w:uiPriority w:val="9"/>
    <w:pPr>
      <w:pBdr/>
      <w:spacing/>
      <w:ind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1115" w:customStyle="1">
    <w:name w:val="Заголовок 11"/>
    <w:basedOn w:val="807"/>
    <w:next w:val="807"/>
    <w:link w:val="1114"/>
    <w:uiPriority w:val="9"/>
    <w:qFormat/>
    <w:pPr>
      <w:keepNext w:val="true"/>
      <w:keepLines w:val="true"/>
      <w:pBdr/>
      <w:spacing w:before="480" w:line="276" w:lineRule="auto"/>
      <w:ind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1116" w:customStyle="1">
    <w:name w:val="Title Char"/>
    <w:basedOn w:val="8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17" w:customStyle="1">
    <w:name w:val="Subtitle Char"/>
    <w:basedOn w:val="817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1118" w:customStyle="1">
    <w:name w:val="Header1"/>
    <w:basedOn w:val="807"/>
    <w:link w:val="111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119" w:customStyle="1">
    <w:name w:val="Header Char"/>
    <w:basedOn w:val="817"/>
    <w:link w:val="1118"/>
    <w:uiPriority w:val="99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1120" w:customStyle="1">
    <w:name w:val="Footer1"/>
    <w:basedOn w:val="807"/>
    <w:link w:val="112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121" w:customStyle="1">
    <w:name w:val="Footer Char"/>
    <w:basedOn w:val="817"/>
    <w:link w:val="1120"/>
    <w:uiPriority w:val="99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1122" w:customStyle="1">
    <w:name w:val="Caption1"/>
    <w:basedOn w:val="807"/>
    <w:next w:val="807"/>
    <w:uiPriority w:val="35"/>
    <w:unhideWhenUsed/>
    <w:qFormat/>
    <w:pPr>
      <w:pBdr/>
      <w:spacing w:after="200"/>
      <w:ind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1123" w:customStyle="1">
    <w:name w:val="Заголовок 31"/>
    <w:basedOn w:val="807"/>
    <w:uiPriority w:val="9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character" w:styleId="1124" w:customStyle="1">
    <w:name w:val="Текст примечания Знак"/>
    <w:basedOn w:val="817"/>
    <w:link w:val="1125"/>
    <w:uiPriority w:val="99"/>
    <w:semiHidden/>
    <w:pPr>
      <w:pBdr/>
      <w:spacing/>
      <w:ind/>
    </w:pPr>
    <w:rPr>
      <w:rFonts w:ascii="Calibri" w:hAnsi="Calibri" w:eastAsia="Calibri"/>
      <w:lang w:eastAsia="en-US"/>
    </w:rPr>
  </w:style>
  <w:style w:type="paragraph" w:styleId="1125">
    <w:name w:val="annotation text"/>
    <w:basedOn w:val="807"/>
    <w:link w:val="1124"/>
    <w:uiPriority w:val="99"/>
    <w:semiHidden/>
    <w:unhideWhenUsed/>
    <w:pPr>
      <w:pBdr/>
      <w:spacing w:after="200"/>
      <w:ind/>
    </w:pPr>
    <w:rPr>
      <w:rFonts w:ascii="Calibri" w:hAnsi="Calibri" w:eastAsia="Calibri"/>
      <w:sz w:val="20"/>
      <w:szCs w:val="20"/>
      <w:lang w:eastAsia="en-US"/>
    </w:rPr>
  </w:style>
  <w:style w:type="character" w:styleId="1126" w:customStyle="1">
    <w:name w:val="Тема примечания Знак"/>
    <w:basedOn w:val="1124"/>
    <w:link w:val="1127"/>
    <w:uiPriority w:val="99"/>
    <w:semiHidden/>
    <w:pPr>
      <w:pBdr/>
      <w:spacing/>
      <w:ind/>
    </w:pPr>
    <w:rPr>
      <w:rFonts w:ascii="Calibri" w:hAnsi="Calibri" w:eastAsia="Calibri"/>
      <w:b/>
      <w:bCs/>
      <w:lang w:eastAsia="en-US"/>
    </w:rPr>
  </w:style>
  <w:style w:type="paragraph" w:styleId="1127">
    <w:name w:val="annotation subject"/>
    <w:basedOn w:val="1125"/>
    <w:next w:val="1125"/>
    <w:link w:val="1126"/>
    <w:uiPriority w:val="99"/>
    <w:semiHidden/>
    <w:unhideWhenUsed/>
    <w:pPr>
      <w:pBdr/>
      <w:spacing/>
      <w:ind/>
    </w:pPr>
    <w:rPr>
      <w:b/>
      <w:bCs/>
    </w:rPr>
  </w:style>
  <w:style w:type="paragraph" w:styleId="1128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1" Type="http://schemas.openxmlformats.org/officeDocument/2006/relationships/hyperlink" Target="https://login.consultant.ru/link/?req=doc&amp;base=RZB&amp;n=465243&amp;dst=1668" TargetMode="External"/><Relationship Id="rId12" Type="http://schemas.openxmlformats.org/officeDocument/2006/relationships/hyperlink" Target="https://login.consultant.ru/link/?req=doc&amp;base=RZB&amp;n=465243&amp;dst=1668" TargetMode="External"/><Relationship Id="rId13" Type="http://schemas.openxmlformats.org/officeDocument/2006/relationships/hyperlink" Target="https://login.consultant.ru/link/?req=doc&amp;base=RZB&amp;n=465243&amp;dst=1668" TargetMode="External"/><Relationship Id="rId14" Type="http://schemas.openxmlformats.org/officeDocument/2006/relationships/hyperlink" Target="https://login.consultant.ru/link/?req=doc&amp;base=RZB&amp;n=465243&amp;dst=1668" TargetMode="External"/><Relationship Id="rId15" Type="http://schemas.openxmlformats.org/officeDocument/2006/relationships/hyperlink" Target="consultantplus://offline/ref=E905B4E6CBBADE0EE52117383EC529A589BC0A56EF66F201042ABE1112J6z3D" TargetMode="External"/><Relationship Id="rId16" Type="http://schemas.openxmlformats.org/officeDocument/2006/relationships/hyperlink" Target="consultantplus://offline/ref=E905B4E6CBBADE0EE52117383EC529A58ABA015CEB6EF201042ABE1112J6z3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16</dc:title>
  <dc:creator>snab</dc:creator>
  <cp:revision>66</cp:revision>
  <dcterms:created xsi:type="dcterms:W3CDTF">2025-11-14T01:50:00Z</dcterms:created>
  <dcterms:modified xsi:type="dcterms:W3CDTF">2026-08-03T01:49:23Z</dcterms:modified>
  <cp:version>786432</cp:version>
</cp:coreProperties>
</file>