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/>
        <w:ind/>
        <w:contextualSpacing w:val="true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ТЕХНИЧЕСКАЯ ЧАСТЬ</w:t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outlineLvl w:val="0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  <w:t xml:space="preserve">СВЕДЕНИЯ ОБ ОБЪЕКТЕ ЗАКУПКИ</w:t>
      </w:r>
      <w:r>
        <w:rPr>
          <w:b/>
          <w:sz w:val="22"/>
          <w:szCs w:val="22"/>
          <w:shd w:val="clear" w:color="auto" w:fill="ffffff"/>
        </w:rPr>
      </w:r>
    </w:p>
    <w:p>
      <w:pPr>
        <w:pBdr/>
        <w:spacing/>
        <w:ind/>
        <w:jc w:val="center"/>
        <w:outlineLvl w:val="0"/>
        <w:rPr>
          <w:b/>
          <w:sz w:val="22"/>
          <w:szCs w:val="22"/>
          <w:shd w:val="clear" w:color="auto" w:fill="ffffff"/>
        </w:rPr>
      </w:pPr>
      <w:r>
        <w:rPr>
          <w:b/>
          <w:sz w:val="22"/>
          <w:szCs w:val="22"/>
          <w:shd w:val="clear" w:color="auto" w:fill="ffffff"/>
        </w:rPr>
      </w:r>
      <w:r>
        <w:rPr>
          <w:b/>
          <w:sz w:val="22"/>
          <w:szCs w:val="22"/>
          <w:shd w:val="clear" w:color="auto" w:fill="ffffff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Общие требования к условиям закупки: поставляемый товар должен соответствовать техническим требованиям настоящей части. В этих случаях продукция считается соответствующей требованиям:</w:t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r>
        <w:rPr>
          <w:sz w:val="20"/>
          <w:szCs w:val="20"/>
        </w:rPr>
        <w:t xml:space="preserve">Товар, поставка которого предусмотрена требованиям настоящей технической части, должен быть зарегистрирован и разрешен к применению в медицинской практике на территории Российской Федерации, что подтверждается копией</w:t>
      </w:r>
      <w:r>
        <w:rPr>
          <w:sz w:val="20"/>
          <w:szCs w:val="20"/>
        </w:rPr>
        <w:t xml:space="preserve"> действующего регистрационного удостоверениям Федеральной службы по надзору в сфере здравоохранения, Министерства здравоохранения Российской Федерации, на основании п.4 ст.38 ФЗ №323- ФЗ от 21 ноября 2011 г. «Об основах охраны здоровья граждан в российской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Федерации», Постановления Правительства Российской Федерации от 30 ноября 2024г. №1684 «Об утверж</w:t>
      </w:r>
      <w:r>
        <w:rPr>
          <w:sz w:val="20"/>
          <w:szCs w:val="20"/>
        </w:rPr>
        <w:t xml:space="preserve">дении правил государственной регистрации медицинских изделий», Постановления Правительства Российской Федерации от 03 апреля 2020г. № 430 «Об особенностях обращения медицинских изделий, в том числе регистрации серии (партии) медицинского изделия», Приказа </w:t>
      </w:r>
      <w:r>
        <w:rPr>
          <w:sz w:val="20"/>
          <w:szCs w:val="20"/>
        </w:rPr>
        <w:t xml:space="preserve">Росздравнадзора</w:t>
      </w:r>
      <w:r>
        <w:rPr>
          <w:sz w:val="20"/>
          <w:szCs w:val="20"/>
        </w:rPr>
        <w:t xml:space="preserve"> от 06.05.2019 N 3371 "Об утверждении Административного регламента Федеральной службы по надзору в сфере здравоохранения по предоставлению государственной услуги</w:t>
      </w:r>
      <w:r>
        <w:rPr>
          <w:sz w:val="20"/>
          <w:szCs w:val="20"/>
        </w:rPr>
        <w:t xml:space="preserve"> по государственной регистрации медицинских изделий". Если на момент поставки товара регистрация медицинских изделий не предусмотрена, то предоставляются отказные письма.</w:t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1.2. Поставляемый товар должен быть новым, ранее не использованным, не подвергнутый восстановлению, в том числе в качестве выставочного образца и свободным от прав третьих лиц.</w:t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1.3. Поставляемый товар должен быть упакован в заводских условиях. Упаковка каждой единицы товара должна быть</w:t>
      </w:r>
      <w:r>
        <w:rPr>
          <w:color w:val="000000"/>
          <w:sz w:val="20"/>
          <w:szCs w:val="20"/>
        </w:rPr>
        <w:t xml:space="preserve"> выполнена в соответствии с техническими условиями производителя и соответствовать требованиям ГОСТ. Упаковка товара должна иметь информацию об изделии, фирме изготовителе, стране происхождения (производства), каталожный номер (если предусмотрен производит</w:t>
      </w:r>
      <w:r>
        <w:rPr>
          <w:color w:val="000000"/>
          <w:sz w:val="20"/>
          <w:szCs w:val="20"/>
        </w:rPr>
        <w:t xml:space="preserve">елем), номер и серию партии, дату изготовления и срок годности. Информация о продукции, содержащаяся на упаковке должна быть на русском языке, либо содержать перевод на русский язык. Если это предусмотрено нормативами и стандартами, принятыми для соответст</w:t>
      </w:r>
      <w:r>
        <w:rPr>
          <w:color w:val="000000"/>
          <w:sz w:val="20"/>
          <w:szCs w:val="20"/>
        </w:rPr>
        <w:t xml:space="preserve">вующего вида продукции на территории Российской Федерации, упаковка такой продукции должна содержать инструкцию по эксплуатации (применению, использованию) на русском языке. Товар должен поставляться в не нарушенной (не поврежденной) упаковке изготовителя.</w:t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1.4. Товар должен соответствовать современным нормам качества и функциональности, применимым в современной российской и европейской медицине и соответствовать стандартам и нормам, установленным для соответс</w:t>
      </w:r>
      <w:r>
        <w:rPr>
          <w:color w:val="000000"/>
          <w:sz w:val="20"/>
          <w:szCs w:val="20"/>
        </w:rPr>
        <w:t xml:space="preserve">твующей продукции на территории Российской Федерации. Участник обязан гарантировать качество и годность продукции к эксплуатации, при использовании, в целях, для которых предназначен данный товар. Сроки гарантии каждого вида товара должны соответствовать, </w:t>
      </w:r>
      <w:r>
        <w:rPr>
          <w:color w:val="000000"/>
          <w:sz w:val="20"/>
          <w:szCs w:val="20"/>
        </w:rPr>
        <w:t xml:space="preserve">указанным</w:t>
      </w:r>
      <w:r>
        <w:rPr>
          <w:color w:val="000000"/>
          <w:sz w:val="20"/>
          <w:szCs w:val="20"/>
        </w:rPr>
        <w:t xml:space="preserve"> в настоящем техническом задании.</w:t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1.5.Товар должен соответст</w:t>
      </w:r>
      <w:r>
        <w:rPr>
          <w:color w:val="000000"/>
          <w:sz w:val="20"/>
          <w:szCs w:val="20"/>
        </w:rPr>
        <w:t xml:space="preserve">вовать его функциональному назначению, должен быть серийного выпуска. Факторы, оказывающие вредные воздействия на здоровье со стороны всех составных частей оборудования не должны превышать действующих норм для сотрудников, работающих с данным видом товара.</w:t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1.6. Товар должен быть безопасными для окружающей среды и человека. Гигиенические характеристи</w:t>
      </w:r>
      <w:r>
        <w:rPr>
          <w:color w:val="000000"/>
          <w:sz w:val="20"/>
          <w:szCs w:val="20"/>
        </w:rPr>
        <w:t xml:space="preserve">ки товара могут быть подтверждено по желанию Участника при поставке товара копиями документов: сертификатами качества товара, декларациями соответствия, отказными письмами или иными документами на усмотрение участника (документы не являются обязательными).</w:t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1.7. </w:t>
      </w:r>
      <w:r>
        <w:rPr>
          <w:sz w:val="20"/>
          <w:szCs w:val="20"/>
        </w:rPr>
        <w:t xml:space="preserve">Соответствие товара указанным требованиям должно быть подтверждено при поставке товара предоставленными заказчику сертификатами качества и/или декларацией соответствия, заверенными печатью поставщика на каждую партию каждого вида поставл</w:t>
      </w:r>
      <w:r>
        <w:rPr>
          <w:sz w:val="20"/>
          <w:szCs w:val="20"/>
        </w:rPr>
        <w:t xml:space="preserve">енного товара в момент осуществления поставки, если на товар предусмотрена система добровольной сертификации на основании декларации соответствия, то товар должен иметь отказное письмо и Поставщик должен декларировать безопасность и соответствие продукции.</w:t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1.8. Требования и условия поставки продукции, а также иные требования к выполнению настоящего заказа изложены в настоящей </w:t>
      </w:r>
      <w:r>
        <w:rPr>
          <w:color w:val="000000"/>
          <w:sz w:val="20"/>
          <w:szCs w:val="20"/>
        </w:rPr>
        <w:t xml:space="preserve">технической части, которая является неотъемлемой частью данной закупки. Требования к функциональным, техническим, качественным и эксплуатационным характеристикам, требования к безопасности товаров и их количество предусмотрены настоящей технической частью.</w:t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1.9 Поставщик должен поставить товар в соответствии с положениями настоящей технической частью. Частичная поставка не допускается.</w:t>
      </w:r>
      <w:r>
        <w:rPr>
          <w:color w:val="000000"/>
          <w:sz w:val="20"/>
          <w:szCs w:val="20"/>
        </w:rPr>
      </w:r>
    </w:p>
    <w:p>
      <w:pPr>
        <w:pBdr/>
        <w:spacing/>
        <w:ind/>
        <w:contextualSpacing w:val="true"/>
        <w:jc w:val="both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Срок поставки: с даты заключения Контракта в течение 10 дней</w:t>
      </w:r>
      <w:r>
        <w:rPr>
          <w:b/>
          <w:sz w:val="20"/>
          <w:szCs w:val="20"/>
        </w:rPr>
        <w:t xml:space="preserve"> .</w:t>
      </w:r>
      <w:r>
        <w:rPr>
          <w:b/>
          <w:sz w:val="20"/>
          <w:szCs w:val="20"/>
        </w:rPr>
      </w:r>
    </w:p>
    <w:p>
      <w:pPr>
        <w:pBdr/>
        <w:spacing/>
        <w:ind/>
        <w:contextualSpacing w:val="true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contextualSpacing w:val="true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Количество к поставке:</w:t>
      </w:r>
      <w:r>
        <w:rPr>
          <w:b/>
          <w:sz w:val="20"/>
          <w:szCs w:val="20"/>
        </w:rPr>
      </w:r>
    </w:p>
    <w:tbl>
      <w:tblPr>
        <w:tblW w:w="510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59"/>
        <w:gridCol w:w="3368"/>
        <w:gridCol w:w="1445"/>
        <w:gridCol w:w="1060"/>
        <w:gridCol w:w="2012"/>
        <w:gridCol w:w="1807"/>
      </w:tblGrid>
      <w:tr>
        <w:trPr>
          <w:trHeight w:val="2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п.п.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по ОКПД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позиции КТРУ 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0" w:left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Вата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Штука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175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21.20.24.150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21.20.24.150-00000050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left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Перчатки смотровые/процедурные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нитриловые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неопудренные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, нестерильные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Пара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11000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22.19.60.119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22.19.60.119-00000008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0" w:left="0"/>
              <w:jc w:val="left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Клеенка подкладная резинотканевая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Штука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22.19.50.000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22.19.50.000-00000064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lang w:eastAsia="ru-RU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Лейкопластырь кожный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Штука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73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21.20.24.110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21.20.24.110-00000019</w:t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lang w:eastAsia="ru-RU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Мешок патологоанатомический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Штука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40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32.50.50.190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32.50.50.190-00000885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lang w:eastAsia="ru-RU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Рулон марлевый тканый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 Вид 1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Штука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142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13.20.44.120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21.20.24.131-00000148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468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Рулон марлевый тканый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 Вид 2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8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Штука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823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21.20.24.131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21.20.24.131-00000022</w:t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contextualSpacing w:val="true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contextualSpacing w:val="true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Функциональные, технические и качественные характери</w:t>
      </w:r>
      <w:r>
        <w:rPr>
          <w:b/>
          <w:bCs/>
          <w:sz w:val="20"/>
          <w:szCs w:val="20"/>
        </w:rPr>
        <w:t xml:space="preserve">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могут изменяться</w:t>
      </w:r>
      <w:r>
        <w:rPr>
          <w:b/>
          <w:bCs/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1"/>
        <w:pBdr/>
        <w:spacing/>
        <w:ind/>
        <w:rPr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eastAsia="Times New Roman"/>
          <w:color w:val="000000" w:themeColor="text1"/>
          <w:sz w:val="20"/>
          <w:szCs w:val="20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</w:rPr>
        <w:t xml:space="preserve">1.     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Вата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- 175 штук</w:t>
      </w:r>
      <w:r>
        <w:rPr>
          <w:b/>
          <w:bCs/>
          <w:color w:val="000000" w:themeColor="text1"/>
          <w:sz w:val="20"/>
          <w:szCs w:val="20"/>
        </w:rPr>
      </w:r>
    </w:p>
    <w:tbl>
      <w:tblPr>
        <w:tblW w:w="4948" w:type="pct"/>
        <w:tblBorders/>
        <w:tblLook w:val="0000" w:firstRow="0" w:lastRow="0" w:firstColumn="0" w:lastColumn="0" w:noHBand="0" w:noVBand="0"/>
      </w:tblPr>
      <w:tblGrid>
        <w:gridCol w:w="865"/>
        <w:gridCol w:w="6656"/>
        <w:gridCol w:w="2512"/>
      </w:tblGrid>
      <w:tr>
        <w:trPr>
          <w:trHeight w:val="7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Требуемое значение,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параметра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установлено,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установлена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lang w:eastAsia="ru-RU"/>
              </w:rPr>
              <w:t xml:space="preserve">Описание: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Изделие, предназначенное для использования в качестве абсорбента, изготавливаемое из нестерильной массы ваты или иску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сственных волокон, сформированное в виде непрерывного отрезка (рулона) и, как правило, используемое в качестве впитывающего средства общего назначения или для набивки в лечебных учреждениях или домашних условиях; это не бинт и не специализированная повязка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Масса, грамм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250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Стерильность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Нестерильный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Тип укладки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Рулон</w:t>
            </w:r>
            <w:r>
              <w:rPr>
                <w:sz w:val="20"/>
                <w:szCs w:val="20"/>
              </w:rPr>
            </w:r>
          </w:p>
        </w:tc>
      </w:tr>
    </w:tbl>
    <w:p w14:paraId="0F049C62">
      <w:pPr>
        <w:pStyle w:val="891"/>
        <w:pBdr/>
        <w:spacing/>
        <w:ind/>
        <w:rPr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p>
      <w:pPr>
        <w:pStyle w:val="891"/>
        <w:pBdr/>
        <w:spacing/>
        <w:ind/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</w:rPr>
        <w:t xml:space="preserve">2.   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Перчатки смотровые/процедурные 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нитриловые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, 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неопудренные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, нестерильные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- 11 000 пар</w:t>
      </w:r>
      <w:r>
        <w:rPr>
          <w:b/>
          <w:bCs/>
          <w:color w:val="000000" w:themeColor="text1"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tbl>
      <w:tblPr>
        <w:tblW w:w="4948" w:type="pct"/>
        <w:tblBorders/>
        <w:tblLook w:val="0000" w:firstRow="0" w:lastRow="0" w:firstColumn="0" w:lastColumn="0" w:noHBand="0" w:noVBand="0"/>
      </w:tblPr>
      <w:tblGrid>
        <w:gridCol w:w="865"/>
        <w:gridCol w:w="6656"/>
        <w:gridCol w:w="2512"/>
      </w:tblGrid>
      <w:tr>
        <w:trPr>
          <w:trHeight w:val="6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Требуемое значение,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параметра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63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установлено,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установлена</w:t>
            </w:r>
            <w:r>
              <w:rPr>
                <w:sz w:val="20"/>
                <w:szCs w:val="20"/>
              </w:rPr>
              <w:t xml:space="preserve">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Описание: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Нестерильное изделие, изготавливаемое из нитрила для использования в качестве защитного барьера на руках медицинского работника во время осмотра/лечения пациента или для других санитарных целей; внутренняя поверхность перчаток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неопудрена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, и они не содержат антибактериальных веществ/материалов.</w:t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Классификация по типу: Тип 2 - изготовленные на основе нитрильного латекса (Согласно ГОСТ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ИСО 52239-2024 Перчатки медицинские диагностические однократного применения.)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Наличие</w:t>
            </w:r>
            <w:r>
              <w:rPr>
                <w:bCs/>
                <w:sz w:val="20"/>
                <w:szCs w:val="20"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Классификация в соответствии с отделкой: Текстурный рисунок (Согласно ГОСТ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ИСО 52239-2024 Перчатки медицинские диагностические однократного применения.)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Наличие</w:t>
            </w:r>
            <w:r>
              <w:rPr>
                <w:bCs/>
                <w:sz w:val="20"/>
                <w:szCs w:val="20"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Код размера: 7,5 (Согласно ГОСТ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ИСО 52239-2024 Перчатки медицинские диагностические однократного применения.)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Наличие</w:t>
            </w:r>
            <w:r>
              <w:rPr>
                <w:bCs/>
                <w:sz w:val="20"/>
                <w:szCs w:val="20"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Классификация в соответствии с отделкой: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Неопудренная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поверхность (Согласно ГОСТ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ИСО 52239-2024 Перчатки медицинские диагностические однократного применения.)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Наличие</w:t>
            </w:r>
            <w:r>
              <w:rPr>
                <w:bCs/>
                <w:sz w:val="20"/>
                <w:szCs w:val="20"/>
                <w:shd w:val="clear" w:color="auto" w:fill="ffffff"/>
              </w:rPr>
            </w:r>
          </w:p>
        </w:tc>
      </w:tr>
    </w:tbl>
    <w:p w14:paraId="04A283B8">
      <w:pPr>
        <w:pStyle w:val="891"/>
        <w:pBdr/>
        <w:spacing/>
        <w:ind/>
        <w:rPr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p>
      <w:pPr>
        <w:pStyle w:val="891"/>
        <w:pBdr/>
        <w:spacing/>
        <w:ind/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Times New Roman" w:hAnsi="Times New Roman" w:eastAsia="Times New Roman"/>
          <w:color w:val="000000" w:themeColor="text1"/>
          <w:sz w:val="20"/>
          <w:szCs w:val="20"/>
        </w:rPr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</w:rPr>
        <w:t xml:space="preserve">3.   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Клеенка подкладная резинотканевая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- 1 штука</w:t>
      </w:r>
      <w:r>
        <w:rPr>
          <w:b/>
          <w:bCs/>
          <w:color w:val="000000" w:themeColor="text1"/>
          <w:sz w:val="20"/>
          <w:szCs w:val="20"/>
        </w:rPr>
      </w:r>
      <w:r>
        <w:rPr>
          <w:b/>
          <w:color w:val="000000" w:themeColor="text1"/>
          <w:sz w:val="20"/>
          <w:szCs w:val="20"/>
          <w:shd w:val="clear" w:color="auto" w:fill="ffffff"/>
        </w:rPr>
      </w:r>
      <w:r>
        <w:rPr>
          <w:b/>
          <w:color w:val="000000" w:themeColor="text1"/>
          <w:sz w:val="20"/>
          <w:szCs w:val="20"/>
          <w:shd w:val="clear" w:color="auto" w:fill="ffffff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tbl>
      <w:tblPr>
        <w:tblW w:w="4948" w:type="pct"/>
        <w:tblBorders/>
        <w:tblLook w:val="0000" w:firstRow="0" w:lastRow="0" w:firstColumn="0" w:lastColumn="0" w:noHBand="0" w:noVBand="0"/>
      </w:tblPr>
      <w:tblGrid>
        <w:gridCol w:w="865"/>
        <w:gridCol w:w="6656"/>
        <w:gridCol w:w="2512"/>
      </w:tblGrid>
      <w:tr>
        <w:trPr>
          <w:trHeight w:val="7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Требуемое значение,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параметра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5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установлено,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установлена</w:t>
            </w:r>
            <w:r>
              <w:rPr>
                <w:sz w:val="20"/>
                <w:szCs w:val="20"/>
              </w:rPr>
              <w:t xml:space="preserve">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8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/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Назначение: </w:t>
            </w:r>
            <w:r>
              <w:rPr>
                <w:sz w:val="20"/>
                <w:szCs w:val="20"/>
              </w:rPr>
              <w:t xml:space="preserve">Клеенка подкладная предназначена  для санитарно-гигиенических целей в качестве подкладочного, непроницаемого материала.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Соответствие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Длина рулона, метр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45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Ткань - основа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Хлопчатобумажная ткань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Формат выпуска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Рулон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vMerge w:val="restar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7" w:type="pct"/>
            <w:vAlign w:val="center"/>
            <w:vMerge w:val="restar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Ширина рулона, метр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2" w:type="pct"/>
            <w:vAlign w:val="center"/>
            <w:vMerge w:val="restart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0,75  и  &lt; 0,8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</w:r>
          </w:p>
        </w:tc>
      </w:tr>
    </w:tbl>
    <w:p w14:paraId="1421103F">
      <w:pPr>
        <w:pStyle w:val="891"/>
        <w:pBdr/>
        <w:spacing/>
        <w:ind/>
        <w:rPr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p>
      <w:pPr>
        <w:pStyle w:val="891"/>
        <w:pBdr/>
        <w:spacing/>
        <w:ind/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4.   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Лейкопластырь кожный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- 73 штуки</w:t>
      </w:r>
      <w:r>
        <w:rPr>
          <w:b/>
          <w:bCs/>
          <w:color w:val="000000" w:themeColor="text1"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tbl>
      <w:tblPr>
        <w:tblW w:w="4948" w:type="pct"/>
        <w:tblBorders/>
        <w:tblLook w:val="0000" w:firstRow="0" w:lastRow="0" w:firstColumn="0" w:lastColumn="0" w:noHBand="0" w:noVBand="0"/>
      </w:tblPr>
      <w:tblGrid>
        <w:gridCol w:w="865"/>
        <w:gridCol w:w="6656"/>
        <w:gridCol w:w="2512"/>
      </w:tblGrid>
      <w:tr>
        <w:trPr>
          <w:trHeight w:val="7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Требуемое значение,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параметра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установлено,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установлена</w:t>
            </w:r>
            <w:r>
              <w:rPr>
                <w:sz w:val="20"/>
                <w:szCs w:val="20"/>
              </w:rPr>
              <w:t xml:space="preserve">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Описание: 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Длинная и узкая гибкая полоска из 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несиликонового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 материала (например, ткани, пластика, бумаги), покрытая с одной или с двух сторон самоклеящимся слоем, предназначенная для 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неинвазивного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 сцепления с поверхностью кожи с целью фиксации повязки на месте или прикрепления предметов (например, катетера, лампы); изделие может обладать 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гипоаллергенными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 и/или водонепроницаемыми свойствами.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Воздухопроницаемый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Да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Длина, сантиметр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500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Основа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Тканая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Ширина, сантиметр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4  и  ≤ 5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</w:tr>
    </w:tbl>
    <w:p w14:paraId="1FB53B1E">
      <w:pPr>
        <w:pStyle w:val="891"/>
        <w:pBdr/>
        <w:spacing/>
        <w:ind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p>
      <w:pPr>
        <w:pStyle w:val="891"/>
        <w:pBdr/>
        <w:spacing/>
        <w:ind/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bCs/>
          <w:sz w:val="20"/>
          <w:szCs w:val="20"/>
        </w:rPr>
        <w:t xml:space="preserve">5.   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Мешок патологоанатомический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- 40 штук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tbl>
      <w:tblPr>
        <w:tblW w:w="4948" w:type="pct"/>
        <w:tblBorders/>
        <w:tblLook w:val="0000" w:firstRow="0" w:lastRow="0" w:firstColumn="0" w:lastColumn="0" w:noHBand="0" w:noVBand="0"/>
      </w:tblPr>
      <w:tblGrid>
        <w:gridCol w:w="865"/>
        <w:gridCol w:w="6656"/>
        <w:gridCol w:w="2512"/>
      </w:tblGrid>
      <w:tr>
        <w:trPr>
          <w:trHeight w:val="7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Требуемое значение,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параметра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установлено,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установлена</w:t>
            </w:r>
            <w:r>
              <w:rPr>
                <w:sz w:val="20"/>
                <w:szCs w:val="20"/>
              </w:rPr>
              <w:t xml:space="preserve">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Описание: 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Мешок для хранения трупа, подготовленного для анатомического исследования. Это изделие одноразовое.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Материал: Полиэтилен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Наличие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Длина, сантиметр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210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Ширина, сантиметр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80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Наличие молнии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vMerge w:val="restar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7" w:type="pct"/>
            <w:vMerge w:val="restar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Расположение молнии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2" w:type="pct"/>
            <w:vAlign w:val="center"/>
            <w:vMerge w:val="restart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По центру изделия</w:t>
            </w:r>
            <w:r>
              <w:rPr>
                <w:rFonts w:ascii="Times New Roman" w:hAnsi="Times New Roman"/>
                <w:sz w:val="20"/>
                <w:szCs w:val="20"/>
                <w:highlight w:val="white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vMerge w:val="restar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17" w:type="pct"/>
            <w:vMerge w:val="restar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Наличие ручек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2" w:type="pct"/>
            <w:vAlign w:val="center"/>
            <w:vMerge w:val="restart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 w14:paraId="3A585863">
      <w:pPr>
        <w:pStyle w:val="891"/>
        <w:pBdr/>
        <w:spacing/>
        <w:ind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p>
      <w:pPr>
        <w:pStyle w:val="891"/>
        <w:pBdr/>
        <w:spacing/>
        <w:ind/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bCs/>
          <w:sz w:val="20"/>
          <w:szCs w:val="20"/>
        </w:rPr>
        <w:t xml:space="preserve">6.  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  <w:highlight w:val="white"/>
        </w:rPr>
        <w:t xml:space="preserve">Рулон марлевый тканый</w:t>
      </w:r>
      <w:r>
        <w:rPr>
          <w:rFonts w:ascii="Times New Roman" w:hAnsi="Times New Roman" w:eastAsia="Times New Roman"/>
          <w:b/>
          <w:bCs/>
          <w:color w:val="000000" w:themeColor="text1"/>
          <w:sz w:val="20"/>
          <w:szCs w:val="20"/>
        </w:rPr>
        <w:t xml:space="preserve"> Вид 1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- 142 штуки</w:t>
      </w:r>
      <w:r>
        <w:rPr>
          <w:rFonts w:ascii="Times New Roman" w:hAnsi="Times New Roman"/>
          <w:color w:val="000000" w:themeColor="text1"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highlight w:val="none"/>
        </w:rPr>
      </w:r>
    </w:p>
    <w:tbl>
      <w:tblPr>
        <w:tblW w:w="4948" w:type="pct"/>
        <w:tblBorders/>
        <w:tblLook w:val="0000" w:firstRow="0" w:lastRow="0" w:firstColumn="0" w:lastColumn="0" w:noHBand="0" w:noVBand="0"/>
      </w:tblPr>
      <w:tblGrid>
        <w:gridCol w:w="865"/>
        <w:gridCol w:w="6656"/>
        <w:gridCol w:w="2512"/>
      </w:tblGrid>
      <w:tr>
        <w:trPr>
          <w:trHeight w:val="7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Требуемое значение,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параметра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установлено,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установлена</w:t>
            </w:r>
            <w:r>
              <w:rPr>
                <w:sz w:val="20"/>
                <w:szCs w:val="20"/>
              </w:rPr>
              <w:t xml:space="preserve">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6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/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О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писание: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Нестерильное изделие в форме длинной полоски из растягивающегося впитывающего тканого материала (например, хлопка, целлюлозы), свернутого в рулон, и, как правило, разработанное для ис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пользования в различных целях (неспециализированное), например, для использования в качестве первичной повязки на рану, для удержания на месте повязки, наложения на травмы и компрессии. Это не специальная компрессионная повязка, изделие не содержит латекс.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Соответствие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Длина, метр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5  и  &lt; 7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Ширина, сантиметр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90  и  &lt; 100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Наличие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рентгеноконтрастной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нити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Нет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</w:r>
          </w:p>
        </w:tc>
      </w:tr>
    </w:tbl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891"/>
        <w:pBdr/>
        <w:spacing/>
        <w:ind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7. 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:highlight w:val="white"/>
        </w:rPr>
        <w:t xml:space="preserve">Рулон марлевый тканый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 Вид 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 - 823 штуки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r>
    </w:p>
    <w:tbl>
      <w:tblPr>
        <w:tblW w:w="4948" w:type="pct"/>
        <w:tblBorders/>
        <w:tblLook w:val="0000" w:firstRow="0" w:lastRow="0" w:firstColumn="0" w:lastColumn="0" w:noHBand="0" w:noVBand="0"/>
      </w:tblPr>
      <w:tblGrid>
        <w:gridCol w:w="865"/>
        <w:gridCol w:w="6656"/>
        <w:gridCol w:w="2512"/>
      </w:tblGrid>
      <w:tr>
        <w:trPr>
          <w:trHeight w:val="7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/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Требуемое значение,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параметра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установлено,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установлена</w:t>
            </w:r>
            <w:r>
              <w:rPr>
                <w:sz w:val="20"/>
                <w:szCs w:val="20"/>
              </w:rPr>
              <w:t xml:space="preserve">, указывается поставщиком в заявке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3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Описание: 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Нестерильное изделие в форме длинной полоски из растягивающегося впитывающего тканого материала (например, хлопка, целлюлозы), свернутого в рулон, и, как правило, разработанное для исп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ользования в различных целях (неспециализированное), например, для использования в качестве первичной повязки на рану, для удержания на месте повязки, наложения на травмы и компрессии. Это не специальная компрессионная повязка, изделие не содержит латекс. 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Соответствие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Длина, метр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10  и  &lt; </w:t>
            </w: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</w:rPr>
              <w:t xml:space="preserve">15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Ширина, сантиметр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≥ 7  и  &lt; 10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6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1" w:type="pct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17" w:type="pct"/>
            <w:textDirection w:val="lrTb"/>
            <w:noWrap w:val="false"/>
          </w:tcPr>
          <w:p>
            <w:pPr>
              <w:pStyle w:val="891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Наличие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рентгеноконтрастной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 нити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2" w:type="pct"/>
            <w:vAlign w:val="center"/>
            <w:textDirection w:val="lrTb"/>
            <w:noWrap w:val="false"/>
          </w:tcPr>
          <w:p>
            <w:pPr>
              <w:pStyle w:val="891"/>
              <w:pBdr/>
              <w:spacing/>
              <w:ind/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0"/>
                <w:szCs w:val="20"/>
                <w:highlight w:val="white"/>
              </w:rPr>
              <w:t xml:space="preserve">Нет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</w:r>
          </w:p>
        </w:tc>
      </w:tr>
    </w:tbl>
    <w:p>
      <w:pPr>
        <w:pBdr/>
        <w:spacing/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contextualSpacing w:val="true"/>
        <w:jc w:val="both"/>
        <w:rPr>
          <w:bCs/>
          <w:i/>
          <w:iCs/>
          <w:sz w:val="20"/>
          <w:szCs w:val="20"/>
          <w:shd w:val="clear" w:color="auto" w:fill="ffffff"/>
        </w:rPr>
      </w:pPr>
      <w:r>
        <w:rPr>
          <w:i/>
          <w:sz w:val="20"/>
          <w:szCs w:val="20"/>
          <w:shd w:val="clear" w:color="auto" w:fill="ffffff"/>
        </w:rPr>
        <w:t xml:space="preserve">-наименование </w:t>
      </w:r>
      <w:r>
        <w:rPr>
          <w:i/>
          <w:sz w:val="20"/>
          <w:szCs w:val="20"/>
          <w:shd w:val="clear" w:color="auto" w:fill="ffffff"/>
        </w:rPr>
        <w:t xml:space="preserve">товара</w:t>
      </w:r>
      <w:r>
        <w:rPr>
          <w:i/>
          <w:sz w:val="20"/>
          <w:szCs w:val="20"/>
          <w:shd w:val="clear" w:color="auto" w:fill="ffffff"/>
        </w:rPr>
        <w:t xml:space="preserve"> указано исходя из номенклатурной классификации медицинских изделий по видам </w:t>
      </w:r>
      <w:r>
        <w:rPr>
          <w:i/>
          <w:sz w:val="20"/>
          <w:szCs w:val="20"/>
          <w:shd w:val="clear" w:color="auto" w:fill="ffffff"/>
        </w:rPr>
        <w:t xml:space="preserve">Росздравнадзора</w:t>
      </w:r>
      <w:r>
        <w:rPr>
          <w:i/>
          <w:sz w:val="20"/>
          <w:szCs w:val="20"/>
          <w:shd w:val="clear" w:color="auto" w:fill="ffffff"/>
        </w:rPr>
        <w:t xml:space="preserve"> </w:t>
      </w:r>
      <w:r>
        <w:rPr>
          <w:bCs/>
          <w:i/>
          <w:iCs/>
          <w:sz w:val="20"/>
          <w:szCs w:val="20"/>
          <w:shd w:val="clear" w:color="auto" w:fill="ffffff"/>
        </w:rPr>
      </w:r>
    </w:p>
    <w:p>
      <w:pPr>
        <w:pBdr/>
        <w:spacing/>
        <w:ind/>
        <w:contextualSpacing w:val="true"/>
        <w:jc w:val="both"/>
        <w:rPr>
          <w:i/>
          <w:sz w:val="20"/>
          <w:szCs w:val="20"/>
          <w:shd w:val="clear" w:color="auto" w:fill="ffffff"/>
        </w:rPr>
      </w:pPr>
      <w:r>
        <w:rPr>
          <w:i/>
          <w:sz w:val="20"/>
          <w:szCs w:val="20"/>
          <w:shd w:val="clear" w:color="auto" w:fill="ffffff"/>
        </w:rPr>
        <w:t xml:space="preserve">- в техническом задании одноименные товары, имеющие разные характеристики и параметры разделены по Видам</w:t>
      </w:r>
      <w:r>
        <w:rPr>
          <w:i/>
          <w:sz w:val="20"/>
          <w:szCs w:val="20"/>
          <w:shd w:val="clear" w:color="auto" w:fill="ffffff"/>
        </w:rPr>
      </w:r>
    </w:p>
    <w:p>
      <w:pPr>
        <w:pBdr/>
        <w:spacing/>
        <w:ind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*возможна поставка медицинских изделий в иной упаковке, чем указано в техническом задании, при условии соблюдения общего количества единиц измерения по каждой позиции</w:t>
      </w:r>
      <w:r>
        <w:rPr>
          <w:i/>
          <w:sz w:val="20"/>
          <w:szCs w:val="20"/>
        </w:rPr>
      </w:r>
    </w:p>
    <w:p>
      <w:pPr>
        <w:pBdr/>
        <w:spacing/>
        <w:ind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условий, в отношении проведения испытаний, методов испытаний</w:t>
      </w:r>
      <w:r>
        <w:rPr>
          <w:b/>
          <w:sz w:val="20"/>
          <w:szCs w:val="20"/>
        </w:rPr>
      </w:r>
    </w:p>
    <w:p>
      <w:pPr>
        <w:pBdr/>
        <w:spacing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Безопасность Товара должна соответствовать требованиям технических регламентов, ГОСТ, действующих на территории Российской Федерации.</w:t>
      </w:r>
      <w:r>
        <w:rPr>
          <w:b/>
          <w:sz w:val="20"/>
          <w:szCs w:val="20"/>
        </w:rPr>
      </w:r>
    </w:p>
    <w:p>
      <w:pPr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Товар должен поставляться в оригинальной завод</w:t>
      </w:r>
      <w:r>
        <w:rPr>
          <w:sz w:val="20"/>
          <w:szCs w:val="20"/>
        </w:rPr>
        <w:t xml:space="preserve">ской упаковке, соответствующей характеру поставляемого Товара и способу транспортировки, обеспечивающей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  <w:r>
        <w:rPr>
          <w:sz w:val="20"/>
          <w:szCs w:val="20"/>
        </w:rPr>
      </w:r>
    </w:p>
    <w:p>
      <w:pPr>
        <w:pBdr/>
        <w:spacing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Мар</w:t>
      </w:r>
      <w:r>
        <w:rPr>
          <w:sz w:val="20"/>
          <w:szCs w:val="20"/>
        </w:rPr>
        <w:t xml:space="preserve">кировка товара и тары (упаковки) товара, в том числе транспортной, должна содержать информацию согласно требованиям действующего законодательства Российской Федерации: наименование изделия, наименование фирмы-изготовителя, адрес изготовителя, дату выпуска.</w:t>
      </w:r>
      <w:r>
        <w:rPr>
          <w:sz w:val="20"/>
          <w:szCs w:val="20"/>
        </w:rPr>
      </w:r>
    </w:p>
    <w:p>
      <w:pPr>
        <w:pBdr/>
        <w:spacing/>
        <w:ind w:firstLine="567"/>
        <w:contextualSpacing w:val="tru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Наименование товара должно быть  указано исходя из номенклатурной классификации медицинских изделий по видам </w:t>
      </w:r>
      <w:r>
        <w:rPr>
          <w:sz w:val="20"/>
          <w:szCs w:val="20"/>
        </w:rPr>
        <w:t xml:space="preserve">Росздравнадзора</w:t>
      </w:r>
      <w:r>
        <w:rPr>
          <w:sz w:val="20"/>
          <w:szCs w:val="20"/>
        </w:rPr>
        <w:t xml:space="preserve"> и соответствующих </w:t>
      </w:r>
      <w:r>
        <w:rPr>
          <w:sz w:val="20"/>
          <w:szCs w:val="20"/>
        </w:rPr>
        <w:t xml:space="preserve">ГОСТов</w:t>
      </w:r>
      <w:r>
        <w:rPr>
          <w:sz w:val="20"/>
          <w:szCs w:val="20"/>
        </w:rPr>
        <w:t xml:space="preserve"> на изделия,</w:t>
      </w:r>
      <w:r>
        <w:rPr>
          <w:bCs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 возможна поставка медицинских </w:t>
      </w:r>
      <w:r>
        <w:rPr>
          <w:sz w:val="20"/>
          <w:szCs w:val="20"/>
        </w:rPr>
        <w:t xml:space="preserve">изделий в иной упаковке, чем указано в техническом задании, при условии соблюдения общего количества единиц измерения по каждой позиции.</w:t>
      </w:r>
      <w:r>
        <w:rPr>
          <w:sz w:val="20"/>
          <w:szCs w:val="20"/>
        </w:rPr>
      </w:r>
    </w:p>
    <w:p>
      <w:pPr>
        <w:pStyle w:val="895"/>
        <w:pBdr/>
        <w:spacing/>
        <w:ind/>
        <w:jc w:val="both"/>
        <w:rPr>
          <w:rFonts w:ascii="Times New Roman" w:hAnsi="Times New Roman" w:eastAsia="Calibri"/>
          <w:sz w:val="20"/>
          <w:szCs w:val="20"/>
        </w:rPr>
      </w:pPr>
      <w:r>
        <w:rPr>
          <w:rFonts w:ascii="Times New Roman" w:hAnsi="Times New Roman" w:eastAsia="Calibri"/>
          <w:sz w:val="20"/>
          <w:szCs w:val="20"/>
          <w:lang w:eastAsia="zh-CN"/>
        </w:rPr>
        <w:t xml:space="preserve">Прослеживание товара в системе «Честный знак»: Маркировка товара согласно действующему законодательству Российской Федерации.</w:t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94"/>
        <w:pBdr/>
        <w:spacing/>
        <w:ind/>
        <w:rPr/>
      </w:pPr>
      <w:r/>
      <w:r/>
    </w:p>
    <w:tbl>
      <w:tblPr>
        <w:jc w:val="center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709"/>
        <w:gridCol w:w="6620"/>
        <w:gridCol w:w="1809"/>
      </w:tblGrid>
      <w:tr>
        <w:trPr>
          <w:jc w:val="center"/>
          <w:trHeight w:val="20"/>
        </w:trPr>
        <w:tc>
          <w:tcPr>
            <w:gridSpan w:val="3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1.Требования к документам</w:t>
            </w:r>
            <w:r>
              <w:rPr>
                <w:sz w:val="20"/>
                <w:szCs w:val="20"/>
                <w:vertAlign w:val="superscript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265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регистрационного удостоверения МЗ РФ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8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</w:t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26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К</w:t>
            </w:r>
            <w:r>
              <w:rPr>
                <w:position w:val="2"/>
                <w:sz w:val="20"/>
                <w:szCs w:val="20"/>
                <w:lang w:eastAsia="ar-SA"/>
              </w:rPr>
              <w:t xml:space="preserve">опия сертификата соответствия и/или (копия Декларации о соответствии) для Товара, по которому наличие данного документа является обязательным в соответствии с требованиями, установленными в Российской Федерации</w:t>
            </w:r>
            <w:r/>
          </w:p>
        </w:tc>
        <w:tc>
          <w:tcPr>
            <w:tcBorders/>
            <w:tcW w:w="8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</w:t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265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 и/или руководство и/или этикетка по эксплуатации на русском языке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8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</w:t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  <w:trHeight w:val="20"/>
        </w:trPr>
        <w:tc>
          <w:tcPr>
            <w:gridSpan w:val="3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2. Требования к упаковке и маркировке </w:t>
            </w:r>
            <w:r>
              <w:rPr>
                <w:sz w:val="20"/>
                <w:szCs w:val="20"/>
                <w:vertAlign w:val="superscript"/>
              </w:rPr>
            </w:r>
          </w:p>
        </w:tc>
      </w:tr>
      <w:tr>
        <w:trPr>
          <w:jc w:val="center"/>
          <w:trHeight w:val="20"/>
        </w:trPr>
        <w:tc>
          <w:tcPr>
            <w:tcBorders/>
            <w:tcW w:w="84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26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Маркировка наименования изделия на упаковке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89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</w:t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contextualSpacing w:val="true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contextualSpacing w:val="true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Требования к году (месяцу) изготовления товара</w:t>
      </w:r>
      <w:r>
        <w:rPr>
          <w:b/>
          <w:sz w:val="20"/>
          <w:szCs w:val="20"/>
        </w:rPr>
      </w:r>
    </w:p>
    <w:p>
      <w:pPr>
        <w:pBdr/>
        <w:spacing/>
        <w:ind/>
        <w:contextualSpacing w:val="true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Остаточный срок годности – не менее 12 месяцев </w:t>
      </w:r>
      <w:r>
        <w:rPr>
          <w:sz w:val="20"/>
          <w:szCs w:val="20"/>
        </w:rPr>
        <w:t xml:space="preserve">с даты поставки</w:t>
      </w:r>
      <w:r>
        <w:rPr>
          <w:sz w:val="20"/>
          <w:szCs w:val="20"/>
        </w:rPr>
      </w:r>
    </w:p>
    <w:p>
      <w:pPr>
        <w:pBdr/>
        <w:spacing/>
        <w:ind/>
        <w:contextualSpacing w:val="true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tabs>
          <w:tab w:val="left" w:leader="none" w:pos="0"/>
        </w:tabs>
        <w:spacing/>
        <w:ind w:right="-1" w:firstLine="709" w:left="-567"/>
        <w:jc w:val="both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Примечание: </w:t>
      </w:r>
      <w:r>
        <w:rPr>
          <w:b/>
          <w:sz w:val="20"/>
          <w:szCs w:val="20"/>
        </w:rPr>
      </w:r>
    </w:p>
    <w:p>
      <w:pPr>
        <w:pBdr/>
        <w:tabs>
          <w:tab w:val="left" w:leader="none" w:pos="0"/>
        </w:tabs>
        <w:spacing/>
        <w:ind w:right="-1"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sz w:val="18"/>
          <w:szCs w:val="18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sz w:val="18"/>
          <w:szCs w:val="18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sz w:val="18"/>
          <w:szCs w:val="18"/>
        </w:rPr>
      </w:r>
    </w:p>
    <w:p>
      <w:pPr>
        <w:pStyle w:val="890"/>
        <w:pBdr/>
        <w:spacing w:after="0" w:line="240" w:lineRule="auto"/>
        <w:ind w:left="36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</w:r>
      <w:r>
        <w:rPr>
          <w:rFonts w:ascii="Times New Roman" w:hAnsi="Times New Roman"/>
          <w:b/>
          <w:lang w:val="ru-RU"/>
        </w:rPr>
      </w:r>
    </w:p>
    <w:sectPr>
      <w:footnotePr/>
      <w:endnotePr/>
      <w:type w:val="nextPage"/>
      <w:pgSz w:h="16838" w:orient="portrait" w:w="11906"/>
      <w:pgMar w:top="567" w:right="850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051ED"/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0">
    <w:name w:val="Title Char"/>
    <w:basedOn w:val="703"/>
    <w:link w:val="8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03"/>
    <w:link w:val="85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03"/>
    <w:link w:val="85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03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2">
    <w:name w:val="Footnote Text Char"/>
    <w:basedOn w:val="703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03"/>
    <w:link w:val="873"/>
    <w:uiPriority w:val="99"/>
    <w:semiHidden/>
    <w:pPr>
      <w:pBdr/>
      <w:spacing/>
      <w:ind/>
    </w:pPr>
    <w:rPr>
      <w:sz w:val="20"/>
      <w:szCs w:val="20"/>
    </w:rPr>
  </w:style>
  <w:style w:type="paragraph" w:styleId="702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3" w:default="1">
    <w:name w:val="Default Paragraph Font"/>
    <w:uiPriority w:val="1"/>
    <w:semiHidden/>
    <w:unhideWhenUsed/>
    <w:pPr>
      <w:pBdr/>
      <w:spacing/>
      <w:ind/>
    </w:pPr>
  </w:style>
  <w:style w:type="table" w:styleId="704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5" w:default="1">
    <w:name w:val="No List"/>
    <w:uiPriority w:val="99"/>
    <w:semiHidden/>
    <w:unhideWhenUsed/>
    <w:pPr>
      <w:pBdr/>
      <w:spacing/>
      <w:ind/>
    </w:pPr>
  </w:style>
  <w:style w:type="table" w:styleId="706">
    <w:name w:val="Table Grid"/>
    <w:basedOn w:val="70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Table Grid Light"/>
    <w:basedOn w:val="70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Plain Table 1"/>
    <w:basedOn w:val="70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Plain Table 2"/>
    <w:basedOn w:val="70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Plain Table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Plain Table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Plain Table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1 Light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1 Light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1 Light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1 Light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1 Light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1 Light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1 Light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2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2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2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2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2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2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3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3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3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3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3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3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4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4 - Accent 1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4 - Accent 2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4 - Accent 3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4 - Accent 4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4 - Accent 5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4 - Accent 6"/>
    <w:basedOn w:val="7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5 Dark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5 Dark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5 Dark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5 Dark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5 Dark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5 Dark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5 Dark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6 Colorful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6 Colorful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6 Colorful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6 Colorful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6 Colorful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6 Colorful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6 Colorful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7 Colorful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7 Colorful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7 Colorful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7 Colorful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7 Colorful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7 Colorful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7 Colorful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1 Light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1 Light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1 Light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1 Light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1 Light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1 Light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1 Light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2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2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2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2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2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2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3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3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3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3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3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3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4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4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4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4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4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4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5 Dark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5 Dark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5 Dark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5 Dark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5 Dark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5 Dark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5 Dark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6 Colorful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6 Colorful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6 Colorful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6 Colorful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6 Colorful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6 Colorful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6 Colorful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7 Colorful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7 Colorful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7 Colorful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7 Colorful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7 Colorful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7 Colorful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7 Colorful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ned - Accent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ned - Accent 1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ned - Accent 2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ned - Accent 3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ned - Accent 4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ned - Accent 5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ned - Accent 6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Bordered &amp; Lined - Accent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Bordered &amp; Lined - Accent 1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&amp; Lined - Accent 2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 &amp; Lined - Accent 3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&amp; Lined - Accent 4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&amp; Lined - Accent 5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&amp; Lined - Accent 6"/>
    <w:basedOn w:val="704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- Accent 1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- Accent 2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- Accent 3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- Accent 4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- Accent 5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- Accent 6"/>
    <w:basedOn w:val="7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2" w:customStyle="1">
    <w:name w:val="Heading 1"/>
    <w:basedOn w:val="702"/>
    <w:next w:val="702"/>
    <w:link w:val="84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833" w:customStyle="1">
    <w:name w:val="Heading 2"/>
    <w:basedOn w:val="702"/>
    <w:next w:val="70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834" w:customStyle="1">
    <w:name w:val="Heading 3"/>
    <w:basedOn w:val="702"/>
    <w:next w:val="702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835" w:customStyle="1">
    <w:name w:val="Heading 4"/>
    <w:basedOn w:val="702"/>
    <w:next w:val="70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836" w:customStyle="1">
    <w:name w:val="Heading 5"/>
    <w:basedOn w:val="702"/>
    <w:next w:val="702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837" w:customStyle="1">
    <w:name w:val="Heading 6"/>
    <w:basedOn w:val="702"/>
    <w:next w:val="702"/>
    <w:link w:val="84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8" w:customStyle="1">
    <w:name w:val="Heading 7"/>
    <w:basedOn w:val="702"/>
    <w:next w:val="702"/>
    <w:link w:val="84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9" w:customStyle="1">
    <w:name w:val="Heading 8"/>
    <w:basedOn w:val="702"/>
    <w:next w:val="702"/>
    <w:link w:val="84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0" w:customStyle="1">
    <w:name w:val="Heading 9"/>
    <w:basedOn w:val="702"/>
    <w:next w:val="702"/>
    <w:link w:val="84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1" w:customStyle="1">
    <w:name w:val="Heading 1 Char"/>
    <w:basedOn w:val="703"/>
    <w:link w:val="83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42" w:customStyle="1">
    <w:name w:val="Heading 2 Char"/>
    <w:basedOn w:val="703"/>
    <w:link w:val="83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43" w:customStyle="1">
    <w:name w:val="Heading 3 Char"/>
    <w:basedOn w:val="703"/>
    <w:link w:val="83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44" w:customStyle="1">
    <w:name w:val="Heading 4 Char"/>
    <w:basedOn w:val="703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45" w:customStyle="1">
    <w:name w:val="Heading 5 Char"/>
    <w:basedOn w:val="703"/>
    <w:link w:val="83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46" w:customStyle="1">
    <w:name w:val="Heading 6 Char"/>
    <w:basedOn w:val="703"/>
    <w:link w:val="83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7" w:customStyle="1">
    <w:name w:val="Heading 7 Char"/>
    <w:basedOn w:val="703"/>
    <w:link w:val="83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8" w:customStyle="1">
    <w:name w:val="Heading 8 Char"/>
    <w:basedOn w:val="703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9" w:customStyle="1">
    <w:name w:val="Heading 9 Char"/>
    <w:basedOn w:val="703"/>
    <w:link w:val="8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Title"/>
    <w:basedOn w:val="702"/>
    <w:next w:val="702"/>
    <w:link w:val="851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1" w:customStyle="1">
    <w:name w:val="Название Знак"/>
    <w:basedOn w:val="703"/>
    <w:link w:val="8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2">
    <w:name w:val="Subtitle"/>
    <w:basedOn w:val="702"/>
    <w:next w:val="702"/>
    <w:link w:val="85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3" w:customStyle="1">
    <w:name w:val="Подзаголовок Знак"/>
    <w:basedOn w:val="703"/>
    <w:link w:val="85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4">
    <w:name w:val="Quote"/>
    <w:basedOn w:val="702"/>
    <w:next w:val="702"/>
    <w:link w:val="85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5" w:customStyle="1">
    <w:name w:val="Цитата 2 Знак"/>
    <w:basedOn w:val="703"/>
    <w:link w:val="85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Intense Emphasis"/>
    <w:basedOn w:val="703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57">
    <w:name w:val="Intense Quote"/>
    <w:basedOn w:val="702"/>
    <w:next w:val="702"/>
    <w:link w:val="858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58" w:customStyle="1">
    <w:name w:val="Выделенная цитата Знак"/>
    <w:basedOn w:val="703"/>
    <w:link w:val="85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59">
    <w:name w:val="Intense Reference"/>
    <w:basedOn w:val="703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60">
    <w:name w:val="Subtle Emphasis"/>
    <w:basedOn w:val="70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703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703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70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70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 w:customStyle="1">
    <w:name w:val="Header"/>
    <w:basedOn w:val="702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6" w:customStyle="1">
    <w:name w:val="Header Char"/>
    <w:basedOn w:val="703"/>
    <w:link w:val="865"/>
    <w:uiPriority w:val="99"/>
    <w:pPr>
      <w:pBdr/>
      <w:spacing/>
      <w:ind/>
    </w:pPr>
  </w:style>
  <w:style w:type="paragraph" w:styleId="867" w:customStyle="1">
    <w:name w:val="Footer"/>
    <w:basedOn w:val="702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8" w:customStyle="1">
    <w:name w:val="Footer Char"/>
    <w:basedOn w:val="703"/>
    <w:link w:val="867"/>
    <w:uiPriority w:val="99"/>
    <w:pPr>
      <w:pBdr/>
      <w:spacing/>
      <w:ind/>
    </w:pPr>
  </w:style>
  <w:style w:type="paragraph" w:styleId="869" w:customStyle="1">
    <w:name w:val="Caption"/>
    <w:basedOn w:val="702"/>
    <w:next w:val="702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870">
    <w:name w:val="footnote text"/>
    <w:basedOn w:val="702"/>
    <w:link w:val="8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1" w:customStyle="1">
    <w:name w:val="Текст сноски Знак"/>
    <w:basedOn w:val="703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703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702"/>
    <w:link w:val="874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4" w:customStyle="1">
    <w:name w:val="Текст концевой сноски Знак"/>
    <w:basedOn w:val="703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703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70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70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702"/>
    <w:next w:val="702"/>
    <w:uiPriority w:val="39"/>
    <w:unhideWhenUsed/>
    <w:pPr>
      <w:pBdr/>
      <w:spacing w:after="100"/>
      <w:ind/>
    </w:pPr>
  </w:style>
  <w:style w:type="paragraph" w:styleId="879">
    <w:name w:val="toc 2"/>
    <w:basedOn w:val="702"/>
    <w:next w:val="702"/>
    <w:uiPriority w:val="39"/>
    <w:unhideWhenUsed/>
    <w:pPr>
      <w:pBdr/>
      <w:spacing w:after="100"/>
      <w:ind w:left="220"/>
    </w:pPr>
  </w:style>
  <w:style w:type="paragraph" w:styleId="880">
    <w:name w:val="toc 3"/>
    <w:basedOn w:val="702"/>
    <w:next w:val="702"/>
    <w:uiPriority w:val="39"/>
    <w:unhideWhenUsed/>
    <w:pPr>
      <w:pBdr/>
      <w:spacing w:after="100"/>
      <w:ind w:left="440"/>
    </w:pPr>
  </w:style>
  <w:style w:type="paragraph" w:styleId="881">
    <w:name w:val="toc 4"/>
    <w:basedOn w:val="702"/>
    <w:next w:val="702"/>
    <w:uiPriority w:val="39"/>
    <w:unhideWhenUsed/>
    <w:pPr>
      <w:pBdr/>
      <w:spacing w:after="100"/>
      <w:ind w:left="660"/>
    </w:pPr>
  </w:style>
  <w:style w:type="paragraph" w:styleId="882">
    <w:name w:val="toc 5"/>
    <w:basedOn w:val="702"/>
    <w:next w:val="702"/>
    <w:uiPriority w:val="39"/>
    <w:unhideWhenUsed/>
    <w:pPr>
      <w:pBdr/>
      <w:spacing w:after="100"/>
      <w:ind w:left="880"/>
    </w:pPr>
  </w:style>
  <w:style w:type="paragraph" w:styleId="883">
    <w:name w:val="toc 6"/>
    <w:basedOn w:val="702"/>
    <w:next w:val="702"/>
    <w:uiPriority w:val="39"/>
    <w:unhideWhenUsed/>
    <w:pPr>
      <w:pBdr/>
      <w:spacing w:after="100"/>
      <w:ind w:left="1100"/>
    </w:pPr>
  </w:style>
  <w:style w:type="paragraph" w:styleId="884">
    <w:name w:val="toc 7"/>
    <w:basedOn w:val="702"/>
    <w:next w:val="702"/>
    <w:uiPriority w:val="39"/>
    <w:unhideWhenUsed/>
    <w:pPr>
      <w:pBdr/>
      <w:spacing w:after="100"/>
      <w:ind w:left="1320"/>
    </w:pPr>
  </w:style>
  <w:style w:type="paragraph" w:styleId="885">
    <w:name w:val="toc 8"/>
    <w:basedOn w:val="702"/>
    <w:next w:val="702"/>
    <w:uiPriority w:val="39"/>
    <w:unhideWhenUsed/>
    <w:pPr>
      <w:pBdr/>
      <w:spacing w:after="100"/>
      <w:ind w:left="1540"/>
    </w:pPr>
  </w:style>
  <w:style w:type="paragraph" w:styleId="886">
    <w:name w:val="toc 9"/>
    <w:basedOn w:val="702"/>
    <w:next w:val="702"/>
    <w:uiPriority w:val="39"/>
    <w:unhideWhenUsed/>
    <w:pPr>
      <w:pBdr/>
      <w:spacing w:after="100"/>
      <w:ind w:left="1760"/>
    </w:pPr>
  </w:style>
  <w:style w:type="character" w:styleId="887">
    <w:name w:val="Placeholder Text"/>
    <w:basedOn w:val="703"/>
    <w:uiPriority w:val="99"/>
    <w:semiHidden/>
    <w:pPr>
      <w:pBdr/>
      <w:spacing/>
      <w:ind/>
    </w:pPr>
    <w:rPr>
      <w:color w:val="666666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702"/>
    <w:next w:val="702"/>
    <w:uiPriority w:val="99"/>
    <w:unhideWhenUsed/>
    <w:pPr>
      <w:pBdr/>
      <w:spacing/>
      <w:ind/>
    </w:pPr>
  </w:style>
  <w:style w:type="paragraph" w:styleId="890">
    <w:name w:val="List Paragraph"/>
    <w:basedOn w:val="702"/>
    <w:link w:val="893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val="en-US" w:eastAsia="en-US"/>
    </w:rPr>
  </w:style>
  <w:style w:type="paragraph" w:styleId="891">
    <w:name w:val="No Spacing"/>
    <w:link w:val="892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892" w:customStyle="1">
    <w:name w:val="Без интервала Знак"/>
    <w:link w:val="891"/>
    <w:uiPriority w:val="1"/>
    <w:pPr>
      <w:pBdr/>
      <w:spacing/>
      <w:ind/>
    </w:pPr>
    <w:rPr>
      <w:rFonts w:ascii="Calibri" w:hAnsi="Calibri" w:eastAsia="Calibri" w:cs="Times New Roman"/>
    </w:rPr>
  </w:style>
  <w:style w:type="character" w:styleId="893" w:customStyle="1">
    <w:name w:val="Абзац списка Знак"/>
    <w:link w:val="890"/>
    <w:uiPriority w:val="34"/>
    <w:qFormat/>
    <w:pPr>
      <w:pBdr/>
      <w:spacing/>
      <w:ind/>
    </w:pPr>
    <w:rPr>
      <w:rFonts w:ascii="Calibri" w:hAnsi="Calibri" w:eastAsia="Calibri" w:cs="Times New Roman"/>
      <w:lang w:val="en-US"/>
    </w:rPr>
  </w:style>
  <w:style w:type="paragraph" w:styleId="894" w:customStyle="1">
    <w:name w:val="222"/>
    <w:basedOn w:val="702"/>
    <w:qFormat/>
    <w:pPr>
      <w:pBdr/>
      <w:spacing/>
      <w:ind w:left="851"/>
    </w:pPr>
    <w:rPr>
      <w:sz w:val="20"/>
      <w:szCs w:val="20"/>
    </w:rPr>
  </w:style>
  <w:style w:type="paragraph" w:styleId="895" w:customStyle="1">
    <w:name w:val="Без интервала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Calibri" w:hAnsi="Calibri" w:eastAsia="Times New Roman" w:cs="Times New Roman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Ольга Николаевна</dc:creator>
  <cp:keywords/>
  <dc:description/>
  <cp:revision>8</cp:revision>
  <dcterms:created xsi:type="dcterms:W3CDTF">2026-07-22T07:00:00Z</dcterms:created>
  <dcterms:modified xsi:type="dcterms:W3CDTF">2026-08-03T01:46:32Z</dcterms:modified>
</cp:coreProperties>
</file>