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4"/>
        <w:shd w:val="clear" w:color="auto" w:fill="auto"/>
        <w:spacing w:lineRule="auto" w:line="276" w:before="0" w:after="260"/>
        <w:ind w:hanging="0"/>
        <w:jc w:val="both"/>
        <w:rPr/>
      </w:pPr>
      <w:r>
        <w:rPr>
          <w:b/>
          <w:bCs/>
        </w:rPr>
        <w:t xml:space="preserve">ПРОЕКТ </w:t>
      </w:r>
    </w:p>
    <w:p>
      <w:pPr>
        <w:pStyle w:val="14"/>
        <w:shd w:val="clear" w:color="auto" w:fill="auto"/>
        <w:tabs>
          <w:tab w:val="clear" w:pos="708"/>
          <w:tab w:val="left" w:pos="6086" w:leader="underscore"/>
        </w:tabs>
        <w:ind w:hanging="0"/>
        <w:jc w:val="center"/>
        <w:rPr/>
      </w:pPr>
      <w:r>
        <w:rPr>
          <w:b/>
          <w:bCs/>
        </w:rPr>
        <w:t>ГОСУДАРСТВЕННЫЙ КОНТРАКТ №</w:t>
      </w:r>
    </w:p>
    <w:p>
      <w:pPr>
        <w:pStyle w:val="15"/>
        <w:keepNext w:val="true"/>
        <w:keepLines/>
        <w:shd w:val="clear" w:color="auto" w:fill="auto"/>
        <w:jc w:val="center"/>
        <w:rPr/>
      </w:pPr>
      <w:bookmarkStart w:id="0" w:name="bookmark0"/>
      <w:bookmarkStart w:id="1" w:name="bookmark1"/>
      <w:r>
        <w:rPr>
          <w:b/>
          <w:bCs/>
        </w:rPr>
        <w:t xml:space="preserve">на поставку  </w:t>
      </w:r>
      <w:r>
        <w:rPr>
          <w:b/>
          <w:bCs/>
          <w:sz w:val="24"/>
          <w:szCs w:val="24"/>
        </w:rPr>
        <w:t>м</w:t>
      </w:r>
      <w:r>
        <w:rPr>
          <w:b/>
          <w:bCs/>
          <w:color w:val="auto"/>
          <w:sz w:val="24"/>
          <w:szCs w:val="24"/>
        </w:rPr>
        <w:t>анжет для измерения артериального давления</w:t>
      </w:r>
      <w:r>
        <w:rPr>
          <w:b/>
          <w:bCs/>
        </w:rPr>
        <w:t xml:space="preserve"> для нужд ФКУ «ГБ МСЭ по</w:t>
        <w:br/>
        <w:t>Московской области» Минтруда России</w:t>
      </w:r>
      <w:bookmarkEnd w:id="0"/>
      <w:bookmarkEnd w:id="1"/>
    </w:p>
    <w:p>
      <w:pPr>
        <w:pStyle w:val="14"/>
        <w:shd w:val="clear" w:color="auto" w:fill="auto"/>
        <w:tabs>
          <w:tab w:val="clear" w:pos="708"/>
          <w:tab w:val="left" w:pos="720" w:leader="underscore"/>
          <w:tab w:val="left" w:pos="2222" w:leader="underscore"/>
        </w:tabs>
        <w:spacing w:before="0" w:after="260"/>
        <w:ind w:hanging="0"/>
        <w:jc w:val="right"/>
        <w:rPr/>
      </w:pPr>
      <w:r>
        <mc:AlternateContent>
          <mc:Choice Requires="wps">
            <w:drawing>
              <wp:anchor behindDoc="0" distT="0" distB="0" distL="114300" distR="114300" simplePos="0" locked="0" layoutInCell="0" allowOverlap="1" relativeHeight="26">
                <wp:simplePos x="0" y="0"/>
                <wp:positionH relativeFrom="page">
                  <wp:posOffset>758190</wp:posOffset>
                </wp:positionH>
                <wp:positionV relativeFrom="paragraph">
                  <wp:posOffset>12700</wp:posOffset>
                </wp:positionV>
                <wp:extent cx="679450" cy="201295"/>
                <wp:effectExtent l="0" t="0" r="0" b="0"/>
                <wp:wrapSquare wrapText="bothSides"/>
                <wp:docPr id="1" name="Врезка1"/>
                <a:graphic xmlns:a="http://schemas.openxmlformats.org/drawingml/2006/main">
                  <a:graphicData uri="http://schemas.microsoft.com/office/word/2010/wordprocessingShape">
                    <wps:wsp>
                      <wps:cNvSpPr/>
                      <wps:spPr>
                        <a:xfrm>
                          <a:off x="0" y="0"/>
                          <a:ext cx="679320" cy="201240"/>
                        </a:xfrm>
                        <a:prstGeom prst="rect">
                          <a:avLst/>
                        </a:prstGeom>
                        <a:noFill/>
                        <a:ln w="0">
                          <a:noFill/>
                        </a:ln>
                      </wps:spPr>
                      <wps:style>
                        <a:lnRef idx="0"/>
                        <a:fillRef idx="0"/>
                        <a:effectRef idx="0"/>
                        <a:fontRef idx="minor"/>
                      </wps:style>
                      <wps:txbx>
                        <w:txbxContent>
                          <w:p>
                            <w:pPr>
                              <w:pStyle w:val="14"/>
                              <w:shd w:val="clear" w:color="auto" w:fill="auto"/>
                              <w:ind w:hanging="0"/>
                              <w:rPr/>
                            </w:pPr>
                            <w:r>
                              <w:rPr/>
                              <w:t>г. Москва</w:t>
                            </w:r>
                          </w:p>
                        </w:txbxContent>
                      </wps:txbx>
                      <wps:bodyPr lIns="0" rIns="0" tIns="0" bIns="0" anchor="t">
                        <a:noAutofit/>
                      </wps:bodyPr>
                    </wps:wsp>
                  </a:graphicData>
                </a:graphic>
              </wp:anchor>
            </w:drawing>
          </mc:Choice>
          <mc:Fallback>
            <w:pict>
              <v:rect id="shape_0" ID="Врезка1" path="m0,0l-2147483645,0l-2147483645,-2147483646l0,-2147483646xe" stroked="f" o:allowincell="f" style="position:absolute;margin-left:59.7pt;margin-top:1pt;width:53.45pt;height:15.8pt;mso-wrap-style:square;v-text-anchor:top;mso-position-horizontal-relative:page">
                <v:fill o:detectmouseclick="t" on="false"/>
                <v:stroke color="#3465a4" joinstyle="round" endcap="flat"/>
                <v:textbox>
                  <w:txbxContent>
                    <w:p>
                      <w:pPr>
                        <w:pStyle w:val="14"/>
                        <w:shd w:val="clear" w:color="auto" w:fill="auto"/>
                        <w:ind w:hanging="0"/>
                        <w:rPr/>
                      </w:pPr>
                      <w:r>
                        <w:rPr/>
                        <w:t>г. Москва</w:t>
                      </w:r>
                    </w:p>
                  </w:txbxContent>
                </v:textbox>
                <w10:wrap type="square"/>
              </v:rect>
            </w:pict>
          </mc:Fallback>
        </mc:AlternateContent>
      </w:r>
      <w:r>
        <w:rPr/>
        <w:t>«</w:t>
        <w:tab/>
        <w:t xml:space="preserve">» </w:t>
        <w:tab/>
        <w:t xml:space="preserve"> 2026 г.</w:t>
      </w:r>
    </w:p>
    <w:p>
      <w:pPr>
        <w:pStyle w:val="14"/>
        <w:shd w:val="clear" w:color="auto" w:fill="auto"/>
        <w:tabs>
          <w:tab w:val="clear" w:pos="708"/>
          <w:tab w:val="left" w:pos="7426" w:leader="underscore"/>
        </w:tabs>
        <w:ind w:firstLine="580"/>
        <w:jc w:val="both"/>
        <w:rPr/>
      </w:pPr>
      <w:r>
        <w:rPr/>
        <w:t xml:space="preserve">Федеральное казенное учреждение «Главное бюро медико-социальной экспертизы по Московской области» Министерства труда и социальной защиты Российской Федерации (ФКУ «ГБ МСЭ по Московской области» Минтруда России), именуемое в дальнейшем    «Государственный заказчик», в лице </w:t>
      </w:r>
      <w:r>
        <w:rPr>
          <w:shd w:fill="FFFFFF" w:val="clear"/>
        </w:rPr>
        <w:t>Заместителя руководителя по экономическим и общим    вопросам деятельности учреждения Фирсова Александра Васильевича, действующего на основании Доверенности от 10.11.2025г. № 207-ЮО</w:t>
      </w:r>
      <w:r>
        <w:rPr/>
        <w:t xml:space="preserve">, от имени Российской Федерации, с одной стороны, </w:t>
      </w:r>
    </w:p>
    <w:p>
      <w:pPr>
        <w:pStyle w:val="14"/>
        <w:shd w:val="clear" w:color="auto" w:fill="auto"/>
        <w:tabs>
          <w:tab w:val="clear" w:pos="708"/>
          <w:tab w:val="left" w:pos="7426" w:leader="underscore"/>
        </w:tabs>
        <w:ind w:firstLine="580"/>
        <w:jc w:val="both"/>
        <w:rPr/>
      </w:pPr>
      <w:r>
        <w:rPr/>
        <w:t>и</w:t>
      </w:r>
      <w:r>
        <w:rPr>
          <w:i/>
          <w:iCs/>
        </w:rPr>
        <w:t>____________________(для юридических лиц указываются полное наименование, организационно-правовая форма, ОГРН,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w:t>
      </w:r>
      <w:r>
        <w:rPr/>
        <w:t>, именуемый в дальнейшем «Поставщик», в лице __________ действующего на основании__________________, с другой стороны, вместе именуемые «Стороны» и каждый в отдельности «Сторона», с соблюдением требований Гражданского кодекса Российской Федерации, на основании п. 4 ч. 1 ст. 93 Федерального закона от 05.04.2013 № 44-ФЗ (далее — Федеральный закон), заключили настоящий Государственный Контракт (далее - Контракт) о нижеследующем:</w:t>
      </w:r>
    </w:p>
    <w:p>
      <w:pPr>
        <w:pStyle w:val="15"/>
        <w:keepNext w:val="true"/>
        <w:keepLines/>
        <w:numPr>
          <w:ilvl w:val="0"/>
          <w:numId w:val="1"/>
        </w:numPr>
        <w:shd w:val="clear" w:color="auto" w:fill="auto"/>
        <w:tabs>
          <w:tab w:val="clear" w:pos="708"/>
          <w:tab w:val="left" w:pos="318" w:leader="none"/>
        </w:tabs>
        <w:rPr/>
      </w:pPr>
      <w:bookmarkStart w:id="2" w:name="bookmark3"/>
      <w:bookmarkStart w:id="3" w:name="bookmark2"/>
      <w:r>
        <w:rPr/>
        <w:t>ПРЕДМЕТ КОНТРАКТА</w:t>
      </w:r>
      <w:bookmarkEnd w:id="2"/>
      <w:bookmarkEnd w:id="3"/>
    </w:p>
    <w:p>
      <w:pPr>
        <w:pStyle w:val="14"/>
        <w:widowControl w:val="false"/>
        <w:shd w:val="clear" w:color="auto" w:fill="auto"/>
        <w:tabs>
          <w:tab w:val="clear" w:pos="708"/>
          <w:tab w:val="left" w:pos="7426" w:leader="underscore"/>
        </w:tabs>
        <w:suppressAutoHyphens w:val="false"/>
        <w:bidi w:val="0"/>
        <w:spacing w:before="0" w:after="0"/>
        <w:ind w:firstLine="580"/>
        <w:jc w:val="both"/>
        <w:rPr>
          <w:color w:val="000000"/>
          <w:kern w:val="0"/>
          <w:sz w:val="24"/>
          <w:szCs w:val="24"/>
          <w:lang w:val="ru-RU" w:eastAsia="ru-RU" w:bidi="ru-RU"/>
        </w:rPr>
      </w:pPr>
      <w:r>
        <w:rPr>
          <w:color w:val="000000"/>
          <w:kern w:val="0"/>
          <w:sz w:val="24"/>
          <w:szCs w:val="24"/>
          <w:lang w:val="ru-RU" w:eastAsia="ru-RU" w:bidi="ru-RU"/>
        </w:rPr>
        <w:t xml:space="preserve">1.1. Поставщик обязуется осуществить поставку </w:t>
      </w:r>
      <w:r>
        <w:rPr>
          <w:b w:val="false"/>
          <w:bCs w:val="false"/>
          <w:color w:val="000000"/>
          <w:kern w:val="0"/>
          <w:sz w:val="24"/>
          <w:szCs w:val="24"/>
          <w:lang w:val="ru-RU" w:eastAsia="ru-RU" w:bidi="ru-RU"/>
        </w:rPr>
        <w:t xml:space="preserve"> м</w:t>
      </w:r>
      <w:r>
        <w:rPr>
          <w:b w:val="false"/>
          <w:bCs w:val="false"/>
          <w:color w:val="auto"/>
          <w:kern w:val="0"/>
          <w:sz w:val="24"/>
          <w:szCs w:val="24"/>
          <w:lang w:val="ru-RU" w:eastAsia="ru-RU" w:bidi="ru-RU"/>
        </w:rPr>
        <w:t xml:space="preserve">анжет для измерения артериального давления </w:t>
      </w:r>
      <w:r>
        <w:rPr>
          <w:color w:val="000000"/>
          <w:kern w:val="0"/>
          <w:sz w:val="24"/>
          <w:szCs w:val="24"/>
          <w:lang w:val="ru-RU" w:eastAsia="ru-RU" w:bidi="ru-RU"/>
        </w:rPr>
        <w:t>в количестве (объеме), ассортименту согласно Спецификации (Приложение № 1 к Контракту) (далее - Товар) для нужд Государственного заказчика в соответствии с настоящим Контрактом, а Государственный заказчик обязуется принять и оплатить Товар.</w:t>
      </w:r>
    </w:p>
    <w:p>
      <w:pPr>
        <w:pStyle w:val="14"/>
        <w:widowControl w:val="false"/>
        <w:shd w:val="clear" w:color="auto" w:fill="auto"/>
        <w:tabs>
          <w:tab w:val="clear" w:pos="708"/>
          <w:tab w:val="left" w:pos="7426" w:leader="underscore"/>
        </w:tabs>
        <w:suppressAutoHyphens w:val="false"/>
        <w:bidi w:val="0"/>
        <w:spacing w:before="0" w:after="0"/>
        <w:ind w:firstLine="580"/>
        <w:jc w:val="both"/>
        <w:rPr>
          <w:color w:val="000000"/>
          <w:kern w:val="0"/>
          <w:sz w:val="24"/>
          <w:szCs w:val="24"/>
          <w:lang w:val="ru-RU" w:eastAsia="ru-RU" w:bidi="ru-RU"/>
        </w:rPr>
      </w:pPr>
      <w:r>
        <w:rPr>
          <w:color w:val="000000"/>
          <w:kern w:val="0"/>
          <w:sz w:val="24"/>
          <w:szCs w:val="24"/>
          <w:lang w:val="ru-RU" w:eastAsia="ru-RU" w:bidi="ru-RU"/>
        </w:rPr>
        <w:t>1.2. Наименование, количество и иные характеристики поставляемого Товара указаны в Спецификации (Приложение № 1 к Контракту) и Техническом задании (Приложение № 2 к Контракту), являющимися неотъемлемой частью Контракта.</w:t>
      </w:r>
    </w:p>
    <w:p>
      <w:pPr>
        <w:pStyle w:val="14"/>
        <w:widowControl w:val="false"/>
        <w:shd w:val="clear" w:color="auto" w:fill="auto"/>
        <w:tabs>
          <w:tab w:val="clear" w:pos="708"/>
          <w:tab w:val="left" w:pos="7426" w:leader="underscore"/>
        </w:tabs>
        <w:suppressAutoHyphens w:val="false"/>
        <w:bidi w:val="0"/>
        <w:spacing w:before="0" w:after="0"/>
        <w:ind w:firstLine="580"/>
        <w:jc w:val="both"/>
        <w:rPr>
          <w:color w:val="000000"/>
          <w:kern w:val="0"/>
          <w:sz w:val="24"/>
          <w:szCs w:val="24"/>
          <w:lang w:val="ru-RU" w:eastAsia="ru-RU" w:bidi="ru-RU"/>
        </w:rPr>
      </w:pPr>
      <w:r>
        <w:rPr>
          <w:color w:val="000000"/>
          <w:kern w:val="0"/>
          <w:sz w:val="24"/>
          <w:szCs w:val="24"/>
          <w:lang w:val="ru-RU" w:eastAsia="ru-RU" w:bidi="ru-RU"/>
        </w:rPr>
        <w:t xml:space="preserve">1.3. Место поставки товара: г.Москва, ул. Коккинаки дом 6. </w:t>
      </w:r>
    </w:p>
    <w:p>
      <w:pPr>
        <w:pStyle w:val="14"/>
        <w:widowControl w:val="false"/>
        <w:shd w:val="clear" w:color="auto" w:fill="auto"/>
        <w:tabs>
          <w:tab w:val="clear" w:pos="708"/>
          <w:tab w:val="left" w:pos="7426" w:leader="underscore"/>
        </w:tabs>
        <w:suppressAutoHyphens w:val="false"/>
        <w:bidi w:val="0"/>
        <w:spacing w:before="0" w:after="0"/>
        <w:ind w:firstLine="580"/>
        <w:jc w:val="both"/>
        <w:rPr>
          <w:color w:val="000000"/>
          <w:kern w:val="0"/>
          <w:sz w:val="24"/>
          <w:szCs w:val="24"/>
          <w:lang w:val="ru-RU" w:eastAsia="ru-RU" w:bidi="ru-RU"/>
        </w:rPr>
      </w:pPr>
      <w:r>
        <w:rPr>
          <w:color w:val="000000"/>
          <w:kern w:val="0"/>
          <w:sz w:val="24"/>
          <w:szCs w:val="24"/>
          <w:lang w:val="ru-RU" w:eastAsia="ru-RU" w:bidi="ru-RU"/>
        </w:rPr>
        <w:t xml:space="preserve">1.4. Срок поставки Товара: в течение 20 (двадцати)  дней с момента заключения Контракта Сторонами. </w:t>
      </w:r>
    </w:p>
    <w:p>
      <w:pPr>
        <w:pStyle w:val="14"/>
        <w:widowControl w:val="false"/>
        <w:shd w:val="clear" w:color="auto" w:fill="auto"/>
        <w:tabs>
          <w:tab w:val="clear" w:pos="708"/>
          <w:tab w:val="left" w:pos="7426" w:leader="underscore"/>
        </w:tabs>
        <w:suppressAutoHyphens w:val="false"/>
        <w:bidi w:val="0"/>
        <w:spacing w:before="0" w:after="0"/>
        <w:ind w:firstLine="580"/>
        <w:jc w:val="both"/>
        <w:rPr>
          <w:color w:val="000000"/>
          <w:kern w:val="0"/>
          <w:sz w:val="24"/>
          <w:szCs w:val="24"/>
          <w:lang w:val="ru-RU" w:eastAsia="ru-RU" w:bidi="ru-RU"/>
        </w:rPr>
      </w:pPr>
      <w:r>
        <w:rPr>
          <w:color w:val="000000"/>
          <w:kern w:val="0"/>
          <w:sz w:val="24"/>
          <w:szCs w:val="24"/>
          <w:lang w:val="ru-RU" w:eastAsia="ru-RU" w:bidi="ru-RU"/>
        </w:rPr>
      </w:r>
    </w:p>
    <w:p>
      <w:pPr>
        <w:pStyle w:val="15"/>
        <w:keepNext w:val="true"/>
        <w:keepLines/>
        <w:numPr>
          <w:ilvl w:val="0"/>
          <w:numId w:val="1"/>
        </w:numPr>
        <w:shd w:val="clear" w:color="auto" w:fill="auto"/>
        <w:tabs>
          <w:tab w:val="clear" w:pos="708"/>
          <w:tab w:val="left" w:pos="318" w:leader="none"/>
        </w:tabs>
        <w:spacing w:before="0" w:after="220"/>
        <w:rPr/>
      </w:pPr>
      <w:bookmarkStart w:id="4" w:name="bookmark5"/>
      <w:bookmarkStart w:id="5" w:name="bookmark4"/>
      <w:r>
        <w:rPr/>
        <w:t>ЦЕНА КОНТРАКТА И ПОРЯДОК РАСЧЕТА</w:t>
      </w:r>
      <w:bookmarkEnd w:id="4"/>
      <w:bookmarkEnd w:id="5"/>
    </w:p>
    <w:p>
      <w:pPr>
        <w:pStyle w:val="14"/>
        <w:numPr>
          <w:ilvl w:val="1"/>
          <w:numId w:val="1"/>
        </w:numPr>
        <w:shd w:val="clear" w:color="auto" w:fill="auto"/>
        <w:tabs>
          <w:tab w:val="clear" w:pos="708"/>
          <w:tab w:val="left" w:pos="1080" w:leader="none"/>
          <w:tab w:val="left" w:pos="5860" w:leader="underscore"/>
          <w:tab w:val="left" w:pos="8630" w:leader="underscore"/>
        </w:tabs>
        <w:ind w:firstLine="580"/>
        <w:jc w:val="both"/>
        <w:rPr/>
      </w:pPr>
      <w:r>
        <w:rPr/>
        <w:t xml:space="preserve">Цена Контракта составляет ______ (_______________) рублей __ копеек, </w:t>
      </w:r>
      <w:r>
        <w:rPr>
          <w:i/>
          <w:iCs/>
        </w:rPr>
        <w:t>с учетом НДС -  % рублей __ копеек или НДС не облагается (указать основания)</w:t>
      </w:r>
      <w:r>
        <w:rPr/>
        <w:t>.</w:t>
      </w:r>
    </w:p>
    <w:p>
      <w:pPr>
        <w:pStyle w:val="14"/>
        <w:shd w:val="clear" w:color="auto" w:fill="auto"/>
        <w:ind w:firstLine="580"/>
        <w:jc w:val="both"/>
        <w:rPr/>
      </w:pPr>
      <w:r>
        <w:rPr/>
        <w:t>Цена Контракта формируется с учетом стоимости всего Товара, всех расходов, связанных с исполнением настоящего Контракта, в том числе с учетом налогов и других обязательных платежей.</w:t>
      </w:r>
    </w:p>
    <w:p>
      <w:pPr>
        <w:pStyle w:val="14"/>
        <w:shd w:val="clear" w:color="auto" w:fill="auto"/>
        <w:ind w:firstLine="580"/>
        <w:jc w:val="both"/>
        <w:rPr/>
      </w:pPr>
      <w:r>
        <w:rPr/>
        <w:t>Цена Контракта является твердой и не может изменяться в ходе его исполнения, кроме случаев, указанных в пункте 2.6. Контракта.</w:t>
      </w:r>
    </w:p>
    <w:p>
      <w:pPr>
        <w:pStyle w:val="14"/>
        <w:shd w:val="clear" w:color="auto" w:fill="auto"/>
        <w:ind w:firstLine="580"/>
        <w:jc w:val="both"/>
        <w:rPr/>
      </w:pPr>
      <w:r>
        <w:rPr/>
        <w:t>Цена единицы Товара определена в Спецификации (Приложение № 1 к Контракту).</w:t>
      </w:r>
    </w:p>
    <w:p>
      <w:pPr>
        <w:pStyle w:val="14"/>
        <w:widowControl w:val="false"/>
        <w:shd w:val="clear" w:color="auto" w:fill="auto"/>
        <w:tabs>
          <w:tab w:val="clear" w:pos="708"/>
          <w:tab w:val="left" w:pos="7426" w:leader="underscore"/>
        </w:tabs>
        <w:suppressAutoHyphens w:val="false"/>
        <w:bidi w:val="0"/>
        <w:spacing w:before="0" w:after="0"/>
        <w:ind w:firstLine="580"/>
        <w:jc w:val="both"/>
        <w:rPr/>
      </w:pPr>
      <w:r>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w:t>
      </w:r>
      <w:r>
        <w:rPr>
          <w:color w:val="000000"/>
          <w:kern w:val="0"/>
          <w:sz w:val="24"/>
          <w:szCs w:val="24"/>
          <w:lang w:val="ru-RU" w:eastAsia="ru-RU" w:bidi="ru-RU"/>
        </w:rPr>
        <w:t>аказчиком, в соответствии с п. 2 ч. 13 ст. 34 Федерального закона.</w:t>
      </w:r>
    </w:p>
    <w:p>
      <w:pPr>
        <w:pStyle w:val="14"/>
        <w:widowControl w:val="false"/>
        <w:shd w:val="clear" w:color="auto" w:fill="auto"/>
        <w:tabs>
          <w:tab w:val="clear" w:pos="708"/>
          <w:tab w:val="left" w:pos="7426" w:leader="underscore"/>
        </w:tabs>
        <w:suppressAutoHyphens w:val="false"/>
        <w:bidi w:val="0"/>
        <w:spacing w:before="0" w:after="0"/>
        <w:ind w:firstLine="580"/>
        <w:jc w:val="both"/>
        <w:rPr>
          <w:color w:val="000000"/>
          <w:kern w:val="0"/>
          <w:sz w:val="24"/>
          <w:szCs w:val="24"/>
          <w:lang w:val="ru-RU" w:eastAsia="ru-RU" w:bidi="ru-RU"/>
        </w:rPr>
      </w:pPr>
      <w:r>
        <w:rPr>
          <w:color w:val="000000"/>
          <w:kern w:val="0"/>
          <w:sz w:val="24"/>
          <w:szCs w:val="24"/>
          <w:lang w:val="ru-RU" w:eastAsia="ru-RU" w:bidi="ru-RU"/>
        </w:rPr>
        <w:t>2.3. Государственный заказчик оплачивает единовременно фактически поставленный и принятый без замечаний Товар, в российских рублях путем перечисления денежных средств на расчетный счет Поставщика в течение 7 (семи) рабочих дней на основании предоставления Поставщиком документов согласно п.3.3.11 Контракта.</w:t>
      </w:r>
    </w:p>
    <w:p>
      <w:pPr>
        <w:pStyle w:val="14"/>
        <w:widowControl w:val="false"/>
        <w:shd w:val="clear" w:color="auto" w:fill="auto"/>
        <w:tabs>
          <w:tab w:val="clear" w:pos="708"/>
          <w:tab w:val="left" w:pos="7426" w:leader="underscore"/>
        </w:tabs>
        <w:suppressAutoHyphens w:val="false"/>
        <w:bidi w:val="0"/>
        <w:spacing w:before="0" w:after="0"/>
        <w:ind w:firstLine="580"/>
        <w:jc w:val="both"/>
        <w:rPr>
          <w:color w:val="000000"/>
          <w:kern w:val="0"/>
          <w:sz w:val="24"/>
          <w:szCs w:val="24"/>
          <w:lang w:val="ru-RU" w:eastAsia="ru-RU" w:bidi="ru-RU"/>
        </w:rPr>
      </w:pPr>
      <w:r>
        <w:rPr>
          <w:color w:val="000000"/>
          <w:kern w:val="0"/>
          <w:sz w:val="24"/>
          <w:szCs w:val="24"/>
          <w:lang w:val="ru-RU" w:eastAsia="ru-RU" w:bidi="ru-RU"/>
        </w:rPr>
        <w:t>Оплата по Контракту осуществляется за счет средств федерального бюджета в пределах лимитов бюджетных обязательств в 2026 году на поставку Товаров, предусмотренных в настоящем Контракте.</w:t>
      </w:r>
    </w:p>
    <w:p>
      <w:pPr>
        <w:pStyle w:val="14"/>
        <w:widowControl w:val="false"/>
        <w:shd w:val="clear" w:color="auto" w:fill="auto"/>
        <w:tabs>
          <w:tab w:val="clear" w:pos="708"/>
          <w:tab w:val="left" w:pos="7426" w:leader="underscore"/>
        </w:tabs>
        <w:suppressAutoHyphens w:val="false"/>
        <w:bidi w:val="0"/>
        <w:spacing w:before="0" w:after="0"/>
        <w:ind w:firstLine="580"/>
        <w:jc w:val="both"/>
        <w:rPr>
          <w:color w:val="000000"/>
          <w:kern w:val="0"/>
          <w:sz w:val="24"/>
          <w:szCs w:val="24"/>
          <w:lang w:val="ru-RU" w:eastAsia="ru-RU" w:bidi="ru-RU"/>
        </w:rPr>
      </w:pPr>
      <w:r>
        <w:rPr>
          <w:color w:val="000000"/>
          <w:kern w:val="0"/>
          <w:sz w:val="24"/>
          <w:szCs w:val="24"/>
          <w:lang w:val="ru-RU" w:eastAsia="ru-RU" w:bidi="ru-RU"/>
        </w:rPr>
        <w:t>2.4. Государственный заказчик считается исполнившим свое обязательство по оплате за доставленный Товар с момента списания денежных средств с лицевого счета Государственного заказчика.</w:t>
      </w:r>
    </w:p>
    <w:p>
      <w:pPr>
        <w:pStyle w:val="14"/>
        <w:widowControl w:val="false"/>
        <w:shd w:val="clear" w:color="auto" w:fill="auto"/>
        <w:tabs>
          <w:tab w:val="clear" w:pos="708"/>
          <w:tab w:val="left" w:pos="7426" w:leader="underscore"/>
        </w:tabs>
        <w:suppressAutoHyphens w:val="false"/>
        <w:bidi w:val="0"/>
        <w:spacing w:before="0" w:after="0"/>
        <w:ind w:firstLine="580"/>
        <w:jc w:val="both"/>
        <w:rPr>
          <w:color w:val="000000"/>
          <w:kern w:val="0"/>
          <w:sz w:val="24"/>
          <w:szCs w:val="24"/>
          <w:lang w:val="ru-RU" w:eastAsia="ru-RU" w:bidi="ru-RU"/>
        </w:rPr>
      </w:pPr>
      <w:r>
        <w:rPr>
          <w:color w:val="000000"/>
          <w:kern w:val="0"/>
          <w:sz w:val="24"/>
          <w:szCs w:val="24"/>
          <w:lang w:val="ru-RU" w:eastAsia="ru-RU" w:bidi="ru-RU"/>
        </w:rPr>
        <w:t>2.5. Изменение существенных условий Контракта при его исполнении не допускается, за исключением их изменения в случаях предусмотренных ст. 95 Федерального закона.</w:t>
      </w:r>
    </w:p>
    <w:p>
      <w:pPr>
        <w:pStyle w:val="14"/>
        <w:widowControl w:val="false"/>
        <w:shd w:val="clear" w:color="auto" w:fill="auto"/>
        <w:tabs>
          <w:tab w:val="clear" w:pos="708"/>
          <w:tab w:val="left" w:pos="7426" w:leader="underscore"/>
        </w:tabs>
        <w:suppressAutoHyphens w:val="false"/>
        <w:bidi w:val="0"/>
        <w:spacing w:before="0" w:after="0"/>
        <w:ind w:firstLine="580"/>
        <w:jc w:val="both"/>
        <w:rPr>
          <w:color w:val="000000"/>
          <w:kern w:val="0"/>
          <w:sz w:val="24"/>
          <w:szCs w:val="24"/>
          <w:lang w:val="ru-RU" w:eastAsia="ru-RU" w:bidi="ru-RU"/>
        </w:rPr>
      </w:pPr>
      <w:r>
        <w:rPr>
          <w:color w:val="000000"/>
          <w:kern w:val="0"/>
          <w:sz w:val="24"/>
          <w:szCs w:val="24"/>
          <w:lang w:val="ru-RU" w:eastAsia="ru-RU" w:bidi="ru-RU"/>
        </w:rPr>
        <w:t>2.6. В случае уменьшения Государственному заказчику как получателю бюджетных средств ранее доведенных лимитов бюджетных обязательств, приводящего к невозможности исполнения Государственным заказчиком обязательств, вытекающих из настоящего Контракта, Стороны должны обеспечить согласование в соответствии с законодательством Российской Федерации новых условий Контракта, в том числе по цене и (или) срокам поставки и (или) количества Товара.</w:t>
      </w:r>
    </w:p>
    <w:p>
      <w:pPr>
        <w:pStyle w:val="14"/>
        <w:widowControl w:val="false"/>
        <w:shd w:val="clear" w:color="auto" w:fill="auto"/>
        <w:tabs>
          <w:tab w:val="clear" w:pos="708"/>
          <w:tab w:val="left" w:pos="7426" w:leader="underscore"/>
        </w:tabs>
        <w:suppressAutoHyphens w:val="false"/>
        <w:bidi w:val="0"/>
        <w:spacing w:before="0" w:after="0"/>
        <w:ind w:firstLine="580"/>
        <w:jc w:val="both"/>
        <w:rPr/>
      </w:pPr>
      <w:r>
        <w:rPr>
          <w:color w:val="000000"/>
          <w:kern w:val="0"/>
          <w:sz w:val="24"/>
          <w:szCs w:val="24"/>
          <w:lang w:val="ru-RU" w:eastAsia="ru-RU" w:bidi="ru-RU"/>
        </w:rPr>
        <w:t>2.7. Авансирование по настоящему Контракту не предусмотрен</w:t>
      </w:r>
      <w:r>
        <w:rPr/>
        <w:t>о.</w:t>
      </w:r>
    </w:p>
    <w:p>
      <w:pPr>
        <w:pStyle w:val="14"/>
        <w:shd w:val="clear" w:color="auto" w:fill="auto"/>
        <w:tabs>
          <w:tab w:val="clear" w:pos="708"/>
          <w:tab w:val="left" w:pos="1080" w:leader="none"/>
        </w:tabs>
        <w:ind w:hanging="0" w:left="580"/>
        <w:jc w:val="both"/>
        <w:rPr/>
      </w:pPr>
      <w:r>
        <w:rPr/>
      </w:r>
    </w:p>
    <w:p>
      <w:pPr>
        <w:pStyle w:val="15"/>
        <w:keepNext w:val="true"/>
        <w:keepLines/>
        <w:numPr>
          <w:ilvl w:val="0"/>
          <w:numId w:val="1"/>
        </w:numPr>
        <w:shd w:val="clear" w:color="auto" w:fill="auto"/>
        <w:tabs>
          <w:tab w:val="clear" w:pos="708"/>
          <w:tab w:val="left" w:pos="303" w:leader="none"/>
        </w:tabs>
        <w:rPr/>
      </w:pPr>
      <w:bookmarkStart w:id="6" w:name="bookmark7"/>
      <w:bookmarkStart w:id="7" w:name="bookmark6"/>
      <w:r>
        <w:rPr/>
        <w:t>ПРАВА И ОБЯЗАННОСТИ СТОРОН</w:t>
      </w:r>
      <w:bookmarkEnd w:id="6"/>
      <w:bookmarkEnd w:id="7"/>
    </w:p>
    <w:p>
      <w:pPr>
        <w:pStyle w:val="Normal"/>
        <w:numPr>
          <w:ilvl w:val="0"/>
          <w:numId w:val="0"/>
        </w:numPr>
        <w:shd w:val="clear" w:fill="FFFFFF"/>
        <w:tabs>
          <w:tab w:val="clear" w:pos="708"/>
          <w:tab w:val="left" w:pos="454" w:leader="none"/>
        </w:tabs>
        <w:spacing w:before="0" w:after="0"/>
        <w:ind w:hanging="0" w:left="0" w:right="0"/>
        <w:jc w:val="both"/>
        <w:rPr>
          <w:i w:val="false"/>
          <w:i w:val="false"/>
          <w:iCs w:val="false"/>
        </w:rPr>
      </w:pPr>
      <w:r>
        <w:rPr>
          <w:rFonts w:ascii="Liberation Serif" w:hAnsi="Liberation Serif"/>
          <w:bCs/>
          <w:i w:val="false"/>
          <w:iCs w:val="false"/>
          <w:color w:val="000000"/>
        </w:rPr>
        <w:t xml:space="preserve">3.1. </w:t>
      </w:r>
      <w:r>
        <w:rPr>
          <w:rFonts w:ascii="Liberation Serif" w:hAnsi="Liberation Serif"/>
          <w:b/>
          <w:i w:val="false"/>
          <w:iCs w:val="false"/>
          <w:color w:val="000000"/>
        </w:rPr>
        <w:t>Государственный заказчик вправе:</w:t>
      </w:r>
    </w:p>
    <w:p>
      <w:pPr>
        <w:pStyle w:val="Normal"/>
        <w:numPr>
          <w:ilvl w:val="0"/>
          <w:numId w:val="0"/>
        </w:numPr>
        <w:shd w:val="clear" w:fill="FFFFFF"/>
        <w:spacing w:before="0" w:after="0"/>
        <w:ind w:hanging="0" w:left="0" w:right="0"/>
        <w:jc w:val="both"/>
        <w:rPr>
          <w:rFonts w:ascii="Liberation Serif" w:hAnsi="Liberation Serif"/>
        </w:rPr>
      </w:pPr>
      <w:r>
        <w:rPr>
          <w:rFonts w:ascii="Liberation Serif" w:hAnsi="Liberation Serif"/>
          <w:bCs/>
          <w:color w:val="000000"/>
        </w:rPr>
        <w:t>3.1.1. Требовать надлежащего исполнения обязательств в соответствии с Контрактом, а также требовать своевременного устранения выявленных недостатков.</w:t>
      </w:r>
    </w:p>
    <w:p>
      <w:pPr>
        <w:pStyle w:val="Normal"/>
        <w:numPr>
          <w:ilvl w:val="0"/>
          <w:numId w:val="0"/>
        </w:numPr>
        <w:shd w:val="clear" w:fill="FFFFFF"/>
        <w:spacing w:before="0" w:after="0"/>
        <w:ind w:hanging="0" w:left="0" w:right="0"/>
        <w:jc w:val="both"/>
        <w:rPr>
          <w:rFonts w:ascii="Liberation Serif" w:hAnsi="Liberation Serif"/>
        </w:rPr>
      </w:pPr>
      <w:r>
        <w:rPr>
          <w:rFonts w:ascii="Liberation Serif" w:hAnsi="Liberation Serif"/>
          <w:bCs/>
          <w:color w:val="000000"/>
        </w:rPr>
        <w:t>3.1.2. Требовать уплаты неустоек (штрафов, пеней).</w:t>
      </w:r>
    </w:p>
    <w:p>
      <w:pPr>
        <w:pStyle w:val="Normal"/>
        <w:numPr>
          <w:ilvl w:val="0"/>
          <w:numId w:val="0"/>
        </w:numPr>
        <w:shd w:val="clear" w:fill="FFFFFF"/>
        <w:spacing w:before="0" w:after="0"/>
        <w:ind w:hanging="0" w:left="0" w:right="0"/>
        <w:jc w:val="both"/>
        <w:rPr>
          <w:rFonts w:ascii="Liberation Serif" w:hAnsi="Liberation Serif"/>
        </w:rPr>
      </w:pPr>
      <w:r>
        <w:rPr>
          <w:rFonts w:ascii="Liberation Serif" w:hAnsi="Liberation Serif"/>
          <w:bCs/>
          <w:color w:val="000000"/>
        </w:rPr>
        <w:t xml:space="preserve">3.1.3. Осуществлять контроль и надзор за ходом и качеством поставляемых товаров, соблюдением сроков их выполнения и за соответствием установленной Контрактом стоимости товаров, а также качеством материалов, оборудования, не вмешиваясь при этом в производственную деятельность </w:t>
      </w:r>
      <w:r>
        <w:rPr>
          <w:rFonts w:ascii="Liberation Serif" w:hAnsi="Liberation Serif"/>
        </w:rPr>
        <w:t>Поставщика</w:t>
      </w:r>
      <w:r>
        <w:rPr>
          <w:rFonts w:ascii="Liberation Serif" w:hAnsi="Liberation Serif"/>
          <w:bCs/>
          <w:color w:val="000000"/>
        </w:rPr>
        <w:t>.</w:t>
      </w:r>
    </w:p>
    <w:p>
      <w:pPr>
        <w:pStyle w:val="Normal"/>
        <w:widowControl w:val="false"/>
        <w:numPr>
          <w:ilvl w:val="0"/>
          <w:numId w:val="0"/>
        </w:numPr>
        <w:shd w:val="clear" w:fill="FFFFFF"/>
        <w:spacing w:before="0" w:after="0"/>
        <w:ind w:hanging="0" w:left="0" w:right="0"/>
        <w:jc w:val="both"/>
        <w:rPr/>
      </w:pPr>
      <w:r>
        <w:rPr>
          <w:rFonts w:ascii="Liberation Serif" w:hAnsi="Liberation Serif"/>
          <w:bCs/>
          <w:color w:val="000000"/>
        </w:rPr>
        <w:t xml:space="preserve">3.1.4. При обнаружении в ходе поставки Товаров отступлений от условий настоящего Контракта, которые могут ухудшить качество поставляемых Товаров или иных недостатков, немедленно заявить об этом </w:t>
      </w:r>
      <w:r>
        <w:rPr>
          <w:rFonts w:ascii="Liberation Serif" w:hAnsi="Liberation Serif"/>
        </w:rPr>
        <w:t>Поставщику</w:t>
      </w:r>
      <w:r>
        <w:rPr>
          <w:rFonts w:ascii="Liberation Serif" w:hAnsi="Liberation Serif"/>
          <w:bCs/>
          <w:color w:val="000000"/>
        </w:rPr>
        <w:t xml:space="preserve"> в письменной форме, назначив срок их устранения.</w:t>
      </w:r>
    </w:p>
    <w:p>
      <w:pPr>
        <w:pStyle w:val="Normal"/>
        <w:widowControl w:val="false"/>
        <w:numPr>
          <w:ilvl w:val="0"/>
          <w:numId w:val="0"/>
        </w:numPr>
        <w:shd w:val="clear" w:fill="FFFFFF"/>
        <w:tabs>
          <w:tab w:val="clear" w:pos="708"/>
          <w:tab w:val="left" w:pos="0" w:leader="none"/>
        </w:tabs>
        <w:spacing w:before="0" w:after="0"/>
        <w:ind w:hanging="0" w:left="0" w:right="0"/>
        <w:jc w:val="both"/>
        <w:rPr>
          <w:i w:val="false"/>
          <w:i w:val="false"/>
          <w:iCs w:val="false"/>
        </w:rPr>
      </w:pPr>
      <w:r>
        <w:rPr>
          <w:rFonts w:ascii="Liberation Serif" w:hAnsi="Liberation Serif"/>
          <w:bCs/>
          <w:i w:val="false"/>
          <w:iCs w:val="false"/>
          <w:color w:val="000000"/>
        </w:rPr>
        <w:t xml:space="preserve">3.2. </w:t>
      </w:r>
      <w:r>
        <w:rPr>
          <w:rFonts w:ascii="Liberation Serif" w:hAnsi="Liberation Serif"/>
          <w:b/>
          <w:i w:val="false"/>
          <w:iCs w:val="false"/>
          <w:color w:val="000000"/>
        </w:rPr>
        <w:t>Государственный заказчик обязан:</w:t>
      </w:r>
    </w:p>
    <w:p>
      <w:pPr>
        <w:pStyle w:val="Normal"/>
        <w:widowControl w:val="false"/>
        <w:numPr>
          <w:ilvl w:val="0"/>
          <w:numId w:val="0"/>
        </w:numPr>
        <w:shd w:val="clear" w:fill="FFFFFF"/>
        <w:tabs>
          <w:tab w:val="clear" w:pos="708"/>
          <w:tab w:val="left" w:pos="0" w:leader="none"/>
        </w:tabs>
        <w:spacing w:before="0" w:after="0"/>
        <w:ind w:hanging="0" w:left="0" w:right="0"/>
        <w:jc w:val="both"/>
        <w:rPr>
          <w:rFonts w:ascii="Liberation Serif" w:hAnsi="Liberation Serif"/>
        </w:rPr>
      </w:pPr>
      <w:r>
        <w:rPr>
          <w:rFonts w:ascii="Liberation Serif" w:hAnsi="Liberation Serif"/>
          <w:bCs/>
          <w:color w:val="000000"/>
        </w:rPr>
        <w:t>3.2.1. Обеспечить своевременную приемку и оплату поставленного Товара надлежащего качества в порядке и в сроки, предусмотренные Контрактом.</w:t>
      </w:r>
    </w:p>
    <w:p>
      <w:pPr>
        <w:pStyle w:val="Normal"/>
        <w:widowControl w:val="false"/>
        <w:numPr>
          <w:ilvl w:val="0"/>
          <w:numId w:val="0"/>
        </w:numPr>
        <w:shd w:val="clear" w:fill="FFFFFF"/>
        <w:tabs>
          <w:tab w:val="clear" w:pos="708"/>
          <w:tab w:val="left" w:pos="0" w:leader="none"/>
        </w:tabs>
        <w:spacing w:before="0" w:after="0"/>
        <w:ind w:hanging="0" w:left="0" w:right="0"/>
        <w:jc w:val="both"/>
        <w:rPr>
          <w:rFonts w:ascii="Liberation Serif" w:hAnsi="Liberation Serif"/>
        </w:rPr>
      </w:pPr>
      <w:r>
        <w:rPr>
          <w:rFonts w:ascii="Liberation Serif" w:hAnsi="Liberation Serif"/>
          <w:bCs/>
          <w:color w:val="000000"/>
        </w:rPr>
        <w:t>3.2.2. Принять решение об одностороннем отказе от исполнения Контракта в случае, если в ходе исполнения Контракта установлено, что Поставщик и(или) поставляемый Товар не соответствует установленным извещением об осуществлении закупки требованиям к участникам и(или) поставляемому Товару или представил недостоверную информацию о своем соответствии и(или) соответствии поставляемого Товара таким требованиям, что позволило ему стать победителем определения Поставщика.</w:t>
      </w:r>
    </w:p>
    <w:p>
      <w:pPr>
        <w:pStyle w:val="Normal"/>
        <w:widowControl w:val="false"/>
        <w:numPr>
          <w:ilvl w:val="0"/>
          <w:numId w:val="0"/>
        </w:numPr>
        <w:shd w:val="clear" w:fill="FFFFFF"/>
        <w:tabs>
          <w:tab w:val="clear" w:pos="708"/>
          <w:tab w:val="left" w:pos="0" w:leader="none"/>
        </w:tabs>
        <w:spacing w:before="0" w:after="0"/>
        <w:ind w:hanging="0" w:left="0" w:right="0"/>
        <w:jc w:val="both"/>
        <w:rPr>
          <w:rFonts w:ascii="Liberation Serif" w:hAnsi="Liberation Serif"/>
        </w:rPr>
      </w:pPr>
      <w:r>
        <w:rPr>
          <w:rFonts w:ascii="Liberation Serif" w:hAnsi="Liberation Serif"/>
          <w:bCs/>
          <w:color w:val="000000"/>
        </w:rPr>
        <w:t>3.2.3.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Государственного заказчика, и разместить такое решение в единой информационной системе в случае принятия Государственным заказчиком предусмотренного ч. 9 ст. 95 Федерального закона решения об одностороннем отказе от исполнения Контракта.</w:t>
      </w:r>
    </w:p>
    <w:p>
      <w:pPr>
        <w:pStyle w:val="Normal"/>
        <w:widowControl w:val="false"/>
        <w:numPr>
          <w:ilvl w:val="0"/>
          <w:numId w:val="0"/>
        </w:numPr>
        <w:shd w:val="clear" w:fill="FFFFFF"/>
        <w:tabs>
          <w:tab w:val="clear" w:pos="708"/>
          <w:tab w:val="left" w:pos="0" w:leader="none"/>
        </w:tabs>
        <w:spacing w:before="0" w:after="0"/>
        <w:ind w:hanging="0" w:left="0" w:right="0"/>
        <w:jc w:val="both"/>
        <w:rPr>
          <w:rFonts w:ascii="Liberation Serif" w:hAnsi="Liberation Serif"/>
        </w:rPr>
      </w:pPr>
      <w:r>
        <w:rPr>
          <w:rFonts w:ascii="Liberation Serif" w:hAnsi="Liberation Serif"/>
          <w:bCs/>
          <w:color w:val="000000"/>
        </w:rPr>
        <w:t xml:space="preserve">3.2.4. Провести экспертизу поставленного Товара для проверки его соответствия условиям Контракта в соответствии с Федеральным законом. </w:t>
      </w:r>
    </w:p>
    <w:p>
      <w:pPr>
        <w:pStyle w:val="14"/>
        <w:numPr>
          <w:ilvl w:val="0"/>
          <w:numId w:val="0"/>
        </w:numPr>
        <w:shd w:val="clear" w:color="auto" w:fill="auto"/>
        <w:tabs>
          <w:tab w:val="clear" w:pos="708"/>
          <w:tab w:val="left" w:pos="1080" w:leader="none"/>
        </w:tabs>
        <w:ind w:hanging="0" w:left="0"/>
        <w:jc w:val="both"/>
        <w:rPr/>
      </w:pPr>
      <w:r>
        <w:rPr>
          <w:i w:val="false"/>
          <w:iCs w:val="false"/>
        </w:rPr>
        <w:t xml:space="preserve">3.3. </w:t>
      </w:r>
      <w:r>
        <w:rPr>
          <w:b/>
          <w:bCs/>
          <w:i w:val="false"/>
          <w:iCs w:val="false"/>
        </w:rPr>
        <w:t>Поставщик обязан</w:t>
      </w:r>
      <w:r>
        <w:rPr>
          <w:b/>
          <w:bCs/>
          <w:i/>
          <w:iCs/>
        </w:rPr>
        <w:t>:</w:t>
      </w:r>
    </w:p>
    <w:p>
      <w:pPr>
        <w:pStyle w:val="14"/>
        <w:numPr>
          <w:ilvl w:val="0"/>
          <w:numId w:val="0"/>
        </w:numPr>
        <w:shd w:val="clear" w:color="auto" w:fill="auto"/>
        <w:tabs>
          <w:tab w:val="clear" w:pos="708"/>
          <w:tab w:val="left" w:pos="1235" w:leader="none"/>
        </w:tabs>
        <w:ind w:hanging="0" w:left="0"/>
        <w:jc w:val="both"/>
        <w:rPr/>
      </w:pPr>
      <w:r>
        <w:rPr/>
        <w:t>3.3.1. Поставить Товар в соответствии со Спецификацией (Приложение № 1 к Контракту).</w:t>
      </w:r>
    </w:p>
    <w:p>
      <w:pPr>
        <w:pStyle w:val="14"/>
        <w:numPr>
          <w:ilvl w:val="0"/>
          <w:numId w:val="0"/>
        </w:numPr>
        <w:shd w:val="clear" w:color="auto" w:fill="auto"/>
        <w:tabs>
          <w:tab w:val="clear" w:pos="708"/>
          <w:tab w:val="left" w:pos="1235" w:leader="none"/>
        </w:tabs>
        <w:ind w:hanging="0" w:left="0"/>
        <w:jc w:val="both"/>
        <w:rPr/>
      </w:pPr>
      <w:r>
        <w:rPr/>
        <w:t>3.3.2. Поставить Товар в сроки и в соответствии с условиями, предусмотренные настоящим Контрактом.</w:t>
      </w:r>
    </w:p>
    <w:p>
      <w:pPr>
        <w:pStyle w:val="14"/>
        <w:numPr>
          <w:ilvl w:val="0"/>
          <w:numId w:val="0"/>
        </w:numPr>
        <w:shd w:val="clear" w:color="auto" w:fill="auto"/>
        <w:tabs>
          <w:tab w:val="clear" w:pos="708"/>
          <w:tab w:val="left" w:pos="1245" w:leader="none"/>
        </w:tabs>
        <w:ind w:hanging="0" w:left="0"/>
        <w:jc w:val="both"/>
        <w:rPr/>
      </w:pPr>
      <w:r>
        <w:rPr/>
        <w:t>3.3.3. Доставить Товар по месту доставки Товара (помещение Государственного заказчика), а также представить все документы.</w:t>
      </w:r>
    </w:p>
    <w:p>
      <w:pPr>
        <w:pStyle w:val="14"/>
        <w:numPr>
          <w:ilvl w:val="0"/>
          <w:numId w:val="0"/>
        </w:numPr>
        <w:shd w:val="clear" w:color="auto" w:fill="auto"/>
        <w:tabs>
          <w:tab w:val="clear" w:pos="708"/>
          <w:tab w:val="left" w:pos="1235" w:leader="none"/>
        </w:tabs>
        <w:ind w:hanging="0" w:left="0"/>
        <w:jc w:val="both"/>
        <w:rPr/>
      </w:pPr>
      <w:r>
        <w:rPr/>
        <w:t>3.3.4. Передать Государственному заказчику Товар надлежащего качества, в количестве, ассортименте и комплектации согласно Спецификации (Приложение № 1 к Контракту).</w:t>
      </w:r>
    </w:p>
    <w:p>
      <w:pPr>
        <w:pStyle w:val="14"/>
        <w:numPr>
          <w:ilvl w:val="0"/>
          <w:numId w:val="0"/>
        </w:numPr>
        <w:shd w:val="clear" w:color="auto" w:fill="auto"/>
        <w:tabs>
          <w:tab w:val="clear" w:pos="708"/>
          <w:tab w:val="left" w:pos="1245" w:leader="none"/>
        </w:tabs>
        <w:ind w:hanging="0" w:left="0"/>
        <w:jc w:val="both"/>
        <w:rPr/>
      </w:pPr>
      <w:r>
        <w:rPr/>
        <w:t>3.3.5. Обеспечить надлежащую упаковку Товара, способную предотвратить его повреждение или порчу во время перевозки к месту доставки, передачи Государственному заказчику.</w:t>
      </w:r>
    </w:p>
    <w:p>
      <w:pPr>
        <w:pStyle w:val="14"/>
        <w:numPr>
          <w:ilvl w:val="0"/>
          <w:numId w:val="0"/>
        </w:numPr>
        <w:shd w:val="clear" w:color="auto" w:fill="auto"/>
        <w:tabs>
          <w:tab w:val="clear" w:pos="708"/>
          <w:tab w:val="left" w:pos="1245" w:leader="none"/>
        </w:tabs>
        <w:ind w:hanging="0" w:left="0"/>
        <w:jc w:val="both"/>
        <w:rPr/>
      </w:pPr>
      <w:r>
        <w:rPr/>
        <w:t>3.3.6. Предоставлять своевременно достоверную информацию о ходе исполнения своих обязательств, в том числе о сложностях, возникающих при исполнении настоящего Контракта.</w:t>
      </w:r>
    </w:p>
    <w:p>
      <w:pPr>
        <w:pStyle w:val="14"/>
        <w:numPr>
          <w:ilvl w:val="0"/>
          <w:numId w:val="0"/>
        </w:numPr>
        <w:shd w:val="clear" w:color="auto" w:fill="auto"/>
        <w:tabs>
          <w:tab w:val="clear" w:pos="708"/>
          <w:tab w:val="left" w:pos="1249" w:leader="none"/>
        </w:tabs>
        <w:ind w:hanging="0" w:left="0"/>
        <w:jc w:val="both"/>
        <w:rPr/>
      </w:pPr>
      <w:r>
        <w:rPr/>
        <w:t>3.3.7. Выполнять иные обязанности, предусмотренные Контрактом.</w:t>
      </w:r>
    </w:p>
    <w:p>
      <w:pPr>
        <w:pStyle w:val="14"/>
        <w:numPr>
          <w:ilvl w:val="0"/>
          <w:numId w:val="0"/>
        </w:numPr>
        <w:shd w:val="clear" w:color="auto" w:fill="auto"/>
        <w:tabs>
          <w:tab w:val="clear" w:pos="708"/>
          <w:tab w:val="left" w:pos="1245" w:leader="none"/>
        </w:tabs>
        <w:ind w:hanging="0" w:left="0"/>
        <w:jc w:val="both"/>
        <w:rPr/>
      </w:pPr>
      <w:r>
        <w:rPr/>
        <w:t>3.3.8. Нести ответственность за неисполнение своих обязательств по настоящему Контракту в соответствии с законодательством Российской Федерации и условиями настоящего Контракта.</w:t>
      </w:r>
    </w:p>
    <w:p>
      <w:pPr>
        <w:pStyle w:val="14"/>
        <w:numPr>
          <w:ilvl w:val="0"/>
          <w:numId w:val="0"/>
        </w:numPr>
        <w:shd w:val="clear" w:color="auto" w:fill="auto"/>
        <w:tabs>
          <w:tab w:val="clear" w:pos="708"/>
          <w:tab w:val="left" w:pos="1245" w:leader="none"/>
        </w:tabs>
        <w:ind w:hanging="0" w:left="0"/>
        <w:jc w:val="both"/>
        <w:rPr/>
      </w:pPr>
      <w:r>
        <w:rPr/>
        <w:t>3.3.9. Отвечать по искам третьих лиц, в случае предъявления третьими лицами к Государственному заказчику исков в связи с поставляемым Товаром.</w:t>
      </w:r>
    </w:p>
    <w:p>
      <w:pPr>
        <w:pStyle w:val="14"/>
        <w:numPr>
          <w:ilvl w:val="0"/>
          <w:numId w:val="0"/>
        </w:numPr>
        <w:shd w:val="clear" w:color="auto" w:fill="auto"/>
        <w:tabs>
          <w:tab w:val="clear" w:pos="708"/>
          <w:tab w:val="left" w:pos="1365" w:leader="none"/>
        </w:tabs>
        <w:ind w:hanging="0" w:left="0"/>
        <w:jc w:val="both"/>
        <w:rPr/>
      </w:pPr>
      <w:r>
        <w:rPr/>
        <w:t>3.3.10. Своевременно и в полном объеме представлять в органы государственного финансового контроля по их запросам информацию, документы и материалы, необходимые для осуществления государственного финансового контроля, предоставлять должностным лицам органов государственного финансового контроля допуск указанных лиц в помещения и на территории объектов контроля, выполнять их законные требования.</w:t>
      </w:r>
    </w:p>
    <w:p>
      <w:pPr>
        <w:pStyle w:val="14"/>
        <w:numPr>
          <w:ilvl w:val="0"/>
          <w:numId w:val="0"/>
        </w:numPr>
        <w:shd w:val="clear" w:fill="auto"/>
        <w:tabs>
          <w:tab w:val="clear" w:pos="708"/>
          <w:tab w:val="left" w:pos="1365" w:leader="none"/>
        </w:tabs>
        <w:spacing w:lineRule="auto" w:line="240"/>
        <w:ind w:hanging="0" w:left="0"/>
        <w:jc w:val="both"/>
        <w:rPr/>
      </w:pPr>
      <w:r>
        <w:rPr/>
        <w:t xml:space="preserve">3.3.11. Одновременно с Товаром предоставить Государственному заказчику документы любым из способов: </w:t>
      </w:r>
    </w:p>
    <w:p>
      <w:pPr>
        <w:pStyle w:val="14"/>
        <w:numPr>
          <w:ilvl w:val="0"/>
          <w:numId w:val="0"/>
        </w:numPr>
        <w:shd w:val="clear" w:fill="auto"/>
        <w:tabs>
          <w:tab w:val="clear" w:pos="708"/>
          <w:tab w:val="left" w:pos="1365" w:leader="none"/>
        </w:tabs>
        <w:spacing w:lineRule="auto" w:line="240"/>
        <w:ind w:hanging="0" w:left="0"/>
        <w:jc w:val="both"/>
        <w:rPr/>
      </w:pPr>
      <w:r>
        <w:rPr>
          <w:i/>
          <w:iCs/>
        </w:rPr>
        <w:t xml:space="preserve">       </w:t>
      </w:r>
      <w:r>
        <w:rPr>
          <w:b/>
          <w:bCs/>
          <w:i/>
          <w:iCs/>
        </w:rPr>
        <w:t>Способ 1.</w:t>
      </w:r>
    </w:p>
    <w:p>
      <w:pPr>
        <w:pStyle w:val="Normal"/>
        <w:widowControl w:val="false"/>
        <w:tabs>
          <w:tab w:val="clear" w:pos="708"/>
          <w:tab w:val="left" w:pos="1134" w:leader="none"/>
        </w:tabs>
        <w:ind w:firstLine="567"/>
        <w:jc w:val="both"/>
        <w:rPr/>
      </w:pPr>
      <w:r>
        <w:rPr>
          <w:rFonts w:ascii="Times New Roman" w:hAnsi="Times New Roman"/>
          <w:b/>
          <w:bCs/>
          <w:i/>
          <w:iCs/>
        </w:rPr>
        <w:t>В случае обмена через операторов электронного документооборота электронными документами:</w:t>
      </w:r>
    </w:p>
    <w:p>
      <w:pPr>
        <w:pStyle w:val="Normal"/>
        <w:widowControl w:val="false"/>
        <w:tabs>
          <w:tab w:val="clear" w:pos="708"/>
          <w:tab w:val="left" w:pos="1134" w:leader="none"/>
        </w:tabs>
        <w:jc w:val="both"/>
        <w:rPr/>
      </w:pPr>
      <w:r>
        <w:rPr>
          <w:rFonts w:ascii="Times New Roman" w:hAnsi="Times New Roman"/>
        </w:rPr>
        <w:t xml:space="preserve">         </w:t>
      </w:r>
      <w:r>
        <w:rPr>
          <w:rFonts w:ascii="Times New Roman" w:hAnsi="Times New Roman"/>
        </w:rPr>
        <w:t>-  У</w:t>
      </w:r>
      <w:r>
        <w:rPr>
          <w:rFonts w:ascii="Times New Roman" w:hAnsi="Times New Roman"/>
          <w:shd w:fill="FFFFFF" w:val="clear"/>
        </w:rPr>
        <w:t xml:space="preserve">ПД по форме 5.03, утвержденную  </w:t>
      </w:r>
      <w:bookmarkStart w:id="8" w:name="ctl00_ctl03_ctl01_td_title"/>
      <w:bookmarkEnd w:id="8"/>
      <w:r>
        <w:rPr>
          <w:rFonts w:eastAsia="Times New Roman" w:cs="Times New Roman" w:ascii="Times New Roman" w:hAnsi="Times New Roman"/>
          <w:sz w:val="24"/>
          <w:szCs w:val="24"/>
          <w:shd w:fill="FFFFFF" w:val="clear"/>
        </w:rPr>
        <w:t>Приказом ФНС России от 19.12.2023 № ЕД-7-26/970@</w:t>
      </w:r>
    </w:p>
    <w:p>
      <w:pPr>
        <w:pStyle w:val="Normal"/>
        <w:widowControl w:val="false"/>
        <w:tabs>
          <w:tab w:val="clear" w:pos="708"/>
          <w:tab w:val="left" w:pos="1134" w:leader="none"/>
        </w:tabs>
        <w:ind w:firstLine="567"/>
        <w:jc w:val="both"/>
        <w:rPr>
          <w:rFonts w:ascii="Times New Roman" w:hAnsi="Times New Roman"/>
        </w:rPr>
      </w:pPr>
      <w:r>
        <w:rPr>
          <w:rFonts w:ascii="Times New Roman" w:hAnsi="Times New Roman"/>
        </w:rPr>
        <w:t>- Счет, а также соответствующие документы (документация технического характера, документация о качестве, иные документы, относящиеся к выполненным работам), вся документация предоставляется на русском языке.</w:t>
      </w:r>
    </w:p>
    <w:p>
      <w:pPr>
        <w:pStyle w:val="Normal"/>
        <w:widowControl w:val="false"/>
        <w:tabs>
          <w:tab w:val="clear" w:pos="708"/>
          <w:tab w:val="left" w:pos="1134" w:leader="none"/>
        </w:tabs>
        <w:ind w:firstLine="567"/>
        <w:jc w:val="both"/>
        <w:rPr>
          <w:rFonts w:ascii="Liberation Serif" w:hAnsi="Liberation Serif"/>
        </w:rPr>
      </w:pPr>
      <w:r>
        <w:rPr>
          <w:rFonts w:ascii="Liberation Serif" w:hAnsi="Liberation Serif"/>
          <w:b w:val="false"/>
          <w:bCs w:val="false"/>
          <w:i w:val="false"/>
          <w:iCs w:val="false"/>
        </w:rPr>
        <w:t>- Товарная накладная в 2 (двух) экземплярах (один экземпляр для Государственного заказчика, один для Поставщика).</w:t>
      </w:r>
    </w:p>
    <w:p>
      <w:pPr>
        <w:pStyle w:val="Normal"/>
        <w:widowControl w:val="false"/>
        <w:tabs>
          <w:tab w:val="clear" w:pos="708"/>
          <w:tab w:val="left" w:pos="1134" w:leader="none"/>
        </w:tabs>
        <w:ind w:firstLine="567"/>
        <w:jc w:val="both"/>
        <w:rPr/>
      </w:pPr>
      <w:r>
        <w:rPr>
          <w:rFonts w:ascii="Times New Roman" w:hAnsi="Times New Roman"/>
          <w:b/>
          <w:bCs/>
        </w:rPr>
        <w:t>Способ 2.</w:t>
      </w:r>
    </w:p>
    <w:p>
      <w:pPr>
        <w:pStyle w:val="Normal"/>
        <w:widowControl w:val="false"/>
        <w:tabs>
          <w:tab w:val="clear" w:pos="708"/>
          <w:tab w:val="left" w:pos="1134" w:leader="none"/>
        </w:tabs>
        <w:ind w:firstLine="567"/>
        <w:jc w:val="both"/>
        <w:rPr/>
      </w:pPr>
      <w:r>
        <w:rPr>
          <w:rFonts w:ascii="Times New Roman" w:hAnsi="Times New Roman"/>
          <w:b/>
          <w:bCs/>
          <w:i/>
          <w:iCs/>
        </w:rPr>
        <w:t>В случае предоставления документов на бумажном носителе:</w:t>
      </w:r>
    </w:p>
    <w:p>
      <w:pPr>
        <w:pStyle w:val="Normal"/>
        <w:widowControl w:val="false"/>
        <w:tabs>
          <w:tab w:val="clear" w:pos="708"/>
          <w:tab w:val="left" w:pos="1134" w:leader="none"/>
        </w:tabs>
        <w:ind w:firstLine="567"/>
        <w:jc w:val="both"/>
        <w:rPr/>
      </w:pPr>
      <w:r>
        <w:rPr>
          <w:rFonts w:ascii="Times New Roman" w:hAnsi="Times New Roman"/>
          <w:b w:val="false"/>
          <w:bCs w:val="false"/>
          <w:i w:val="false"/>
          <w:iCs w:val="false"/>
        </w:rPr>
        <w:t>- Товарная накладная в 2 (двух) экземплярах (один экземпляр для Государственного заказчика, один для Поставщика);</w:t>
      </w:r>
    </w:p>
    <w:p>
      <w:pPr>
        <w:pStyle w:val="Normal"/>
        <w:widowControl w:val="false"/>
        <w:tabs>
          <w:tab w:val="clear" w:pos="708"/>
          <w:tab w:val="left" w:pos="1134" w:leader="none"/>
        </w:tabs>
        <w:ind w:firstLine="567"/>
        <w:jc w:val="both"/>
        <w:rPr/>
      </w:pPr>
      <w:r>
        <w:rPr>
          <w:rFonts w:ascii="Times New Roman" w:hAnsi="Times New Roman"/>
        </w:rPr>
        <w:t>- Оригинал Акта сдачи-приемки Товара, оформленный в соответствии с Приложением № 3 к Контракту в 2 (двух) экземплярах (один экземпляр для Государственного заказчика, один для Поставщика);</w:t>
      </w:r>
    </w:p>
    <w:p>
      <w:pPr>
        <w:pStyle w:val="14"/>
        <w:numPr>
          <w:ilvl w:val="0"/>
          <w:numId w:val="0"/>
        </w:numPr>
        <w:shd w:val="clear" w:fill="auto"/>
        <w:tabs>
          <w:tab w:val="clear" w:pos="708"/>
          <w:tab w:val="left" w:pos="1365" w:leader="none"/>
        </w:tabs>
        <w:spacing w:lineRule="auto" w:line="240"/>
        <w:ind w:hanging="0" w:left="0"/>
        <w:jc w:val="both"/>
        <w:rPr/>
      </w:pPr>
      <w:r>
        <w:rPr>
          <w:i/>
          <w:iCs/>
        </w:rPr>
        <w:t xml:space="preserve">    </w:t>
      </w:r>
      <w:r>
        <w:rPr>
          <w:i w:val="false"/>
          <w:iCs w:val="false"/>
        </w:rPr>
        <w:t xml:space="preserve">    </w:t>
      </w:r>
      <w:bookmarkStart w:id="9" w:name="_Hlk219973717"/>
      <w:r>
        <w:rPr>
          <w:i w:val="false"/>
          <w:iCs w:val="false"/>
        </w:rPr>
        <w:t>- Оригинал счета в 1 (одном) экземпляре, оригинал счета-фактуры в 1 (одном) экземпляре (при наличии), а также соответствующие документы (документация технического характера, документация о качестве, иные документы, относящиеся к выполненным работам), вся документация предоставляется на русском языке.</w:t>
      </w:r>
      <w:bookmarkEnd w:id="9"/>
    </w:p>
    <w:p>
      <w:pPr>
        <w:pStyle w:val="14"/>
        <w:numPr>
          <w:ilvl w:val="0"/>
          <w:numId w:val="0"/>
        </w:numPr>
        <w:shd w:val="clear" w:color="auto" w:fill="auto"/>
        <w:tabs>
          <w:tab w:val="clear" w:pos="708"/>
          <w:tab w:val="left" w:pos="1071" w:leader="none"/>
        </w:tabs>
        <w:ind w:hanging="0" w:left="0"/>
        <w:jc w:val="both"/>
        <w:rPr>
          <w:b/>
          <w:bCs/>
          <w:i/>
          <w:i/>
          <w:iCs/>
        </w:rPr>
      </w:pPr>
      <w:r>
        <w:rPr>
          <w:b/>
          <w:bCs/>
          <w:i/>
          <w:iCs/>
        </w:rPr>
        <w:t>3.4. Поставщик вправе:</w:t>
      </w:r>
    </w:p>
    <w:p>
      <w:pPr>
        <w:pStyle w:val="14"/>
        <w:numPr>
          <w:ilvl w:val="0"/>
          <w:numId w:val="0"/>
        </w:numPr>
        <w:shd w:val="clear" w:color="auto" w:fill="auto"/>
        <w:tabs>
          <w:tab w:val="clear" w:pos="708"/>
          <w:tab w:val="left" w:pos="1235" w:leader="none"/>
        </w:tabs>
        <w:ind w:hanging="0" w:left="0"/>
        <w:jc w:val="both"/>
        <w:rPr/>
      </w:pPr>
      <w:r>
        <w:rPr/>
        <w:t>3.4.1. Требовать приемки и оплаты Товара в объеме, порядке, сроки и на условиях, предусмотренных Контрактом.</w:t>
      </w:r>
    </w:p>
    <w:p>
      <w:pPr>
        <w:pStyle w:val="14"/>
        <w:numPr>
          <w:ilvl w:val="0"/>
          <w:numId w:val="0"/>
        </w:numPr>
        <w:shd w:val="clear" w:color="auto" w:fill="auto"/>
        <w:tabs>
          <w:tab w:val="clear" w:pos="708"/>
          <w:tab w:val="left" w:pos="1249" w:leader="none"/>
        </w:tabs>
        <w:spacing w:before="0" w:after="260"/>
        <w:ind w:hanging="0" w:left="0"/>
        <w:jc w:val="both"/>
        <w:rPr/>
      </w:pPr>
      <w:r>
        <w:rPr/>
        <w:t>3.4.2. По согласованию с Государственным заказчиком досрочно поставить Товар.</w:t>
      </w:r>
    </w:p>
    <w:p>
      <w:pPr>
        <w:pStyle w:val="15"/>
        <w:keepNext w:val="true"/>
        <w:keepLines/>
        <w:numPr>
          <w:ilvl w:val="0"/>
          <w:numId w:val="1"/>
        </w:numPr>
        <w:shd w:val="clear" w:color="auto" w:fill="auto"/>
        <w:tabs>
          <w:tab w:val="clear" w:pos="708"/>
          <w:tab w:val="left" w:pos="342" w:leader="none"/>
        </w:tabs>
        <w:jc w:val="center"/>
        <w:rPr/>
      </w:pPr>
      <w:bookmarkStart w:id="10" w:name="bookmark9"/>
      <w:bookmarkStart w:id="11" w:name="bookmark8"/>
      <w:r>
        <w:rPr/>
        <w:t>КАЧЕСТВО ТОВАРА</w:t>
      </w:r>
      <w:bookmarkEnd w:id="10"/>
      <w:bookmarkEnd w:id="11"/>
    </w:p>
    <w:p>
      <w:pPr>
        <w:pStyle w:val="14"/>
        <w:numPr>
          <w:ilvl w:val="1"/>
          <w:numId w:val="1"/>
        </w:numPr>
        <w:shd w:val="clear" w:color="auto" w:fill="auto"/>
        <w:tabs>
          <w:tab w:val="clear" w:pos="708"/>
          <w:tab w:val="left" w:pos="1067" w:leader="none"/>
        </w:tabs>
        <w:ind w:firstLine="580"/>
        <w:jc w:val="both"/>
        <w:rPr/>
      </w:pPr>
      <w:r>
        <w:rPr/>
        <w:t>Товар по своему качеству должен соответствовать государственным стандартам и техническим нормативам, действующим на территории РФ.</w:t>
      </w:r>
    </w:p>
    <w:p>
      <w:pPr>
        <w:pStyle w:val="14"/>
        <w:numPr>
          <w:ilvl w:val="1"/>
          <w:numId w:val="1"/>
        </w:numPr>
        <w:shd w:val="clear" w:color="auto" w:fill="auto"/>
        <w:tabs>
          <w:tab w:val="clear" w:pos="708"/>
          <w:tab w:val="left" w:pos="1057" w:leader="none"/>
        </w:tabs>
        <w:ind w:firstLine="580"/>
        <w:jc w:val="both"/>
        <w:rPr/>
      </w:pPr>
      <w:r>
        <w:rPr/>
        <w:t>Государственный заказчик в случае обнаружения в Товаре недостатков, по своему выбору вправе:</w:t>
      </w:r>
    </w:p>
    <w:p>
      <w:pPr>
        <w:pStyle w:val="14"/>
        <w:shd w:val="clear" w:color="auto" w:fill="auto"/>
        <w:tabs>
          <w:tab w:val="clear" w:pos="708"/>
          <w:tab w:val="left" w:pos="917" w:leader="none"/>
        </w:tabs>
        <w:ind w:firstLine="580"/>
        <w:jc w:val="both"/>
        <w:rPr/>
      </w:pPr>
      <w:r>
        <w:rPr/>
        <w:t>а)</w:t>
        <w:tab/>
        <w:t>потребовать замены на Товар этой же марки (этой же модели и (или) артикула);</w:t>
      </w:r>
    </w:p>
    <w:p>
      <w:pPr>
        <w:pStyle w:val="14"/>
        <w:shd w:val="clear" w:color="auto" w:fill="auto"/>
        <w:tabs>
          <w:tab w:val="clear" w:pos="708"/>
          <w:tab w:val="left" w:pos="941" w:leader="none"/>
        </w:tabs>
        <w:ind w:firstLine="580"/>
        <w:jc w:val="both"/>
        <w:rPr/>
      </w:pPr>
      <w:r>
        <w:rPr/>
        <w:t>б)</w:t>
        <w:tab/>
        <w:t>потребовать незамедлительного безвозмездного устранения недостатков Товара.</w:t>
      </w:r>
    </w:p>
    <w:p>
      <w:pPr>
        <w:pStyle w:val="14"/>
        <w:numPr>
          <w:ilvl w:val="1"/>
          <w:numId w:val="1"/>
        </w:numPr>
        <w:shd w:val="clear" w:color="auto" w:fill="auto"/>
        <w:tabs>
          <w:tab w:val="clear" w:pos="708"/>
          <w:tab w:val="left" w:pos="1066" w:leader="none"/>
        </w:tabs>
        <w:ind w:firstLine="580"/>
        <w:jc w:val="both"/>
        <w:rPr/>
      </w:pPr>
      <w:r>
        <w:rPr/>
        <w:t>В случае поставки некачественного Товара, Государственный заказчик в течение всего срока службы товара вправе потребовать от Поставщика безвозмездно устранить недостатки Товара в течение 10 дней с момента заявления о них Государственным заказчиком, либо возместить расходы Государственного заказчика на устранение недостатков Товара, за исключением случаев, когда Поставщик без промедления в течение 1 (одного) дня заменит поставленные Товары качественными Товарами.</w:t>
      </w:r>
    </w:p>
    <w:p>
      <w:pPr>
        <w:pStyle w:val="14"/>
        <w:numPr>
          <w:ilvl w:val="1"/>
          <w:numId w:val="1"/>
        </w:numPr>
        <w:shd w:val="clear" w:color="auto" w:fill="auto"/>
        <w:tabs>
          <w:tab w:val="clear" w:pos="708"/>
          <w:tab w:val="left" w:pos="1066" w:leader="none"/>
        </w:tabs>
        <w:ind w:firstLine="580"/>
        <w:jc w:val="both"/>
        <w:rPr/>
      </w:pPr>
      <w:r>
        <w:rPr/>
        <w:t>В случае существенного нарушения требований к качеству Товара, Государственный заказчик вправе вернуть Товар ненадлежащего качества без оплаты Товара.</w:t>
      </w:r>
    </w:p>
    <w:p>
      <w:pPr>
        <w:pStyle w:val="14"/>
        <w:numPr>
          <w:ilvl w:val="1"/>
          <w:numId w:val="1"/>
        </w:numPr>
        <w:shd w:val="clear" w:color="auto" w:fill="auto"/>
        <w:tabs>
          <w:tab w:val="clear" w:pos="708"/>
          <w:tab w:val="left" w:pos="1066" w:leader="none"/>
        </w:tabs>
        <w:ind w:firstLine="580"/>
        <w:jc w:val="both"/>
        <w:rPr/>
      </w:pPr>
      <w:r>
        <w:rPr/>
        <w:t>Требования, связанные с недостатками Товара, могут быть предъявлены Государственным заказчиком, если недостатки Товара обнаружены в течение гарантийного срока Товара.</w:t>
      </w:r>
    </w:p>
    <w:p>
      <w:pPr>
        <w:pStyle w:val="Normal"/>
        <w:numPr>
          <w:ilvl w:val="0"/>
          <w:numId w:val="0"/>
        </w:numPr>
        <w:shd w:val="clear" w:color="auto" w:fill="FFFFFF"/>
        <w:tabs>
          <w:tab w:val="clear" w:pos="708"/>
          <w:tab w:val="left" w:pos="180" w:leader="none"/>
        </w:tabs>
        <w:ind w:hanging="0" w:left="0" w:right="321"/>
        <w:jc w:val="both"/>
        <w:rPr>
          <w:rFonts w:ascii="Liberation Serif" w:hAnsi="Liberation Serif"/>
          <w:sz w:val="24"/>
          <w:szCs w:val="24"/>
        </w:rPr>
      </w:pPr>
      <w:r>
        <w:rPr>
          <w:rFonts w:cs="Times New Roman" w:ascii="Liberation Serif" w:hAnsi="Liberation Serif"/>
          <w:bCs/>
          <w:sz w:val="24"/>
          <w:szCs w:val="24"/>
        </w:rPr>
        <w:t xml:space="preserve">       </w:t>
      </w:r>
      <w:r>
        <w:rPr>
          <w:rFonts w:cs="Times New Roman" w:ascii="Liberation Serif" w:hAnsi="Liberation Serif"/>
          <w:bCs/>
          <w:sz w:val="24"/>
          <w:szCs w:val="24"/>
        </w:rPr>
        <w:t>4.6 Весь поставляемый Товар должен соответствовать требованиям Спецификации и Технического задания, правилам безопасности, нормам производства и реализации, должен быть новым Товаром (Товаром, который не был в употреблении, в том числе, который не был восстановлен) и иметь гарантийный срок  не менее 12 месяцев. Действия гарантии Поставщика начинается с даты подписания документа о приемке.</w:t>
      </w:r>
    </w:p>
    <w:p>
      <w:pPr>
        <w:pStyle w:val="Normal"/>
        <w:numPr>
          <w:ilvl w:val="0"/>
          <w:numId w:val="0"/>
        </w:numPr>
        <w:shd w:val="clear" w:color="auto" w:fill="FFFFFF"/>
        <w:tabs>
          <w:tab w:val="clear" w:pos="708"/>
          <w:tab w:val="left" w:pos="180" w:leader="none"/>
        </w:tabs>
        <w:ind w:hanging="0" w:left="0" w:right="321"/>
        <w:jc w:val="both"/>
        <w:rPr>
          <w:rFonts w:ascii="Liberation Serif" w:hAnsi="Liberation Serif"/>
          <w:sz w:val="24"/>
          <w:szCs w:val="24"/>
        </w:rPr>
      </w:pPr>
      <w:r>
        <w:rPr>
          <w:rFonts w:ascii="Liberation Serif" w:hAnsi="Liberation Serif"/>
          <w:sz w:val="24"/>
          <w:szCs w:val="24"/>
        </w:rPr>
      </w:r>
    </w:p>
    <w:p>
      <w:pPr>
        <w:pStyle w:val="15"/>
        <w:keepNext w:val="true"/>
        <w:keepLines/>
        <w:numPr>
          <w:ilvl w:val="0"/>
          <w:numId w:val="1"/>
        </w:numPr>
        <w:shd w:val="clear" w:color="auto" w:fill="auto"/>
        <w:tabs>
          <w:tab w:val="clear" w:pos="708"/>
          <w:tab w:val="left" w:pos="322" w:leader="none"/>
        </w:tabs>
        <w:rPr/>
      </w:pPr>
      <w:bookmarkStart w:id="12" w:name="bookmark11"/>
      <w:bookmarkStart w:id="13" w:name="bookmark10"/>
      <w:r>
        <w:rPr/>
        <w:t>ПОРЯДОК ПОСТАВКИ ТОВАРА</w:t>
      </w:r>
      <w:bookmarkEnd w:id="12"/>
      <w:bookmarkEnd w:id="13"/>
    </w:p>
    <w:p>
      <w:pPr>
        <w:pStyle w:val="14"/>
        <w:numPr>
          <w:ilvl w:val="1"/>
          <w:numId w:val="1"/>
        </w:numPr>
        <w:shd w:val="clear" w:color="auto" w:fill="auto"/>
        <w:tabs>
          <w:tab w:val="clear" w:pos="708"/>
          <w:tab w:val="left" w:pos="1066" w:leader="none"/>
        </w:tabs>
        <w:ind w:firstLine="580"/>
        <w:jc w:val="both"/>
        <w:rPr/>
      </w:pPr>
      <w:r>
        <w:rPr/>
        <w:t>Доставка до места поставки Товара должна осуществляться единовременно в полном объеме одной партией силами и средствами Поставщика.</w:t>
      </w:r>
    </w:p>
    <w:p>
      <w:pPr>
        <w:pStyle w:val="16"/>
        <w:ind w:firstLine="567"/>
        <w:jc w:val="both"/>
        <w:rPr>
          <w:rFonts w:ascii="Times New Roman" w:hAnsi="Times New Roman"/>
          <w:sz w:val="24"/>
          <w:szCs w:val="24"/>
        </w:rPr>
      </w:pPr>
      <w:r>
        <w:rPr>
          <w:color w:val="FF0000"/>
        </w:rPr>
        <w:t xml:space="preserve"> </w:t>
      </w:r>
      <w:r>
        <w:rPr>
          <w:rFonts w:ascii="Times New Roman" w:hAnsi="Times New Roman"/>
          <w:bCs/>
          <w:sz w:val="24"/>
          <w:szCs w:val="24"/>
        </w:rPr>
        <w:t xml:space="preserve">Поставщик уведомляет Государственного заказчика о точном времени и дате поставки Товара: по телефону 8-495-708-15-89, 8-960-766-43-25 (Рычков Александр Николаевич) </w:t>
      </w:r>
      <w:r>
        <w:rPr>
          <w:rFonts w:ascii="Times New Roman" w:hAnsi="Times New Roman"/>
          <w:bCs/>
          <w:sz w:val="24"/>
          <w:szCs w:val="24"/>
          <w:shd w:fill="FFFFFF" w:val="clear"/>
        </w:rPr>
        <w:t>, по электронной почте axo_msemo.ru,</w:t>
      </w:r>
      <w:r>
        <w:rPr>
          <w:rFonts w:ascii="Times New Roman" w:hAnsi="Times New Roman"/>
          <w:bCs/>
          <w:color w:val="000000"/>
          <w:kern w:val="0"/>
          <w:sz w:val="24"/>
          <w:szCs w:val="24"/>
          <w:lang w:val="ru-RU" w:eastAsia="ru-RU" w:bidi="ru-RU"/>
        </w:rPr>
        <w:t xml:space="preserve"> либо иным способом.</w:t>
      </w:r>
    </w:p>
    <w:p>
      <w:pPr>
        <w:pStyle w:val="16"/>
        <w:ind w:firstLine="567" w:right="13"/>
        <w:jc w:val="both"/>
        <w:rPr>
          <w:rFonts w:ascii="Times New Roman" w:hAnsi="Times New Roman"/>
          <w:bCs/>
          <w:sz w:val="24"/>
          <w:szCs w:val="24"/>
        </w:rPr>
      </w:pPr>
      <w:r>
        <w:rPr>
          <w:rFonts w:ascii="Times New Roman" w:hAnsi="Times New Roman"/>
          <w:bCs/>
          <w:sz w:val="24"/>
          <w:szCs w:val="24"/>
        </w:rPr>
        <w:t>Въезд машин на территорию Государственного заказчика (при необходимости) осуществляется по заранее оформленному пропуску в рабочие часы Государственного заказчика (9:00-17:00) с учетом обеденного времени (13:00-13:45) и не позднее, чем за 1 (один) час до окончания рабочего времени, с учетом выходных и праздничных дней.</w:t>
      </w:r>
    </w:p>
    <w:p>
      <w:pPr>
        <w:pStyle w:val="16"/>
        <w:ind w:firstLine="567" w:right="13"/>
        <w:jc w:val="both"/>
        <w:rPr>
          <w:rFonts w:ascii="Times New Roman" w:hAnsi="Times New Roman"/>
          <w:bCs/>
          <w:sz w:val="24"/>
          <w:szCs w:val="24"/>
        </w:rPr>
      </w:pPr>
      <w:r>
        <w:rPr>
          <w:rFonts w:ascii="Times New Roman" w:hAnsi="Times New Roman"/>
          <w:bCs/>
          <w:sz w:val="24"/>
          <w:szCs w:val="24"/>
        </w:rPr>
        <w:t xml:space="preserve">При приемке Товара Государственный заказчик проводит проверку Товара на предмет его соответствия по ассортименту, количеству, комплектности и товарному виду. В случае если Товар не соответствует требованиям Государственного заказчика, то новый Товар должен быть предоставлен на следующий рабочий день с даты получения уведомления Государственного заказчика. </w:t>
      </w:r>
    </w:p>
    <w:p>
      <w:pPr>
        <w:pStyle w:val="14"/>
        <w:numPr>
          <w:ilvl w:val="2"/>
          <w:numId w:val="1"/>
        </w:numPr>
        <w:shd w:val="clear" w:color="auto" w:fill="auto"/>
        <w:tabs>
          <w:tab w:val="clear" w:pos="708"/>
          <w:tab w:val="left" w:pos="1066" w:leader="none"/>
        </w:tabs>
        <w:ind w:firstLine="580"/>
        <w:jc w:val="both"/>
        <w:rPr/>
      </w:pPr>
      <w:r>
        <w:rPr/>
        <w:t>Условия поставки товара:</w:t>
      </w:r>
    </w:p>
    <w:p>
      <w:pPr>
        <w:pStyle w:val="16"/>
        <w:ind w:firstLine="567"/>
        <w:jc w:val="both"/>
        <w:rPr>
          <w:rFonts w:ascii="Times New Roman" w:hAnsi="Times New Roman"/>
          <w:bCs/>
          <w:sz w:val="24"/>
          <w:szCs w:val="24"/>
        </w:rPr>
      </w:pPr>
      <w:r>
        <w:rPr>
          <w:rFonts w:ascii="Times New Roman" w:hAnsi="Times New Roman"/>
          <w:bCs/>
          <w:sz w:val="24"/>
          <w:szCs w:val="24"/>
        </w:rPr>
        <w:t>Поставка Товара и оказание сопутствующих услуг, расходы на реализацию гарантийных обязательств осуществляются за счет Поставщика.</w:t>
      </w:r>
    </w:p>
    <w:p>
      <w:pPr>
        <w:pStyle w:val="16"/>
        <w:ind w:firstLine="567"/>
        <w:jc w:val="both"/>
        <w:rPr>
          <w:rFonts w:ascii="Times New Roman" w:hAnsi="Times New Roman"/>
          <w:bCs/>
          <w:sz w:val="24"/>
          <w:szCs w:val="24"/>
        </w:rPr>
      </w:pPr>
      <w:r>
        <w:rPr>
          <w:rFonts w:ascii="Times New Roman" w:hAnsi="Times New Roman"/>
          <w:bCs/>
          <w:sz w:val="24"/>
          <w:szCs w:val="24"/>
        </w:rPr>
        <w:t>В ходе выполнения  Контракта Поставщик оказывает сопутствующие поставке услуги, т.е.:</w:t>
      </w:r>
    </w:p>
    <w:p>
      <w:pPr>
        <w:pStyle w:val="14"/>
        <w:shd w:val="clear" w:color="auto" w:fill="auto"/>
        <w:tabs>
          <w:tab w:val="clear" w:pos="708"/>
          <w:tab w:val="left" w:pos="1066" w:leader="none"/>
        </w:tabs>
        <w:ind w:firstLine="567"/>
        <w:jc w:val="both"/>
        <w:rPr>
          <w:bCs/>
        </w:rPr>
      </w:pPr>
      <w:r>
        <w:rPr>
          <w:bCs/>
        </w:rPr>
        <w:t xml:space="preserve">- доставку и разгрузку поставленного Товара на этаж в рабочий кабинет Государственного заказчика;  </w:t>
      </w:r>
    </w:p>
    <w:p>
      <w:pPr>
        <w:pStyle w:val="Normal"/>
        <w:ind w:firstLine="709"/>
        <w:jc w:val="both"/>
        <w:rPr>
          <w:highlight w:val="none"/>
          <w:shd w:fill="FFFFFF" w:val="clear"/>
        </w:rPr>
      </w:pPr>
      <w:r>
        <w:rPr>
          <w:rFonts w:ascii="Times New Roman" w:hAnsi="Times New Roman"/>
          <w:b w:val="false"/>
          <w:bCs w:val="false"/>
          <w:i w:val="false"/>
          <w:iCs w:val="false"/>
          <w:sz w:val="24"/>
          <w:szCs w:val="24"/>
          <w:shd w:fill="FFFFFF" w:val="clear"/>
        </w:rPr>
        <w:t>5.1.2. Датой поставки Товара считается:</w:t>
      </w:r>
    </w:p>
    <w:p>
      <w:pPr>
        <w:pStyle w:val="16"/>
        <w:ind w:firstLine="709"/>
        <w:jc w:val="both"/>
        <w:rPr>
          <w:highlight w:val="none"/>
          <w:shd w:fill="FFFFFF" w:val="clear"/>
        </w:rPr>
      </w:pPr>
      <w:r>
        <w:rPr>
          <w:rFonts w:ascii="Times New Roman" w:hAnsi="Times New Roman"/>
          <w:b w:val="false"/>
          <w:bCs w:val="false"/>
          <w:i w:val="false"/>
          <w:iCs w:val="false"/>
          <w:sz w:val="24"/>
          <w:szCs w:val="24"/>
          <w:shd w:fill="FFFFFF" w:val="clear"/>
        </w:rPr>
        <w:t>- в случае предоставления документов на бумажном носителе, дата подписания Сторонами товарной накладной;</w:t>
      </w:r>
    </w:p>
    <w:p>
      <w:pPr>
        <w:pStyle w:val="16"/>
        <w:ind w:firstLine="709"/>
        <w:jc w:val="both"/>
        <w:rPr>
          <w:rFonts w:ascii="Liberation Serif" w:hAnsi="Liberation Serif"/>
          <w:b w:val="false"/>
          <w:bCs w:val="false"/>
          <w:i w:val="false"/>
          <w:i w:val="false"/>
          <w:iCs w:val="false"/>
          <w:sz w:val="24"/>
          <w:szCs w:val="24"/>
          <w:highlight w:val="none"/>
          <w:shd w:fill="FFFFFF" w:val="clear"/>
        </w:rPr>
      </w:pPr>
      <w:r>
        <w:rPr>
          <w:rFonts w:ascii="Liberation Serif" w:hAnsi="Liberation Serif"/>
          <w:b w:val="false"/>
          <w:bCs w:val="false"/>
          <w:i w:val="false"/>
          <w:iCs w:val="false"/>
          <w:sz w:val="24"/>
          <w:szCs w:val="24"/>
          <w:shd w:fill="FFFFFF" w:val="clear"/>
        </w:rPr>
        <w:t>-  в случае обмена через операторов электронного документооборота электронными документами, дата подписания Сторонами</w:t>
      </w:r>
      <w:r>
        <w:rPr>
          <w:rFonts w:ascii="Times New Roman" w:hAnsi="Times New Roman"/>
          <w:b w:val="false"/>
          <w:bCs w:val="false"/>
          <w:i w:val="false"/>
          <w:iCs w:val="false"/>
          <w:sz w:val="24"/>
          <w:szCs w:val="24"/>
          <w:shd w:fill="FFFFFF" w:val="clear"/>
        </w:rPr>
        <w:t xml:space="preserve"> УПД формата 5.03, утвержденного  </w:t>
      </w:r>
      <w:bookmarkStart w:id="14" w:name="ctl00_ctl03_ctl01_td_title_Копия_1"/>
      <w:bookmarkEnd w:id="14"/>
      <w:r>
        <w:rPr>
          <w:rFonts w:eastAsia="Times New Roman" w:cs="Times New Roman" w:ascii="Times New Roman" w:hAnsi="Times New Roman"/>
          <w:b w:val="false"/>
          <w:bCs w:val="false"/>
          <w:i w:val="false"/>
          <w:iCs w:val="false"/>
          <w:sz w:val="24"/>
          <w:szCs w:val="24"/>
          <w:shd w:fill="FFFFFF" w:val="clear"/>
        </w:rPr>
        <w:t>Приказом ФНС России от 19.12.2023 № ЕД-7-26/970@.</w:t>
      </w:r>
      <w:r>
        <w:rPr>
          <w:rFonts w:ascii="Liberation Serif" w:hAnsi="Liberation Serif"/>
          <w:b w:val="false"/>
          <w:bCs w:val="false"/>
          <w:i w:val="false"/>
          <w:iCs w:val="false"/>
          <w:sz w:val="24"/>
          <w:szCs w:val="24"/>
          <w:shd w:fill="FFFFFF" w:val="clear"/>
        </w:rPr>
        <w:t xml:space="preserve"> </w:t>
      </w:r>
    </w:p>
    <w:p>
      <w:pPr>
        <w:pStyle w:val="14"/>
        <w:numPr>
          <w:ilvl w:val="1"/>
          <w:numId w:val="1"/>
        </w:numPr>
        <w:shd w:val="clear" w:color="auto" w:fill="auto"/>
        <w:tabs>
          <w:tab w:val="clear" w:pos="708"/>
          <w:tab w:val="left" w:pos="1066" w:leader="none"/>
        </w:tabs>
        <w:ind w:firstLine="580"/>
        <w:jc w:val="both"/>
        <w:rPr/>
      </w:pPr>
      <w:r>
        <w:rPr/>
        <w:t>Поставка Товара должна осуществляться в упаковке, отвечающей требованиям ГОСТов, способу транспортировки и обеспечивающей сохранность целостности и надлежащего товарного вида Товара. Поставщик несет ответственность за всякого рода порчу Товара до приемки его Государственным заказчиком вследствие некачественной упаковки или несоблюдения инструкции по хранению.</w:t>
      </w:r>
    </w:p>
    <w:p>
      <w:pPr>
        <w:pStyle w:val="14"/>
        <w:numPr>
          <w:ilvl w:val="1"/>
          <w:numId w:val="1"/>
        </w:numPr>
        <w:shd w:val="clear" w:color="auto" w:fill="auto"/>
        <w:tabs>
          <w:tab w:val="clear" w:pos="708"/>
          <w:tab w:val="left" w:pos="1066" w:leader="none"/>
        </w:tabs>
        <w:ind w:firstLine="580"/>
        <w:jc w:val="both"/>
        <w:rPr/>
      </w:pPr>
      <w:r>
        <w:rPr/>
        <w:t>Поставщик обязан поставить Товар Государственному заказчику, указанный в Спецификации (Приложение № 1 к Контракту). В случае предоставления Товара, не указанного в Спецификации (Приложение № 1 к Контракту) его оплата не производится, а Товар возвращается Поставщику без оплаты.</w:t>
      </w:r>
    </w:p>
    <w:p>
      <w:pPr>
        <w:pStyle w:val="14"/>
        <w:numPr>
          <w:ilvl w:val="0"/>
          <w:numId w:val="0"/>
        </w:numPr>
        <w:shd w:val="clear" w:color="auto" w:fill="auto"/>
        <w:tabs>
          <w:tab w:val="clear" w:pos="708"/>
          <w:tab w:val="left" w:pos="1066" w:leader="none"/>
        </w:tabs>
        <w:ind w:hanging="0" w:left="0"/>
        <w:jc w:val="both"/>
        <w:rPr/>
      </w:pPr>
      <w:r>
        <w:rPr/>
      </w:r>
    </w:p>
    <w:p>
      <w:pPr>
        <w:pStyle w:val="14"/>
        <w:numPr>
          <w:ilvl w:val="1"/>
          <w:numId w:val="1"/>
        </w:numPr>
        <w:shd w:val="clear" w:color="auto" w:fill="auto"/>
        <w:tabs>
          <w:tab w:val="clear" w:pos="708"/>
          <w:tab w:val="left" w:pos="1066" w:leader="none"/>
        </w:tabs>
        <w:spacing w:before="0" w:after="260"/>
        <w:ind w:firstLine="580"/>
        <w:jc w:val="both"/>
        <w:rPr/>
      </w:pPr>
      <w:r>
        <w:rPr/>
        <w:t>Поставщик обязуется поставить Товар Государственному заказчику свободным от любых прав третьих лиц.</w:t>
      </w:r>
    </w:p>
    <w:p>
      <w:pPr>
        <w:pStyle w:val="15"/>
        <w:keepNext w:val="true"/>
        <w:keepLines/>
        <w:numPr>
          <w:ilvl w:val="0"/>
          <w:numId w:val="1"/>
        </w:numPr>
        <w:shd w:val="clear" w:color="auto" w:fill="auto"/>
        <w:tabs>
          <w:tab w:val="clear" w:pos="708"/>
          <w:tab w:val="left" w:pos="318" w:leader="none"/>
        </w:tabs>
        <w:rPr/>
      </w:pPr>
      <w:bookmarkStart w:id="15" w:name="bookmark12"/>
      <w:bookmarkStart w:id="16" w:name="bookmark13"/>
      <w:r>
        <w:rPr/>
        <w:t>ПОРЯДОК ПРИЕМКИ ТОВАРА</w:t>
      </w:r>
      <w:bookmarkEnd w:id="15"/>
      <w:bookmarkEnd w:id="16"/>
    </w:p>
    <w:p>
      <w:pPr>
        <w:pStyle w:val="14"/>
        <w:numPr>
          <w:ilvl w:val="1"/>
          <w:numId w:val="1"/>
        </w:numPr>
        <w:shd w:val="clear" w:color="auto" w:fill="auto"/>
        <w:tabs>
          <w:tab w:val="clear" w:pos="708"/>
          <w:tab w:val="left" w:pos="1066" w:leader="none"/>
        </w:tabs>
        <w:ind w:firstLine="580"/>
        <w:jc w:val="both"/>
        <w:rPr>
          <w:color w:val="FF0000"/>
        </w:rPr>
      </w:pPr>
      <w:r>
        <w:rPr/>
        <w:t xml:space="preserve">Приемка Товара по количеству и качеству производится в помещении Государственного заказчика в соответствии с действующим законодательством Российской Федерации </w:t>
      </w:r>
    </w:p>
    <w:p>
      <w:pPr>
        <w:pStyle w:val="14"/>
        <w:numPr>
          <w:ilvl w:val="1"/>
          <w:numId w:val="1"/>
        </w:numPr>
        <w:shd w:val="clear" w:color="auto" w:fill="auto"/>
        <w:tabs>
          <w:tab w:val="clear" w:pos="708"/>
          <w:tab w:val="left" w:pos="1066" w:leader="none"/>
        </w:tabs>
        <w:ind w:firstLine="580"/>
        <w:jc w:val="both"/>
        <w:rPr/>
      </w:pPr>
      <w:r>
        <w:rPr/>
        <w:t>Приемка Товара по количеству производится по товарной накладной и должна быть полностью завершена в день поставки.</w:t>
      </w:r>
    </w:p>
    <w:p>
      <w:pPr>
        <w:pStyle w:val="14"/>
        <w:shd w:val="clear" w:color="auto" w:fill="auto"/>
        <w:ind w:firstLine="580"/>
        <w:jc w:val="both"/>
        <w:rPr/>
      </w:pPr>
      <w:r>
        <w:rPr/>
        <w:t>Приемка поставленного Товара по количеству включает в себя:</w:t>
      </w:r>
    </w:p>
    <w:p>
      <w:pPr>
        <w:pStyle w:val="14"/>
        <w:shd w:val="clear" w:color="auto" w:fill="auto"/>
        <w:ind w:firstLine="580"/>
        <w:jc w:val="both"/>
        <w:rPr/>
      </w:pPr>
      <w:r>
        <w:rPr/>
        <w:t>- контроль наличия/отсутствия внешних повреждений упаковки;</w:t>
      </w:r>
    </w:p>
    <w:p>
      <w:pPr>
        <w:pStyle w:val="14"/>
        <w:shd w:val="clear" w:color="auto" w:fill="auto"/>
        <w:ind w:firstLine="580"/>
        <w:jc w:val="both"/>
        <w:rPr/>
      </w:pPr>
      <w:r>
        <w:rPr/>
        <w:t>- проверка количества поставленного Товара на соответствие спецификации к настоящему Контракту.</w:t>
      </w:r>
    </w:p>
    <w:p>
      <w:pPr>
        <w:pStyle w:val="14"/>
        <w:numPr>
          <w:ilvl w:val="1"/>
          <w:numId w:val="1"/>
        </w:numPr>
        <w:shd w:val="clear" w:color="auto" w:fill="auto"/>
        <w:tabs>
          <w:tab w:val="clear" w:pos="708"/>
          <w:tab w:val="left" w:pos="1066" w:leader="none"/>
        </w:tabs>
        <w:ind w:firstLine="580"/>
        <w:jc w:val="both"/>
        <w:rPr/>
      </w:pPr>
      <w:r>
        <w:rPr/>
        <w:t>Для проверки поставленного Товара в части соответствия условиям настоящего Контракта Государственный заказчик проводит экспертизу. Экспертиза может проводиться Государственным заказчиком своими силами или к её проведению могут привлекаться независимые эксперты (экспертные организации).</w:t>
      </w:r>
    </w:p>
    <w:p>
      <w:pPr>
        <w:pStyle w:val="14"/>
        <w:numPr>
          <w:ilvl w:val="1"/>
          <w:numId w:val="1"/>
        </w:numPr>
        <w:tabs>
          <w:tab w:val="clear" w:pos="708"/>
          <w:tab w:val="left" w:pos="1066" w:leader="none"/>
        </w:tabs>
        <w:ind w:firstLine="567"/>
        <w:jc w:val="both"/>
        <w:rPr/>
      </w:pPr>
      <w:r>
        <w:rPr/>
        <w:t>В течение 5 (пяти) рабочих дней с момента предоставления Акта сдачи-приемки Товара и документов согласно п.3.3.11 Контракта. Заказчик осуществляет приемку и экспертизу поставленного Товара (при необходимости) на соответствие количества, объема и соответствия Товара характеристикам и требованиям, указанным в Спецификации (Приложение № 1 к Контракту) и в Техническом задании (Приложение №2 к Контракту).</w:t>
      </w:r>
    </w:p>
    <w:p>
      <w:pPr>
        <w:pStyle w:val="14"/>
        <w:shd w:val="clear" w:color="auto" w:fill="auto"/>
        <w:tabs>
          <w:tab w:val="clear" w:pos="708"/>
          <w:tab w:val="left" w:pos="1066" w:leader="none"/>
        </w:tabs>
        <w:ind w:firstLine="709"/>
        <w:jc w:val="both"/>
        <w:rPr/>
      </w:pPr>
      <w:r>
        <w:rPr/>
        <w:t>При отсутствии замечаний, Государственный заказчик подписывает Акт сдачи-приемки Товара/УПД, либо мотивированный отказ от приемки  поставленного Товара.</w:t>
      </w:r>
    </w:p>
    <w:p>
      <w:pPr>
        <w:pStyle w:val="14"/>
        <w:numPr>
          <w:ilvl w:val="1"/>
          <w:numId w:val="1"/>
        </w:numPr>
        <w:shd w:val="clear" w:color="auto" w:fill="auto"/>
        <w:tabs>
          <w:tab w:val="clear" w:pos="708"/>
          <w:tab w:val="left" w:pos="1066" w:leader="none"/>
        </w:tabs>
        <w:ind w:firstLine="580"/>
        <w:jc w:val="both"/>
        <w:rPr/>
      </w:pPr>
      <w:r>
        <w:rPr/>
        <w:t>В случае выявления несоответствия Товара характеристикам, указанным в специ-</w:t>
      </w:r>
    </w:p>
    <w:p>
      <w:pPr>
        <w:pStyle w:val="16"/>
        <w:jc w:val="both"/>
        <w:rPr/>
      </w:pPr>
      <w:r>
        <w:rPr>
          <w:rFonts w:ascii="Times New Roman" w:hAnsi="Times New Roman"/>
          <w:sz w:val="24"/>
          <w:szCs w:val="24"/>
        </w:rPr>
        <w:t>фикации к настоящему Контракту, а также несоответствия Товара требованиям, установленным действующим законодательством Российской Федерации, условиям Контракта, Государственный заказчик направляет Поставщику мотивированный отказ от приемки поставленного Товара (Акт рекламаций), с указанием замечаний и сроков их устранения, в том числе, о замене ненадлежащего Товара. Акт сдачи-приемки Товара в этом случае Государственным заказчиком не подписывается. Поставщик обязан устранить выявленные замечания без взимания платы в срок, указанный в Акте рекламаций.</w:t>
      </w:r>
    </w:p>
    <w:p>
      <w:pPr>
        <w:pStyle w:val="14"/>
        <w:numPr>
          <w:ilvl w:val="1"/>
          <w:numId w:val="1"/>
        </w:numPr>
        <w:shd w:val="clear" w:color="auto" w:fill="auto"/>
        <w:tabs>
          <w:tab w:val="clear" w:pos="708"/>
          <w:tab w:val="left" w:pos="1066" w:leader="none"/>
        </w:tabs>
        <w:ind w:firstLine="580"/>
        <w:jc w:val="both"/>
        <w:rPr/>
      </w:pPr>
      <w:r>
        <w:rPr/>
        <w:t>Поставщик направляет Государственному заказчику письменное уведомление об устранении замечаний, указанных в Акте рекламаций, в течение 1 (одного) рабочего дня со дня их устранения.</w:t>
      </w:r>
    </w:p>
    <w:p>
      <w:pPr>
        <w:pStyle w:val="14"/>
        <w:numPr>
          <w:ilvl w:val="1"/>
          <w:numId w:val="1"/>
        </w:numPr>
        <w:shd w:val="clear" w:color="auto" w:fill="auto"/>
        <w:tabs>
          <w:tab w:val="clear" w:pos="708"/>
          <w:tab w:val="left" w:pos="1066" w:leader="none"/>
        </w:tabs>
        <w:spacing w:before="0" w:after="260"/>
        <w:ind w:firstLine="580"/>
        <w:jc w:val="both"/>
        <w:rPr/>
      </w:pPr>
      <w:r>
        <w:rPr/>
        <w:t>Государственный заказчик в течение 3 (трех) рабочих дней с даты получения письменного уведомления об устранении замечаний, указанных в Акте рекламаций, обязан обеспечить приемку Товара либо отказаться от исполнения Контракта.</w:t>
      </w:r>
    </w:p>
    <w:p>
      <w:pPr>
        <w:pStyle w:val="Style27"/>
        <w:numPr>
          <w:ilvl w:val="0"/>
          <w:numId w:val="1"/>
        </w:numPr>
        <w:jc w:val="center"/>
        <w:rPr/>
      </w:pPr>
      <w:r>
        <w:rPr>
          <w:b/>
          <w:szCs w:val="24"/>
        </w:rPr>
        <w:t>АНТИКОРРУПЦИОННАЯ ОГОВОРКА</w:t>
      </w:r>
    </w:p>
    <w:p>
      <w:pPr>
        <w:pStyle w:val="Style27"/>
        <w:numPr>
          <w:ilvl w:val="0"/>
          <w:numId w:val="0"/>
        </w:numPr>
        <w:ind w:hanging="0" w:left="0" w:right="0"/>
        <w:jc w:val="both"/>
        <w:rPr>
          <w:b/>
          <w:szCs w:val="24"/>
        </w:rPr>
      </w:pPr>
      <w:r>
        <w:rPr>
          <w:b/>
          <w:szCs w:val="24"/>
        </w:rPr>
      </w:r>
    </w:p>
    <w:p>
      <w:pPr>
        <w:pStyle w:val="Style27"/>
        <w:numPr>
          <w:ilvl w:val="0"/>
          <w:numId w:val="0"/>
        </w:numPr>
        <w:ind w:hanging="0" w:left="0" w:right="0"/>
        <w:jc w:val="both"/>
        <w:rPr/>
      </w:pPr>
      <w:r>
        <w:rPr>
          <w:szCs w:val="24"/>
        </w:rPr>
        <w:t xml:space="preserve">      </w:t>
      </w:r>
      <w:r>
        <w:rPr>
          <w:szCs w:val="24"/>
        </w:rPr>
        <w:t>7.1.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Style27"/>
        <w:numPr>
          <w:ilvl w:val="0"/>
          <w:numId w:val="0"/>
        </w:numPr>
        <w:ind w:hanging="0" w:left="0" w:right="0"/>
        <w:jc w:val="both"/>
        <w:rPr/>
      </w:pPr>
      <w:r>
        <w:rPr>
          <w:szCs w:val="24"/>
        </w:rPr>
        <w:t xml:space="preserve">      </w:t>
      </w:r>
      <w:r>
        <w:rPr>
          <w:szCs w:val="24"/>
        </w:rPr>
        <w:t>7.2.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Style27"/>
        <w:numPr>
          <w:ilvl w:val="0"/>
          <w:numId w:val="0"/>
        </w:numPr>
        <w:ind w:hanging="0" w:left="0" w:right="0"/>
        <w:jc w:val="both"/>
        <w:rPr/>
      </w:pPr>
      <w:r>
        <w:rPr>
          <w:szCs w:val="24"/>
        </w:rPr>
        <w:t xml:space="preserve">      </w:t>
      </w:r>
      <w:r>
        <w:rPr>
          <w:szCs w:val="24"/>
        </w:rPr>
        <w:t>7.3. В случае возникновения у Стороны подозрений, что произошло или может произойти нарушение каких-либо положений, установленных п. 7.1. Контракта, соответствующая Сторона обязана уведомить другую Сторону в письменной форме не позднее следующего рабочего дня.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7.1.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требование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pPr>
        <w:pStyle w:val="Style27"/>
        <w:numPr>
          <w:ilvl w:val="0"/>
          <w:numId w:val="0"/>
        </w:numPr>
        <w:ind w:hanging="0" w:left="0" w:right="0"/>
        <w:jc w:val="both"/>
        <w:rPr/>
      </w:pPr>
      <w:r>
        <w:rPr>
          <w:szCs w:val="24"/>
        </w:rPr>
        <w:t xml:space="preserve">   </w:t>
      </w:r>
      <w:r>
        <w:rPr>
          <w:szCs w:val="24"/>
        </w:rPr>
        <w:t>7.4. Каналы связи «Государственного заказчика»: 8 (499) 152-05-60, официальный сайт http://50.gbmse.ru.</w:t>
      </w:r>
    </w:p>
    <w:p>
      <w:pPr>
        <w:pStyle w:val="Style27"/>
        <w:numPr>
          <w:ilvl w:val="0"/>
          <w:numId w:val="0"/>
        </w:numPr>
        <w:ind w:hanging="0" w:left="0" w:right="0"/>
        <w:jc w:val="both"/>
        <w:rPr/>
      </w:pPr>
      <w:r>
        <w:rPr>
          <w:szCs w:val="24"/>
        </w:rPr>
        <w:t xml:space="preserve">    </w:t>
      </w:r>
      <w:r>
        <w:rPr>
          <w:szCs w:val="24"/>
        </w:rPr>
        <w:t>7.5.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pPr>
        <w:pStyle w:val="Style27"/>
        <w:numPr>
          <w:ilvl w:val="0"/>
          <w:numId w:val="0"/>
        </w:numPr>
        <w:ind w:hanging="0" w:left="0" w:right="0"/>
        <w:jc w:val="both"/>
        <w:rPr>
          <w:szCs w:val="24"/>
        </w:rPr>
      </w:pPr>
      <w:r>
        <w:rPr>
          <w:szCs w:val="24"/>
        </w:rPr>
      </w:r>
    </w:p>
    <w:p>
      <w:pPr>
        <w:pStyle w:val="15"/>
        <w:numPr>
          <w:ilvl w:val="0"/>
          <w:numId w:val="1"/>
        </w:numPr>
        <w:shd w:val="clear" w:color="auto" w:fill="auto"/>
        <w:tabs>
          <w:tab w:val="clear" w:pos="708"/>
          <w:tab w:val="left" w:pos="318" w:leader="none"/>
        </w:tabs>
        <w:rPr/>
      </w:pPr>
      <w:bookmarkStart w:id="17" w:name="bookmark14"/>
      <w:bookmarkStart w:id="18" w:name="bookmark15"/>
      <w:r>
        <w:rPr/>
        <w:t>СРОК ДЕЙСТВИЯ КОНТРАКТА</w:t>
      </w:r>
      <w:bookmarkEnd w:id="17"/>
      <w:bookmarkEnd w:id="18"/>
    </w:p>
    <w:p>
      <w:pPr>
        <w:pStyle w:val="14"/>
        <w:numPr>
          <w:ilvl w:val="1"/>
          <w:numId w:val="1"/>
        </w:numPr>
        <w:shd w:val="clear" w:color="auto" w:fill="auto"/>
        <w:tabs>
          <w:tab w:val="clear" w:pos="708"/>
          <w:tab w:val="left" w:pos="1066" w:leader="none"/>
          <w:tab w:val="left" w:pos="1134" w:leader="none"/>
          <w:tab w:val="left" w:pos="2222" w:leader="underscore"/>
          <w:tab w:val="left" w:pos="8469" w:leader="none"/>
        </w:tabs>
        <w:spacing w:before="0" w:after="260"/>
        <w:ind w:firstLine="567"/>
        <w:jc w:val="both"/>
        <w:rPr/>
      </w:pPr>
      <w:r>
        <w:rPr/>
        <w:t>Контракт вступает в силу с момента подписания обеими Сторонами и действует по 31 августа 2026 г. включительно. Окончание срока действия Контракта не влечет прекращения неисполненных обязательств Сторон по Контракту, в том числе оплате и гарантийных обязательств Поставщика.</w:t>
      </w:r>
    </w:p>
    <w:p>
      <w:pPr>
        <w:pStyle w:val="15"/>
        <w:keepNext w:val="true"/>
        <w:keepLines/>
        <w:numPr>
          <w:ilvl w:val="0"/>
          <w:numId w:val="1"/>
        </w:numPr>
        <w:shd w:val="clear" w:color="auto" w:fill="auto"/>
        <w:tabs>
          <w:tab w:val="clear" w:pos="708"/>
          <w:tab w:val="left" w:pos="318" w:leader="none"/>
        </w:tabs>
        <w:rPr/>
      </w:pPr>
      <w:bookmarkStart w:id="19" w:name="bookmark17"/>
      <w:bookmarkStart w:id="20" w:name="bookmark16"/>
      <w:r>
        <w:rPr/>
        <w:t>ФОРС-МАЖОР</w:t>
      </w:r>
      <w:bookmarkEnd w:id="19"/>
      <w:bookmarkEnd w:id="20"/>
    </w:p>
    <w:p>
      <w:pPr>
        <w:pStyle w:val="14"/>
        <w:numPr>
          <w:ilvl w:val="1"/>
          <w:numId w:val="1"/>
        </w:numPr>
        <w:shd w:val="clear" w:color="auto" w:fill="auto"/>
        <w:tabs>
          <w:tab w:val="clear" w:pos="708"/>
          <w:tab w:val="left" w:pos="1066" w:leader="none"/>
        </w:tabs>
        <w:ind w:firstLine="580"/>
        <w:jc w:val="both"/>
        <w:rPr/>
      </w:pPr>
      <w:r>
        <w:rPr/>
        <w:t>Стороны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w:t>
      </w:r>
    </w:p>
    <w:p>
      <w:pPr>
        <w:pStyle w:val="14"/>
        <w:shd w:val="clear" w:color="auto" w:fill="auto"/>
        <w:ind w:firstLine="580"/>
        <w:jc w:val="both"/>
        <w:rPr/>
      </w:pPr>
      <w:r>
        <w:rPr/>
        <w:t>Под обстоятельствами непреодолимой силы подразумеваются внешние чрезвычайные события, политические и экономические изменения, непосредственно влияющие на исполнение контрактных обязательств, которые наступили независимо от воли Сторон (пожары, землетрясения, наводнения, любые другие стихийные бедствия, эпидемии, аварии, взрывы, несчастные случаи, забастовки, массовые беспорядки, волнения гражданского населения, действия враждебных сил, война, а также установления органов власти всех уровней, предписания судебных органов), временное или полное прекращение финансирования Государственного заказчика или финансирование в неполном объеме, инфляция, а также все другие события и обстоятельства, которые Стороны не могли предвидеть и/или предотвратить.</w:t>
      </w:r>
    </w:p>
    <w:p>
      <w:pPr>
        <w:pStyle w:val="14"/>
        <w:numPr>
          <w:ilvl w:val="1"/>
          <w:numId w:val="1"/>
        </w:numPr>
        <w:shd w:val="clear" w:color="auto" w:fill="auto"/>
        <w:tabs>
          <w:tab w:val="clear" w:pos="708"/>
          <w:tab w:val="left" w:pos="1066" w:leader="none"/>
        </w:tabs>
        <w:ind w:firstLine="580"/>
        <w:jc w:val="both"/>
        <w:rPr/>
      </w:pPr>
      <w:r>
        <w:rPr/>
        <w:t>Сторона, которая по причине обстоятельств непреодолимой силы не может исполнить обязательства по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pPr>
        <w:pStyle w:val="14"/>
        <w:numPr>
          <w:ilvl w:val="1"/>
          <w:numId w:val="1"/>
        </w:numPr>
        <w:shd w:val="clear" w:color="auto" w:fill="auto"/>
        <w:tabs>
          <w:tab w:val="clear" w:pos="708"/>
          <w:tab w:val="left" w:pos="1066" w:leader="none"/>
        </w:tabs>
        <w:ind w:firstLine="580"/>
        <w:jc w:val="both"/>
        <w:rPr/>
      </w:pPr>
      <w:r>
        <w:rPr/>
        <w:t>Неуведомление, несвоевременное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pPr>
        <w:pStyle w:val="14"/>
        <w:shd w:val="clear" w:color="auto" w:fill="auto"/>
        <w:tabs>
          <w:tab w:val="clear" w:pos="708"/>
          <w:tab w:val="left" w:pos="1066" w:leader="none"/>
        </w:tabs>
        <w:ind w:hanging="0" w:left="580"/>
        <w:jc w:val="both"/>
        <w:rPr/>
      </w:pPr>
      <w:r>
        <w:rPr/>
      </w:r>
    </w:p>
    <w:p>
      <w:pPr>
        <w:pStyle w:val="15"/>
        <w:keepNext w:val="true"/>
        <w:keepLines/>
        <w:numPr>
          <w:ilvl w:val="0"/>
          <w:numId w:val="1"/>
        </w:numPr>
        <w:shd w:val="clear" w:color="auto" w:fill="auto"/>
        <w:tabs>
          <w:tab w:val="clear" w:pos="708"/>
          <w:tab w:val="left" w:pos="330" w:leader="none"/>
        </w:tabs>
        <w:rPr/>
      </w:pPr>
      <w:bookmarkStart w:id="21" w:name="bookmark19"/>
      <w:bookmarkStart w:id="22" w:name="bookmark18"/>
      <w:r>
        <w:rPr/>
        <w:t>ОТВЕТСТВЕННОСТЬ СТОРОН</w:t>
      </w:r>
      <w:bookmarkEnd w:id="21"/>
      <w:bookmarkEnd w:id="22"/>
    </w:p>
    <w:p>
      <w:pPr>
        <w:pStyle w:val="14"/>
        <w:numPr>
          <w:ilvl w:val="1"/>
          <w:numId w:val="1"/>
        </w:numPr>
        <w:shd w:val="clear" w:color="auto" w:fill="auto"/>
        <w:tabs>
          <w:tab w:val="clear" w:pos="708"/>
          <w:tab w:val="left" w:pos="1066" w:leader="none"/>
        </w:tabs>
        <w:ind w:firstLine="580"/>
        <w:jc w:val="both"/>
        <w:rPr/>
      </w:pPr>
      <w:r>
        <w:rPr/>
        <w:t>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pPr>
        <w:pStyle w:val="14"/>
        <w:numPr>
          <w:ilvl w:val="1"/>
          <w:numId w:val="1"/>
        </w:numPr>
        <w:shd w:val="clear" w:color="auto" w:fill="auto"/>
        <w:tabs>
          <w:tab w:val="clear" w:pos="708"/>
          <w:tab w:val="left" w:pos="1066" w:leader="none"/>
        </w:tabs>
        <w:spacing w:before="0" w:after="260"/>
        <w:ind w:firstLine="580"/>
        <w:jc w:val="both"/>
        <w:rPr/>
      </w:pPr>
      <w:r>
        <w:rPr/>
        <w:t>Ущерб, нанесенный третьему лицу, в ходе поставки товара и произошедший по вине Поставщика, компенсируется за счет Поставщика.</w:t>
      </w:r>
    </w:p>
    <w:p>
      <w:pPr>
        <w:pStyle w:val="15"/>
        <w:keepNext w:val="true"/>
        <w:keepLines/>
        <w:numPr>
          <w:ilvl w:val="0"/>
          <w:numId w:val="1"/>
        </w:numPr>
        <w:shd w:val="clear" w:color="auto" w:fill="auto"/>
        <w:tabs>
          <w:tab w:val="clear" w:pos="708"/>
          <w:tab w:val="left" w:pos="442" w:leader="none"/>
        </w:tabs>
        <w:rPr/>
      </w:pPr>
      <w:bookmarkStart w:id="23" w:name="bookmark21"/>
      <w:bookmarkStart w:id="24" w:name="bookmark20"/>
      <w:r>
        <w:rPr/>
        <w:t>РАЗРЕШЕНИЕ СПОРОВ</w:t>
      </w:r>
      <w:bookmarkEnd w:id="23"/>
      <w:bookmarkEnd w:id="24"/>
    </w:p>
    <w:p>
      <w:pPr>
        <w:pStyle w:val="14"/>
        <w:numPr>
          <w:ilvl w:val="1"/>
          <w:numId w:val="1"/>
        </w:numPr>
        <w:shd w:val="clear" w:color="auto" w:fill="auto"/>
        <w:tabs>
          <w:tab w:val="clear" w:pos="708"/>
          <w:tab w:val="left" w:pos="1279" w:leader="none"/>
        </w:tabs>
        <w:ind w:firstLine="580"/>
        <w:jc w:val="both"/>
        <w:rPr/>
      </w:pPr>
      <w:r>
        <w:rPr/>
        <w:t xml:space="preserve">В случае возникновения споров и разногласий при исполнении контракта Стороны обязуются принимать все меры к разрешению разногласий путем переговоров,в том числе в досудебном порядке. </w:t>
      </w:r>
    </w:p>
    <w:p>
      <w:pPr>
        <w:pStyle w:val="14"/>
        <w:numPr>
          <w:ilvl w:val="1"/>
          <w:numId w:val="1"/>
        </w:numPr>
        <w:shd w:val="clear" w:color="auto" w:fill="auto"/>
        <w:tabs>
          <w:tab w:val="clear" w:pos="708"/>
          <w:tab w:val="left" w:pos="1279" w:leader="none"/>
        </w:tabs>
        <w:ind w:firstLine="580"/>
        <w:jc w:val="both"/>
        <w:rPr/>
      </w:pPr>
      <w:r>
        <w:rPr/>
        <w:t>Сторона, право которой нарушено, до обращения в Арбитражный суд обязана предъявить письменно другой Стороне претензию с изложением своих требований.</w:t>
      </w:r>
    </w:p>
    <w:p>
      <w:pPr>
        <w:pStyle w:val="14"/>
        <w:numPr>
          <w:ilvl w:val="2"/>
          <w:numId w:val="1"/>
        </w:numPr>
        <w:shd w:val="clear" w:color="auto" w:fill="auto"/>
        <w:tabs>
          <w:tab w:val="clear" w:pos="708"/>
          <w:tab w:val="left" w:pos="1369" w:leader="none"/>
        </w:tabs>
        <w:spacing w:lineRule="auto" w:line="276"/>
        <w:ind w:firstLine="580"/>
        <w:jc w:val="both"/>
        <w:rPr/>
      </w:pPr>
      <w:r>
        <w:rPr/>
        <w:t>Претензия направляется нарочно или по электронной почте и (или) по факсу и одновременно высылаться по почте заказным письмом. Датой получения претензии считается день получения Стороной нарочно или по почте. Срок для ответа на претензию устанавливается 10 (десять) календарных дней со дня ее получения.</w:t>
      </w:r>
    </w:p>
    <w:p>
      <w:pPr>
        <w:pStyle w:val="14"/>
        <w:numPr>
          <w:ilvl w:val="2"/>
          <w:numId w:val="1"/>
        </w:numPr>
        <w:shd w:val="clear" w:color="auto" w:fill="auto"/>
        <w:tabs>
          <w:tab w:val="clear" w:pos="708"/>
          <w:tab w:val="left" w:pos="1340" w:leader="none"/>
        </w:tabs>
        <w:spacing w:lineRule="auto" w:line="240" w:before="0" w:after="89"/>
        <w:ind w:firstLine="580"/>
        <w:jc w:val="both"/>
        <w:rPr/>
      </w:pPr>
      <w:r>
        <w:rPr/>
        <w:t xml:space="preserve">Ответ на претензию направляется по электронной почте и (или) по факсу и одновременно высылается по почте заказным письмом. </w:t>
      </w:r>
    </w:p>
    <w:p>
      <w:pPr>
        <w:pStyle w:val="14"/>
        <w:numPr>
          <w:ilvl w:val="0"/>
          <w:numId w:val="0"/>
        </w:numPr>
        <w:shd w:val="clear" w:color="auto" w:fill="auto"/>
        <w:tabs>
          <w:tab w:val="clear" w:pos="708"/>
          <w:tab w:val="left" w:pos="1340" w:leader="none"/>
        </w:tabs>
        <w:spacing w:lineRule="auto" w:line="240" w:before="0" w:after="89"/>
        <w:ind w:hanging="0" w:left="0"/>
        <w:jc w:val="both"/>
        <w:rPr/>
      </w:pPr>
      <w:r>
        <w:rPr/>
        <w:t xml:space="preserve">         </w:t>
      </w:r>
      <w:r>
        <w:rPr/>
        <w:t>10.3.  В случае, если в указанный в претензии разумный срок претензионные требования не рассмотрены либо не удовлетворены (полностью или частично) Сторона, право которой нарушено, вправе обратиться с исковым заявлением в Арбитражный суд г. Москвы.</w:t>
      </w:r>
    </w:p>
    <w:p>
      <w:pPr>
        <w:pStyle w:val="14"/>
        <w:shd w:val="clear" w:color="auto" w:fill="auto"/>
        <w:tabs>
          <w:tab w:val="clear" w:pos="708"/>
          <w:tab w:val="left" w:pos="1340" w:leader="none"/>
        </w:tabs>
        <w:spacing w:lineRule="auto" w:line="240" w:before="0" w:after="89"/>
        <w:ind w:hanging="0" w:left="0"/>
        <w:jc w:val="both"/>
        <w:rPr/>
      </w:pPr>
      <w:r>
        <w:rPr/>
      </w:r>
    </w:p>
    <w:p>
      <w:pPr>
        <w:pStyle w:val="15"/>
        <w:keepNext w:val="true"/>
        <w:keepLines/>
        <w:numPr>
          <w:ilvl w:val="0"/>
          <w:numId w:val="1"/>
        </w:numPr>
        <w:shd w:val="clear" w:color="auto" w:fill="auto"/>
        <w:tabs>
          <w:tab w:val="clear" w:pos="708"/>
          <w:tab w:val="left" w:pos="438" w:leader="none"/>
        </w:tabs>
        <w:spacing w:lineRule="auto" w:line="276"/>
        <w:jc w:val="both"/>
        <w:rPr/>
      </w:pPr>
      <w:bookmarkStart w:id="25" w:name="bookmark23"/>
      <w:bookmarkStart w:id="26" w:name="bookmark22"/>
      <w:r>
        <w:rPr/>
        <w:t>ОСНОВАНИЕ И ПОРЯДОК РАСТОРЖЕНИЯ И ИЗМЕНЕНИЯ КОНТРАКТА</w:t>
      </w:r>
      <w:bookmarkEnd w:id="25"/>
      <w:bookmarkEnd w:id="26"/>
    </w:p>
    <w:p>
      <w:pPr>
        <w:pStyle w:val="14"/>
        <w:numPr>
          <w:ilvl w:val="1"/>
          <w:numId w:val="1"/>
        </w:numPr>
        <w:shd w:val="clear" w:color="auto" w:fill="auto"/>
        <w:tabs>
          <w:tab w:val="clear" w:pos="708"/>
          <w:tab w:val="left" w:pos="1186" w:leader="none"/>
        </w:tabs>
        <w:spacing w:lineRule="auto" w:line="276"/>
        <w:ind w:firstLine="580"/>
        <w:jc w:val="both"/>
        <w:rPr/>
      </w:pPr>
      <w:r>
        <w:rPr/>
        <w:t>Изменение существенных условий настоящего Контракта при его исполнении не допускается, за исключением их изменения в случаях, предусмотренных ч. 1 ст. 95 Федерального закона.</w:t>
      </w:r>
    </w:p>
    <w:p>
      <w:pPr>
        <w:pStyle w:val="Style27"/>
        <w:numPr>
          <w:ilvl w:val="0"/>
          <w:numId w:val="0"/>
        </w:numPr>
        <w:ind w:hanging="0" w:left="0" w:right="0"/>
        <w:jc w:val="both"/>
        <w:rPr/>
      </w:pPr>
      <w:r>
        <w:rPr>
          <w:szCs w:val="24"/>
        </w:rPr>
        <w:t xml:space="preserve">        </w:t>
      </w:r>
      <w:r>
        <w:rPr>
          <w:szCs w:val="24"/>
        </w:rPr>
        <w:t xml:space="preserve">12.2. При исполнении Контракта не допускается перемена </w:t>
      </w:r>
      <w:r>
        <w:rPr/>
        <w:t>Поставщика</w:t>
      </w:r>
      <w:r>
        <w:rPr>
          <w:szCs w:val="24"/>
        </w:rPr>
        <w:t xml:space="preserve">, за исключением случая, если новый </w:t>
      </w:r>
      <w:r>
        <w:rPr/>
        <w:t>Поставщик</w:t>
      </w:r>
      <w:r>
        <w:rPr>
          <w:szCs w:val="24"/>
        </w:rPr>
        <w:t xml:space="preserve"> является правопреемником </w:t>
      </w:r>
      <w:r>
        <w:rPr/>
        <w:t xml:space="preserve">Поставщик </w:t>
      </w:r>
      <w:r>
        <w:rPr>
          <w:szCs w:val="24"/>
        </w:rPr>
        <w:t>по Контракту вследствие реорганизации юридического лица в форме преобразования, слияния или присоединения.</w:t>
      </w:r>
    </w:p>
    <w:p>
      <w:pPr>
        <w:pStyle w:val="Style27"/>
        <w:numPr>
          <w:ilvl w:val="0"/>
          <w:numId w:val="0"/>
        </w:numPr>
        <w:ind w:hanging="0" w:left="0" w:right="0"/>
        <w:jc w:val="both"/>
        <w:rPr/>
      </w:pPr>
      <w:r>
        <w:rPr>
          <w:color w:val="000000"/>
          <w:szCs w:val="24"/>
        </w:rPr>
        <w:t xml:space="preserve">         </w:t>
      </w:r>
      <w:r>
        <w:rPr>
          <w:color w:val="000000"/>
          <w:szCs w:val="24"/>
        </w:rPr>
        <w:t xml:space="preserve">12.3.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w:t>
      </w:r>
    </w:p>
    <w:p>
      <w:pPr>
        <w:pStyle w:val="Style27"/>
        <w:numPr>
          <w:ilvl w:val="0"/>
          <w:numId w:val="0"/>
        </w:numPr>
        <w:ind w:hanging="0" w:left="0" w:right="0"/>
        <w:jc w:val="both"/>
        <w:rPr/>
      </w:pPr>
      <w:r>
        <w:rPr>
          <w:color w:val="000000"/>
          <w:szCs w:val="24"/>
        </w:rPr>
        <w:t xml:space="preserve">     </w:t>
      </w:r>
      <w:r>
        <w:rPr>
          <w:color w:val="000000"/>
          <w:szCs w:val="24"/>
        </w:rPr>
        <w:t>12.4. Государственный заказчик вправе принять решение об одностороннем отказе от исполнения Контракта по основаниям, предусмотренным Гражданским кодексом при условии нарушения Исполнителем условий настоящего Контракта в порядке, предусмотренном ст. 95 Федерального закона.</w:t>
      </w:r>
    </w:p>
    <w:p>
      <w:pPr>
        <w:pStyle w:val="Style27"/>
        <w:numPr>
          <w:ilvl w:val="0"/>
          <w:numId w:val="0"/>
        </w:numPr>
        <w:ind w:hanging="0" w:left="0" w:right="0"/>
        <w:jc w:val="both"/>
        <w:rPr/>
      </w:pPr>
      <w:r>
        <w:rPr>
          <w:color w:val="000000"/>
          <w:szCs w:val="24"/>
        </w:rPr>
        <w:t xml:space="preserve">   </w:t>
      </w:r>
      <w:r>
        <w:rPr>
          <w:rFonts w:ascii="Liberation Serif" w:hAnsi="Liberation Serif"/>
          <w:color w:val="000000"/>
          <w:sz w:val="24"/>
          <w:szCs w:val="24"/>
        </w:rPr>
        <w:t xml:space="preserve">  </w:t>
      </w:r>
      <w:r>
        <w:rPr>
          <w:rFonts w:ascii="Liberation Serif" w:hAnsi="Liberation Serif"/>
          <w:color w:val="000000"/>
          <w:sz w:val="24"/>
          <w:szCs w:val="24"/>
        </w:rPr>
        <w:t>12.5. Государственный заказчик обязан принять решение об одностороннем отказе от исполнения Контракта в случаях предусмотренных п. 1 ч. 15 ст. 95 Федерального закона.</w:t>
      </w:r>
    </w:p>
    <w:p>
      <w:pPr>
        <w:pStyle w:val="Normal"/>
        <w:widowControl w:val="false"/>
        <w:numPr>
          <w:ilvl w:val="0"/>
          <w:numId w:val="0"/>
        </w:numPr>
        <w:snapToGrid w:val="false"/>
        <w:spacing w:before="0" w:after="60"/>
        <w:ind w:hanging="0" w:left="0" w:right="0"/>
        <w:contextualSpacing/>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 xml:space="preserve">12.6. Досрочное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При этом факт подписания сторонами соглашения о расторжении Контракта не освобождает стороны от обязанности урегулирования взаимных расчётов. </w:t>
      </w:r>
    </w:p>
    <w:p>
      <w:pPr>
        <w:pStyle w:val="Normal"/>
        <w:widowControl w:val="false"/>
        <w:numPr>
          <w:ilvl w:val="0"/>
          <w:numId w:val="0"/>
        </w:numPr>
        <w:snapToGrid w:val="false"/>
        <w:spacing w:before="0" w:after="60"/>
        <w:ind w:hanging="0" w:left="0" w:right="0"/>
        <w:contextualSpacing/>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В случае расторжения настоящего Контракта в связи с односторонним отказом Государственного заказчика от исполнения Контракта, основанием к которому послужило нарушение условий Контракта Поставщиком, сведения о Поставщике включаются в установленном порядке в реестр недобросовестных поставщиков.</w:t>
      </w:r>
    </w:p>
    <w:p>
      <w:pPr>
        <w:pStyle w:val="Normal"/>
        <w:numPr>
          <w:ilvl w:val="0"/>
          <w:numId w:val="0"/>
        </w:numPr>
        <w:spacing w:before="0" w:after="60"/>
        <w:ind w:hanging="0" w:left="0"/>
        <w:contextualSpacing/>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 xml:space="preserve">12.8. </w:t>
      </w:r>
      <w:r>
        <w:rPr>
          <w:rFonts w:ascii="Liberation Serif" w:hAnsi="Liberation Serif"/>
          <w:bCs/>
          <w:sz w:val="24"/>
          <w:szCs w:val="24"/>
          <w:lang w:eastAsia="ru-RU"/>
        </w:rPr>
        <w:t>Односторонний отказ от исполнения Контракта (полностью или частично) допускается по основаниям, предусмотренным Гражданским законодательством Российской Федерации, а именно:</w:t>
      </w:r>
    </w:p>
    <w:p>
      <w:pPr>
        <w:pStyle w:val="Normal"/>
        <w:numPr>
          <w:ilvl w:val="0"/>
          <w:numId w:val="0"/>
        </w:numPr>
        <w:spacing w:before="0" w:after="0"/>
        <w:ind w:hanging="0" w:left="0"/>
        <w:contextualSpacing/>
        <w:rPr>
          <w:rFonts w:ascii="Liberation Serif" w:hAnsi="Liberation Serif"/>
          <w:sz w:val="24"/>
          <w:szCs w:val="24"/>
        </w:rPr>
      </w:pPr>
      <w:r>
        <w:rPr>
          <w:rFonts w:eastAsia="Times New Roman" w:ascii="Liberation Serif" w:hAnsi="Liberation Serif"/>
          <w:bCs/>
          <w:sz w:val="24"/>
          <w:szCs w:val="24"/>
          <w:lang w:eastAsia="ru-RU"/>
        </w:rPr>
        <w:t>12</w:t>
      </w:r>
      <w:r>
        <w:rPr>
          <w:rFonts w:eastAsia="Calibri" w:ascii="Liberation Serif" w:hAnsi="Liberation Serif"/>
          <w:bCs/>
          <w:sz w:val="24"/>
          <w:szCs w:val="24"/>
          <w:lang w:eastAsia="ru-RU"/>
        </w:rPr>
        <w:t xml:space="preserve">.8.1. </w:t>
      </w:r>
      <w:r>
        <w:rPr>
          <w:rFonts w:eastAsia="Calibri" w:ascii="Liberation Serif" w:hAnsi="Liberation Serif"/>
          <w:sz w:val="24"/>
          <w:szCs w:val="24"/>
          <w:lang w:eastAsia="en-US"/>
        </w:rPr>
        <w:t>поставки Поставщиком Товаров ненадлежащего качества с недостатками, которые не могут быть устранены в приемлемый для Государственного заказчика срок;</w:t>
      </w:r>
    </w:p>
    <w:p>
      <w:pPr>
        <w:pStyle w:val="Normal"/>
        <w:numPr>
          <w:ilvl w:val="0"/>
          <w:numId w:val="0"/>
        </w:numPr>
        <w:spacing w:before="0" w:after="0"/>
        <w:ind w:hanging="0" w:left="0"/>
        <w:contextualSpacing/>
        <w:rPr>
          <w:rFonts w:ascii="Liberation Serif" w:hAnsi="Liberation Serif"/>
          <w:sz w:val="24"/>
          <w:szCs w:val="24"/>
        </w:rPr>
      </w:pPr>
      <w:r>
        <w:rPr>
          <w:rFonts w:eastAsia="Calibri" w:cs="Times New Roman" w:ascii="Liberation Serif" w:hAnsi="Liberation Serif"/>
          <w:color w:val="000000"/>
          <w:sz w:val="24"/>
          <w:szCs w:val="24"/>
          <w:lang w:eastAsia="en-US"/>
        </w:rPr>
        <w:t>12.8.2. неоднократного нарушения Поставщиком сроков поставки Товаров.</w:t>
      </w:r>
    </w:p>
    <w:p>
      <w:pPr>
        <w:pStyle w:val="NoSpacing"/>
        <w:numPr>
          <w:ilvl w:val="0"/>
          <w:numId w:val="0"/>
        </w:numPr>
        <w:ind w:hanging="0" w:left="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15"/>
        <w:keepNext w:val="true"/>
        <w:keepLines/>
        <w:numPr>
          <w:ilvl w:val="0"/>
          <w:numId w:val="1"/>
        </w:numPr>
        <w:shd w:val="clear" w:color="auto" w:fill="auto"/>
        <w:tabs>
          <w:tab w:val="clear" w:pos="708"/>
          <w:tab w:val="left" w:pos="442" w:leader="none"/>
        </w:tabs>
        <w:spacing w:lineRule="auto" w:line="276"/>
        <w:rPr/>
      </w:pPr>
      <w:bookmarkStart w:id="27" w:name="bookmark25"/>
      <w:bookmarkStart w:id="28" w:name="bookmark24"/>
      <w:r>
        <w:rPr/>
        <w:t>ПРОЧИЕ УСЛОВИЯ</w:t>
      </w:r>
      <w:bookmarkEnd w:id="27"/>
      <w:bookmarkEnd w:id="28"/>
    </w:p>
    <w:p>
      <w:pPr>
        <w:pStyle w:val="14"/>
        <w:shd w:val="clear" w:color="auto" w:fill="auto"/>
        <w:spacing w:lineRule="auto" w:line="276"/>
        <w:ind w:firstLine="580"/>
        <w:jc w:val="both"/>
        <w:rPr/>
      </w:pPr>
      <w:r>
        <w:rPr/>
        <w:t>12.1.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разделе 13 Контракта, или с использованием факсимильной связи, электронной почты с последующим представлением оригинала.</w:t>
      </w:r>
    </w:p>
    <w:p>
      <w:pPr>
        <w:pStyle w:val="14"/>
        <w:numPr>
          <w:ilvl w:val="0"/>
          <w:numId w:val="2"/>
        </w:numPr>
        <w:shd w:val="clear" w:color="auto" w:fill="auto"/>
        <w:tabs>
          <w:tab w:val="clear" w:pos="708"/>
          <w:tab w:val="left" w:pos="1134" w:leader="none"/>
        </w:tabs>
        <w:spacing w:lineRule="auto" w:line="276"/>
        <w:ind w:firstLine="567"/>
        <w:jc w:val="both"/>
        <w:rPr/>
      </w:pPr>
      <w:r>
        <w:rPr/>
        <w:t>Во всем остальном, что не предусмотрено Контрактом, стороны руководствуются действующим законодательством Российской Федерации.</w:t>
      </w:r>
    </w:p>
    <w:p>
      <w:pPr>
        <w:pStyle w:val="14"/>
        <w:numPr>
          <w:ilvl w:val="0"/>
          <w:numId w:val="2"/>
        </w:numPr>
        <w:shd w:val="clear" w:color="auto" w:fill="auto"/>
        <w:tabs>
          <w:tab w:val="clear" w:pos="708"/>
          <w:tab w:val="left" w:pos="1134" w:leader="none"/>
        </w:tabs>
        <w:spacing w:lineRule="auto" w:line="276"/>
        <w:ind w:firstLine="567"/>
        <w:jc w:val="both"/>
        <w:rPr/>
      </w:pPr>
      <w:r>
        <w:rPr/>
        <w:t>Все изменения и дополнения к Контракту действительны лишь в том случае, если они совершены в письменной форме и подписаны обеими Сторонами.</w:t>
      </w:r>
    </w:p>
    <w:p>
      <w:pPr>
        <w:pStyle w:val="14"/>
        <w:numPr>
          <w:ilvl w:val="0"/>
          <w:numId w:val="2"/>
        </w:numPr>
        <w:shd w:val="clear" w:color="auto" w:fill="auto"/>
        <w:tabs>
          <w:tab w:val="clear" w:pos="708"/>
          <w:tab w:val="left" w:pos="1134" w:leader="none"/>
        </w:tabs>
        <w:spacing w:lineRule="auto" w:line="276"/>
        <w:ind w:firstLine="567"/>
        <w:jc w:val="both"/>
        <w:rPr/>
      </w:pPr>
      <w:r>
        <w:rPr/>
        <w:t>Контракт составлен в двух экземплярах, имеющих одинаковую юридическую силу, по одному для каждой из Сторон, вступает в силу с момента подписания его Сторонами и действует до момента приема Государственным заказчиком Товара, а в части оплаты и сверки взаиморасчетов до полного исполнения Сторонами обязательств.</w:t>
      </w:r>
    </w:p>
    <w:p>
      <w:pPr>
        <w:pStyle w:val="14"/>
        <w:numPr>
          <w:ilvl w:val="0"/>
          <w:numId w:val="2"/>
        </w:numPr>
        <w:shd w:val="clear" w:color="auto" w:fill="auto"/>
        <w:tabs>
          <w:tab w:val="clear" w:pos="708"/>
          <w:tab w:val="left" w:pos="1134" w:leader="none"/>
        </w:tabs>
        <w:spacing w:lineRule="auto" w:line="276"/>
        <w:ind w:firstLine="567"/>
        <w:jc w:val="both"/>
        <w:rPr/>
      </w:pPr>
      <w:r>
        <w:rPr/>
        <w:t xml:space="preserve">Ответственное лицо от Государственного заказчика – </w:t>
      </w:r>
      <w:r>
        <w:rPr>
          <w:bCs/>
          <w:sz w:val="24"/>
          <w:szCs w:val="24"/>
        </w:rPr>
        <w:t>Рычков Александр Николаевич).</w:t>
      </w:r>
    </w:p>
    <w:p>
      <w:pPr>
        <w:pStyle w:val="14"/>
        <w:numPr>
          <w:ilvl w:val="0"/>
          <w:numId w:val="2"/>
        </w:numPr>
        <w:shd w:val="clear" w:color="auto" w:fill="auto"/>
        <w:tabs>
          <w:tab w:val="clear" w:pos="708"/>
          <w:tab w:val="left" w:pos="1134" w:leader="none"/>
        </w:tabs>
        <w:spacing w:lineRule="auto" w:line="276"/>
        <w:ind w:firstLine="567"/>
        <w:jc w:val="both"/>
        <w:rPr>
          <w:rFonts w:ascii="Liberation Serif" w:hAnsi="Liberation Serif"/>
        </w:rPr>
      </w:pPr>
      <w:r>
        <w:rPr>
          <w:rFonts w:ascii="Liberation Serif" w:hAnsi="Liberation Serif"/>
        </w:rPr>
        <w:t>Следующие приложения являются неотъемлемой частью Контракта:</w:t>
      </w:r>
    </w:p>
    <w:p>
      <w:pPr>
        <w:pStyle w:val="NoSpacing"/>
        <w:tabs>
          <w:tab w:val="clear" w:pos="708"/>
          <w:tab w:val="left" w:pos="1134" w:leader="none"/>
        </w:tabs>
        <w:spacing w:lineRule="auto" w:line="276"/>
        <w:ind w:firstLine="567"/>
        <w:jc w:val="both"/>
        <w:rPr>
          <w:rFonts w:ascii="Liberation Serif" w:hAnsi="Liberation Serif" w:cs="Times New Roman"/>
          <w:sz w:val="24"/>
          <w:szCs w:val="24"/>
        </w:rPr>
      </w:pPr>
      <w:r>
        <w:rPr>
          <w:rFonts w:cs="Times New Roman" w:ascii="Liberation Serif" w:hAnsi="Liberation Serif"/>
          <w:sz w:val="24"/>
          <w:szCs w:val="24"/>
        </w:rPr>
        <w:t>- Приложение № 1 — Спецификация.</w:t>
      </w:r>
    </w:p>
    <w:p>
      <w:pPr>
        <w:pStyle w:val="NoSpacing"/>
        <w:tabs>
          <w:tab w:val="clear" w:pos="708"/>
          <w:tab w:val="left" w:pos="1134" w:leader="none"/>
        </w:tabs>
        <w:spacing w:lineRule="auto" w:line="276"/>
        <w:ind w:firstLine="567"/>
        <w:jc w:val="both"/>
        <w:rPr>
          <w:rFonts w:ascii="Liberation Serif" w:hAnsi="Liberation Serif"/>
          <w:sz w:val="24"/>
          <w:szCs w:val="24"/>
        </w:rPr>
      </w:pPr>
      <w:r>
        <w:rPr>
          <w:rFonts w:ascii="Liberation Serif" w:hAnsi="Liberation Serif"/>
          <w:sz w:val="24"/>
          <w:szCs w:val="24"/>
        </w:rPr>
        <w:t>- Приложение № 2 — Техническое задание</w:t>
      </w:r>
    </w:p>
    <w:p>
      <w:pPr>
        <w:pStyle w:val="NoSpacing"/>
        <w:tabs>
          <w:tab w:val="clear" w:pos="708"/>
          <w:tab w:val="left" w:pos="1134" w:leader="none"/>
        </w:tabs>
        <w:spacing w:lineRule="auto" w:line="276"/>
        <w:ind w:firstLine="567"/>
        <w:jc w:val="both"/>
        <w:rPr>
          <w:rFonts w:ascii="Liberation Serif" w:hAnsi="Liberation Serif"/>
        </w:rPr>
      </w:pPr>
      <w:r>
        <w:rPr>
          <w:rFonts w:cs="Times New Roman" w:ascii="Liberation Serif" w:hAnsi="Liberation Serif"/>
        </w:rPr>
        <w:t>- Приложение № 3 --  Форма Акта сдачи-приемки поставленного Товара</w:t>
      </w:r>
    </w:p>
    <w:p>
      <w:pPr>
        <w:pStyle w:val="NoSpacing"/>
        <w:tabs>
          <w:tab w:val="clear" w:pos="708"/>
          <w:tab w:val="left" w:pos="1134" w:leader="none"/>
        </w:tabs>
        <w:spacing w:lineRule="auto" w:line="276"/>
        <w:ind w:firstLine="567"/>
        <w:jc w:val="both"/>
        <w:rPr>
          <w:rFonts w:ascii="Times New Roman" w:hAnsi="Times New Roman" w:cs="Times New Roman"/>
        </w:rPr>
      </w:pPr>
      <w:r>
        <w:rPr>
          <w:rFonts w:cs="Times New Roman" w:ascii="Times New Roman" w:hAnsi="Times New Roman"/>
        </w:rPr>
      </w:r>
    </w:p>
    <w:p>
      <w:pPr>
        <w:pStyle w:val="NoSpacing"/>
        <w:spacing w:lineRule="auto" w:line="276"/>
        <w:ind w:firstLine="567" w:left="567"/>
        <w:jc w:val="both"/>
        <w:rPr>
          <w:rFonts w:ascii="Times New Roman" w:hAnsi="Times New Roman" w:cs="Times New Roman"/>
        </w:rPr>
      </w:pPr>
      <w:r>
        <w:rPr>
          <w:rFonts w:cs="Times New Roman" w:ascii="Times New Roman" w:hAnsi="Times New Roman"/>
        </w:rPr>
      </w:r>
    </w:p>
    <w:p>
      <w:pPr>
        <w:pStyle w:val="14"/>
        <w:numPr>
          <w:ilvl w:val="0"/>
          <w:numId w:val="0"/>
        </w:numPr>
        <w:shd w:val="clear" w:color="auto" w:fill="auto"/>
        <w:tabs>
          <w:tab w:val="clear" w:pos="708"/>
          <w:tab w:val="left" w:pos="498" w:leader="none"/>
        </w:tabs>
        <w:spacing w:lineRule="auto" w:line="276" w:before="0" w:after="0"/>
        <w:ind w:hanging="0" w:left="0"/>
        <w:jc w:val="both"/>
        <w:rPr/>
      </w:pPr>
      <w:r>
        <w:rPr>
          <w:b/>
          <w:bCs/>
        </w:rPr>
        <w:t>13. ПОДПИСИ И БАНКОВСКИЕ РЕКВИЗИТЫ СТОРОН</w:t>
      </w:r>
    </w:p>
    <w:tbl>
      <w:tblPr>
        <w:tblStyle w:val="afe"/>
        <w:tblW w:w="9855"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057"/>
        <w:gridCol w:w="4797"/>
      </w:tblGrid>
      <w:tr>
        <w:trPr/>
        <w:tc>
          <w:tcPr>
            <w:tcW w:w="5057" w:type="dxa"/>
            <w:tcBorders>
              <w:top w:val="nil"/>
              <w:left w:val="nil"/>
              <w:bottom w:val="nil"/>
              <w:right w:val="nil"/>
            </w:tcBorders>
          </w:tcPr>
          <w:p>
            <w:pPr>
              <w:pStyle w:val="15"/>
              <w:keepNext w:val="true"/>
              <w:keepLines/>
              <w:shd w:val="clear" w:color="auto" w:fill="auto"/>
              <w:spacing w:lineRule="auto" w:line="276" w:before="0" w:after="0"/>
              <w:ind w:hanging="113"/>
              <w:jc w:val="both"/>
              <w:rPr>
                <w:kern w:val="0"/>
                <w:sz w:val="24"/>
                <w:szCs w:val="24"/>
                <w:lang w:val="ru-RU" w:eastAsia="ru-RU" w:bidi="ru-RU"/>
              </w:rPr>
            </w:pPr>
            <w:bookmarkStart w:id="29" w:name="bookmark27"/>
            <w:bookmarkStart w:id="30" w:name="bookmark26"/>
            <w:r>
              <w:rPr>
                <w:kern w:val="0"/>
                <w:sz w:val="24"/>
                <w:szCs w:val="24"/>
                <w:lang w:val="ru-RU" w:eastAsia="ru-RU" w:bidi="ru-RU"/>
              </w:rPr>
              <w:t xml:space="preserve"> </w:t>
            </w:r>
            <w:r>
              <w:rPr>
                <w:kern w:val="0"/>
                <w:sz w:val="24"/>
                <w:szCs w:val="24"/>
                <w:lang w:val="ru-RU" w:eastAsia="ru-RU" w:bidi="ru-RU"/>
              </w:rPr>
              <w:t>ГОСУДАРСТВЕННЫЙ ЗАКАЗЧИК:</w:t>
            </w:r>
            <w:bookmarkEnd w:id="29"/>
            <w:bookmarkEnd w:id="30"/>
          </w:p>
          <w:p>
            <w:pPr>
              <w:pStyle w:val="NoSpacing"/>
              <w:suppressAutoHyphens w:val="true"/>
              <w:spacing w:before="0" w:after="0"/>
              <w:jc w:val="both"/>
              <w:rPr>
                <w:rFonts w:ascii="Courier New" w:hAnsi="Courier New" w:eastAsia="Courier New" w:cs="Courier New"/>
                <w:kern w:val="0"/>
                <w:sz w:val="24"/>
                <w:szCs w:val="24"/>
                <w:lang w:val="ru-RU" w:eastAsia="ru-RU" w:bidi="ru-RU"/>
              </w:rPr>
            </w:pPr>
            <w:r>
              <w:rPr>
                <w:rFonts w:eastAsia="Courier New" w:cs="Times New Roman" w:ascii="Times New Roman" w:hAnsi="Times New Roman"/>
                <w:kern w:val="0"/>
                <w:sz w:val="24"/>
                <w:szCs w:val="24"/>
                <w:lang w:val="ru-RU" w:eastAsia="ru-RU" w:bidi="ru-RU"/>
              </w:rPr>
              <w:t>ФКУ «ГБ МСЭ по Московской области»</w:t>
            </w:r>
          </w:p>
          <w:p>
            <w:pPr>
              <w:pStyle w:val="NoSpacing"/>
              <w:suppressAutoHyphens w:val="true"/>
              <w:spacing w:before="0" w:after="0"/>
              <w:jc w:val="both"/>
              <w:rPr>
                <w:rFonts w:ascii="Courier New" w:hAnsi="Courier New" w:eastAsia="Courier New" w:cs="Courier New"/>
                <w:kern w:val="0"/>
                <w:sz w:val="24"/>
                <w:szCs w:val="24"/>
                <w:lang w:val="ru-RU" w:eastAsia="ru-RU" w:bidi="ru-RU"/>
              </w:rPr>
            </w:pPr>
            <w:r>
              <w:rPr>
                <w:rFonts w:eastAsia="Courier New" w:cs="Times New Roman" w:ascii="Times New Roman" w:hAnsi="Times New Roman"/>
                <w:kern w:val="0"/>
                <w:sz w:val="24"/>
                <w:szCs w:val="24"/>
                <w:lang w:val="ru-RU" w:eastAsia="ru-RU" w:bidi="ru-RU"/>
              </w:rPr>
              <w:t>Минтруда России</w:t>
            </w:r>
          </w:p>
          <w:p>
            <w:pPr>
              <w:pStyle w:val="NoSpacing"/>
              <w:suppressAutoHyphens w:val="true"/>
              <w:spacing w:before="0" w:after="0"/>
              <w:jc w:val="both"/>
              <w:rPr>
                <w:rFonts w:ascii="Courier New" w:hAnsi="Courier New" w:eastAsia="Courier New" w:cs="Courier New"/>
                <w:kern w:val="0"/>
                <w:sz w:val="24"/>
                <w:szCs w:val="24"/>
                <w:lang w:val="ru-RU" w:eastAsia="ru-RU" w:bidi="ru-RU"/>
              </w:rPr>
            </w:pPr>
            <w:r>
              <w:rPr>
                <w:rFonts w:eastAsia="Courier New" w:cs="Times New Roman" w:ascii="Times New Roman" w:hAnsi="Times New Roman"/>
                <w:kern w:val="0"/>
                <w:sz w:val="24"/>
                <w:szCs w:val="24"/>
                <w:lang w:val="ru-RU" w:eastAsia="ru-RU" w:bidi="ru-RU"/>
              </w:rPr>
              <w:t>125319, г. Москва, ул. Коккинаки, д.6</w:t>
            </w:r>
          </w:p>
          <w:p>
            <w:pPr>
              <w:pStyle w:val="NoSpacing"/>
              <w:suppressAutoHyphens w:val="true"/>
              <w:spacing w:before="0" w:after="0"/>
              <w:jc w:val="both"/>
              <w:rPr>
                <w:rFonts w:ascii="Courier New" w:hAnsi="Courier New" w:eastAsia="Courier New" w:cs="Courier New"/>
                <w:kern w:val="0"/>
                <w:sz w:val="24"/>
                <w:szCs w:val="24"/>
                <w:lang w:val="ru-RU" w:eastAsia="ru-RU" w:bidi="ru-RU"/>
              </w:rPr>
            </w:pPr>
            <w:r>
              <w:rPr>
                <w:rFonts w:eastAsia="Courier New" w:cs="Times New Roman" w:ascii="Times New Roman" w:hAnsi="Times New Roman"/>
                <w:kern w:val="0"/>
                <w:sz w:val="24"/>
                <w:szCs w:val="24"/>
                <w:lang w:val="ru-RU" w:eastAsia="ru-RU" w:bidi="ru-RU"/>
              </w:rPr>
              <w:t>ИНН 7714584918/КПП 771401001</w:t>
            </w:r>
          </w:p>
          <w:p>
            <w:pPr>
              <w:pStyle w:val="NoSpacing"/>
              <w:suppressAutoHyphens w:val="true"/>
              <w:spacing w:before="0" w:after="0"/>
              <w:jc w:val="both"/>
              <w:rPr>
                <w:rFonts w:ascii="Courier New" w:hAnsi="Courier New" w:eastAsia="Courier New" w:cs="Courier New"/>
                <w:kern w:val="0"/>
                <w:sz w:val="24"/>
                <w:szCs w:val="24"/>
                <w:lang w:val="ru-RU" w:eastAsia="ru-RU" w:bidi="ru-RU"/>
              </w:rPr>
            </w:pPr>
            <w:r>
              <w:rPr>
                <w:rFonts w:eastAsia="Courier New" w:cs="Times New Roman" w:ascii="Times New Roman" w:hAnsi="Times New Roman"/>
                <w:kern w:val="0"/>
                <w:sz w:val="24"/>
                <w:szCs w:val="24"/>
                <w:lang w:val="ru-RU" w:eastAsia="ru-RU" w:bidi="ru-RU"/>
              </w:rPr>
              <w:t>ОГРН 1047797082068,</w:t>
            </w:r>
          </w:p>
          <w:p>
            <w:pPr>
              <w:pStyle w:val="NoSpacing"/>
              <w:suppressAutoHyphens w:val="true"/>
              <w:spacing w:before="0" w:after="0"/>
              <w:jc w:val="both"/>
              <w:rPr>
                <w:rFonts w:ascii="Courier New" w:hAnsi="Courier New" w:eastAsia="Courier New" w:cs="Courier New"/>
                <w:kern w:val="0"/>
                <w:sz w:val="24"/>
                <w:szCs w:val="24"/>
                <w:lang w:val="ru-RU" w:eastAsia="ru-RU" w:bidi="ru-RU"/>
              </w:rPr>
            </w:pPr>
            <w:r>
              <w:rPr>
                <w:rFonts w:eastAsia="Courier New" w:cs="Times New Roman" w:ascii="Times New Roman" w:hAnsi="Times New Roman"/>
                <w:kern w:val="0"/>
                <w:sz w:val="24"/>
                <w:szCs w:val="24"/>
                <w:lang w:val="ru-RU" w:eastAsia="ru-RU" w:bidi="ru-RU"/>
              </w:rPr>
              <w:t>ОКПО 75399391, ОКТМО 45333000,</w:t>
            </w:r>
          </w:p>
          <w:p>
            <w:pPr>
              <w:pStyle w:val="NoSpacing"/>
              <w:suppressAutoHyphens w:val="true"/>
              <w:spacing w:before="0" w:after="0"/>
              <w:jc w:val="both"/>
              <w:rPr>
                <w:rFonts w:ascii="Courier New" w:hAnsi="Courier New" w:eastAsia="Courier New" w:cs="Courier New"/>
                <w:kern w:val="0"/>
                <w:sz w:val="24"/>
                <w:szCs w:val="24"/>
                <w:lang w:val="ru-RU" w:eastAsia="ru-RU" w:bidi="ru-RU"/>
              </w:rPr>
            </w:pPr>
            <w:r>
              <w:rPr>
                <w:rFonts w:eastAsia="Courier New" w:cs="Times New Roman" w:ascii="Times New Roman" w:hAnsi="Times New Roman"/>
                <w:kern w:val="0"/>
                <w:sz w:val="24"/>
                <w:szCs w:val="24"/>
                <w:lang w:val="ru-RU" w:eastAsia="ru-RU" w:bidi="ru-RU"/>
              </w:rPr>
              <w:t>ОКВЭД 88.10, ОКОГУ 1326500, ОКФС 12,</w:t>
            </w:r>
          </w:p>
          <w:p>
            <w:pPr>
              <w:pStyle w:val="NoSpacing"/>
              <w:suppressAutoHyphens w:val="true"/>
              <w:spacing w:before="0" w:after="0"/>
              <w:jc w:val="both"/>
              <w:rPr>
                <w:rFonts w:ascii="Courier New" w:hAnsi="Courier New" w:eastAsia="Courier New" w:cs="Courier New"/>
                <w:kern w:val="0"/>
                <w:sz w:val="24"/>
                <w:szCs w:val="24"/>
                <w:lang w:val="ru-RU" w:eastAsia="ru-RU" w:bidi="ru-RU"/>
              </w:rPr>
            </w:pPr>
            <w:r>
              <w:rPr>
                <w:rFonts w:eastAsia="Courier New" w:cs="Times New Roman" w:ascii="Times New Roman" w:hAnsi="Times New Roman"/>
                <w:kern w:val="0"/>
                <w:sz w:val="24"/>
                <w:szCs w:val="24"/>
                <w:lang w:val="ru-RU" w:eastAsia="ru-RU" w:bidi="ru-RU"/>
              </w:rPr>
              <w:t>ОКОПФ 75104,</w:t>
            </w:r>
          </w:p>
          <w:p>
            <w:pPr>
              <w:pStyle w:val="NoSpacing"/>
              <w:suppressAutoHyphens w:val="true"/>
              <w:spacing w:before="0" w:after="0"/>
              <w:jc w:val="both"/>
              <w:rPr>
                <w:rFonts w:ascii="Courier New" w:hAnsi="Courier New" w:eastAsia="Courier New" w:cs="Courier New"/>
                <w:kern w:val="0"/>
                <w:sz w:val="24"/>
                <w:szCs w:val="24"/>
                <w:lang w:val="ru-RU" w:eastAsia="ru-RU" w:bidi="ru-RU"/>
              </w:rPr>
            </w:pPr>
            <w:r>
              <w:rPr>
                <w:rFonts w:eastAsia="Courier New" w:cs="Times New Roman" w:ascii="Times New Roman" w:hAnsi="Times New Roman"/>
                <w:kern w:val="0"/>
                <w:sz w:val="24"/>
                <w:szCs w:val="24"/>
                <w:lang w:val="ru-RU" w:eastAsia="ru-RU" w:bidi="ru-RU"/>
              </w:rPr>
              <w:t>л/сч. 03481А76410</w:t>
            </w:r>
          </w:p>
          <w:p>
            <w:pPr>
              <w:pStyle w:val="NoSpacing"/>
              <w:suppressAutoHyphens w:val="true"/>
              <w:spacing w:before="0" w:after="0"/>
              <w:jc w:val="both"/>
              <w:rPr>
                <w:rFonts w:ascii="Courier New" w:hAnsi="Courier New" w:eastAsia="Courier New" w:cs="Courier New"/>
                <w:kern w:val="0"/>
                <w:sz w:val="24"/>
                <w:szCs w:val="24"/>
                <w:lang w:val="ru-RU" w:eastAsia="ru-RU" w:bidi="ru-RU"/>
              </w:rPr>
            </w:pPr>
            <w:r>
              <w:rPr>
                <w:rFonts w:eastAsia="Courier New" w:cs="Times New Roman" w:ascii="Times New Roman" w:hAnsi="Times New Roman"/>
                <w:kern w:val="0"/>
                <w:sz w:val="24"/>
                <w:szCs w:val="24"/>
                <w:lang w:val="ru-RU" w:eastAsia="ru-RU" w:bidi="ru-RU"/>
              </w:rPr>
              <w:t>Номер казначейского счета: 03211643000000013234</w:t>
            </w:r>
          </w:p>
          <w:p>
            <w:pPr>
              <w:pStyle w:val="NoSpacing"/>
              <w:suppressAutoHyphens w:val="true"/>
              <w:spacing w:before="0" w:after="0"/>
              <w:jc w:val="both"/>
              <w:rPr>
                <w:rFonts w:ascii="Courier New" w:hAnsi="Courier New" w:eastAsia="Courier New" w:cs="Courier New"/>
                <w:kern w:val="0"/>
                <w:sz w:val="24"/>
                <w:szCs w:val="24"/>
                <w:lang w:val="ru-RU" w:eastAsia="ru-RU" w:bidi="ru-RU"/>
              </w:rPr>
            </w:pPr>
            <w:r>
              <w:rPr>
                <w:rFonts w:eastAsia="Courier New" w:cs="Times New Roman" w:ascii="Times New Roman" w:hAnsi="Times New Roman"/>
                <w:kern w:val="0"/>
                <w:sz w:val="24"/>
                <w:szCs w:val="24"/>
                <w:lang w:val="ru-RU" w:eastAsia="ru-RU" w:bidi="ru-RU"/>
              </w:rPr>
              <w:t>Номер банковского счета, входящего в состав ЕКС: 40102810745370000024</w:t>
            </w:r>
          </w:p>
          <w:p>
            <w:pPr>
              <w:pStyle w:val="NoSpacing"/>
              <w:suppressAutoHyphens w:val="true"/>
              <w:spacing w:before="0" w:after="0"/>
              <w:jc w:val="both"/>
              <w:rPr>
                <w:rFonts w:ascii="Courier New" w:hAnsi="Courier New" w:eastAsia="Courier New" w:cs="Courier New"/>
                <w:kern w:val="0"/>
                <w:sz w:val="24"/>
                <w:szCs w:val="24"/>
                <w:lang w:val="ru-RU" w:eastAsia="ru-RU" w:bidi="ru-RU"/>
              </w:rPr>
            </w:pPr>
            <w:r>
              <w:rPr>
                <w:rFonts w:eastAsia="Courier New" w:cs="Times New Roman" w:ascii="Times New Roman" w:hAnsi="Times New Roman"/>
                <w:kern w:val="0"/>
                <w:sz w:val="24"/>
                <w:szCs w:val="24"/>
                <w:lang w:val="ru-RU" w:eastAsia="ru-RU" w:bidi="ru-RU"/>
              </w:rPr>
              <w:t>БИК: 012202102</w:t>
            </w:r>
          </w:p>
          <w:p>
            <w:pPr>
              <w:pStyle w:val="NoSpacing"/>
              <w:suppressAutoHyphens w:val="true"/>
              <w:spacing w:before="0" w:after="0"/>
              <w:jc w:val="both"/>
              <w:rPr>
                <w:rFonts w:ascii="Courier New" w:hAnsi="Courier New" w:eastAsia="Courier New" w:cs="Courier New"/>
                <w:kern w:val="0"/>
                <w:sz w:val="24"/>
                <w:szCs w:val="24"/>
                <w:lang w:val="ru-RU" w:eastAsia="ru-RU" w:bidi="ru-RU"/>
              </w:rPr>
            </w:pPr>
            <w:r>
              <w:rPr>
                <w:rFonts w:eastAsia="Courier New" w:cs="Times New Roman" w:ascii="Times New Roman" w:hAnsi="Times New Roman"/>
                <w:kern w:val="0"/>
                <w:sz w:val="24"/>
                <w:szCs w:val="24"/>
                <w:lang w:val="ru-RU" w:eastAsia="ru-RU" w:bidi="ru-RU"/>
              </w:rPr>
              <w:t>Наименование: ОКЦ №1 ВВГУ БАНКА РОССИИ//УФК по Нижегородской области,</w:t>
            </w:r>
          </w:p>
          <w:p>
            <w:pPr>
              <w:pStyle w:val="NoSpacing"/>
              <w:suppressAutoHyphens w:val="true"/>
              <w:spacing w:before="0" w:after="0"/>
              <w:jc w:val="both"/>
              <w:rPr>
                <w:rFonts w:ascii="Courier New" w:hAnsi="Courier New" w:eastAsia="Courier New" w:cs="Courier New"/>
                <w:kern w:val="0"/>
                <w:sz w:val="24"/>
                <w:szCs w:val="24"/>
                <w:lang w:val="ru-RU" w:eastAsia="ru-RU" w:bidi="ru-RU"/>
              </w:rPr>
            </w:pPr>
            <w:r>
              <w:rPr>
                <w:rFonts w:eastAsia="Courier New" w:cs="Times New Roman" w:ascii="Times New Roman" w:hAnsi="Times New Roman"/>
                <w:kern w:val="0"/>
                <w:sz w:val="24"/>
                <w:szCs w:val="24"/>
                <w:lang w:val="ru-RU" w:eastAsia="ru-RU" w:bidi="ru-RU"/>
              </w:rPr>
              <w:t>г. Нижний Новгород</w:t>
            </w:r>
          </w:p>
          <w:p>
            <w:pPr>
              <w:pStyle w:val="NoSpacing"/>
              <w:suppressAutoHyphens w:val="true"/>
              <w:spacing w:before="0" w:after="0"/>
              <w:jc w:val="both"/>
              <w:rPr>
                <w:rFonts w:ascii="Courier New" w:hAnsi="Courier New" w:eastAsia="Courier New" w:cs="Courier New"/>
                <w:kern w:val="0"/>
                <w:sz w:val="24"/>
                <w:szCs w:val="24"/>
                <w:lang w:val="ru-RU" w:eastAsia="ru-RU" w:bidi="ru-RU"/>
              </w:rPr>
            </w:pPr>
            <w:r>
              <w:rPr>
                <w:rFonts w:eastAsia="Courier New" w:cs="Times New Roman" w:ascii="Times New Roman" w:hAnsi="Times New Roman"/>
                <w:kern w:val="0"/>
                <w:sz w:val="24"/>
                <w:szCs w:val="24"/>
                <w:lang w:val="ru-RU" w:eastAsia="ru-RU" w:bidi="ru-RU"/>
              </w:rPr>
              <w:t>тел. 8 (499) 152-05-55</w:t>
            </w:r>
          </w:p>
          <w:p>
            <w:pPr>
              <w:pStyle w:val="14"/>
              <w:shd w:val="clear" w:color="auto" w:fill="auto"/>
              <w:spacing w:lineRule="auto" w:line="276" w:before="0" w:after="260"/>
              <w:ind w:hanging="113"/>
              <w:jc w:val="both"/>
              <w:rPr>
                <w:kern w:val="0"/>
                <w:sz w:val="24"/>
                <w:szCs w:val="24"/>
                <w:lang w:val="ru-RU" w:eastAsia="ru-RU" w:bidi="ru-RU"/>
              </w:rPr>
            </w:pPr>
            <w:r>
              <w:rPr>
                <w:kern w:val="0"/>
                <w:sz w:val="24"/>
                <w:szCs w:val="24"/>
                <w:lang w:val="en-US" w:eastAsia="ru-RU" w:bidi="ru-RU"/>
              </w:rPr>
              <w:t>e</w:t>
            </w:r>
            <w:r>
              <w:rPr>
                <w:kern w:val="0"/>
                <w:sz w:val="24"/>
                <w:szCs w:val="24"/>
                <w:lang w:val="ru-RU" w:eastAsia="ru-RU" w:bidi="ru-RU"/>
              </w:rPr>
              <w:t>-</w:t>
            </w:r>
            <w:r>
              <w:rPr>
                <w:kern w:val="0"/>
                <w:sz w:val="24"/>
                <w:szCs w:val="24"/>
                <w:lang w:val="en-US" w:eastAsia="ru-RU" w:bidi="ru-RU"/>
              </w:rPr>
              <w:t>mail</w:t>
            </w:r>
            <w:r>
              <w:rPr>
                <w:kern w:val="0"/>
                <w:sz w:val="24"/>
                <w:szCs w:val="24"/>
                <w:lang w:val="ru-RU" w:eastAsia="ru-RU" w:bidi="ru-RU"/>
              </w:rPr>
              <w:t xml:space="preserve">: </w:t>
            </w:r>
            <w:hyperlink r:id="rId2">
              <w:r>
                <w:rPr>
                  <w:rStyle w:val="Hyperlink"/>
                  <w:kern w:val="0"/>
                  <w:sz w:val="24"/>
                  <w:szCs w:val="24"/>
                  <w:lang w:val="en-US" w:eastAsia="ru-RU" w:bidi="ru-RU"/>
                </w:rPr>
                <w:t>zakupkimsemo</w:t>
              </w:r>
              <w:r>
                <w:rPr>
                  <w:rStyle w:val="Hyperlink"/>
                  <w:kern w:val="0"/>
                  <w:sz w:val="24"/>
                  <w:szCs w:val="24"/>
                  <w:lang w:val="ru-RU" w:eastAsia="ru-RU" w:bidi="ru-RU"/>
                </w:rPr>
                <w:t>@</w:t>
              </w:r>
              <w:r>
                <w:rPr>
                  <w:rStyle w:val="Hyperlink"/>
                  <w:kern w:val="0"/>
                  <w:sz w:val="24"/>
                  <w:szCs w:val="24"/>
                  <w:lang w:val="en-US" w:eastAsia="ru-RU" w:bidi="ru-RU"/>
                </w:rPr>
                <w:t>yandex</w:t>
              </w:r>
              <w:r>
                <w:rPr>
                  <w:rStyle w:val="Hyperlink"/>
                  <w:kern w:val="0"/>
                  <w:sz w:val="24"/>
                  <w:szCs w:val="24"/>
                  <w:lang w:val="ru-RU" w:eastAsia="ru-RU" w:bidi="ru-RU"/>
                </w:rPr>
                <w:t>.</w:t>
              </w:r>
              <w:r>
                <w:rPr>
                  <w:rStyle w:val="Hyperlink"/>
                  <w:kern w:val="0"/>
                  <w:sz w:val="24"/>
                  <w:szCs w:val="24"/>
                  <w:lang w:val="en-US" w:eastAsia="ru-RU" w:bidi="ru-RU"/>
                </w:rPr>
                <w:t>ru</w:t>
              </w:r>
            </w:hyperlink>
          </w:p>
        </w:tc>
        <w:tc>
          <w:tcPr>
            <w:tcW w:w="4797" w:type="dxa"/>
            <w:tcBorders>
              <w:top w:val="nil"/>
              <w:left w:val="nil"/>
              <w:bottom w:val="nil"/>
              <w:right w:val="nil"/>
            </w:tcBorders>
          </w:tcPr>
          <w:p>
            <w:pPr>
              <w:pStyle w:val="15"/>
              <w:keepNext w:val="true"/>
              <w:keepLines/>
              <w:shd w:val="clear" w:color="auto" w:fill="auto"/>
              <w:spacing w:lineRule="auto" w:line="276" w:before="0" w:after="0"/>
              <w:ind w:hanging="72" w:left="-41"/>
              <w:jc w:val="both"/>
              <w:rPr>
                <w:kern w:val="0"/>
                <w:sz w:val="24"/>
                <w:szCs w:val="24"/>
                <w:lang w:val="ru-RU" w:eastAsia="ru-RU" w:bidi="ru-RU"/>
              </w:rPr>
            </w:pPr>
            <w:r>
              <w:rPr>
                <w:kern w:val="0"/>
                <w:sz w:val="24"/>
                <w:szCs w:val="24"/>
                <w:lang w:val="ru-RU" w:eastAsia="ru-RU" w:bidi="ru-RU"/>
              </w:rPr>
              <w:t>ПОСТАВЩИК:</w:t>
            </w:r>
          </w:p>
          <w:p>
            <w:pPr>
              <w:pStyle w:val="15"/>
              <w:keepNext w:val="true"/>
              <w:keepLines/>
              <w:shd w:val="clear" w:color="auto" w:fill="auto"/>
              <w:spacing w:lineRule="auto" w:line="276" w:before="0" w:after="0"/>
              <w:ind w:hanging="72" w:left="-41"/>
              <w:jc w:val="both"/>
              <w:rPr>
                <w:b w:val="false"/>
                <w:lang w:val="en-US"/>
              </w:rPr>
            </w:pPr>
            <w:r>
              <w:rPr>
                <w:b w:val="false"/>
                <w:lang w:val="en-US"/>
              </w:rPr>
            </w:r>
          </w:p>
        </w:tc>
      </w:tr>
      <w:tr>
        <w:trPr/>
        <w:tc>
          <w:tcPr>
            <w:tcW w:w="5057" w:type="dxa"/>
            <w:tcBorders>
              <w:top w:val="nil"/>
              <w:left w:val="nil"/>
              <w:bottom w:val="nil"/>
              <w:right w:val="nil"/>
            </w:tcBorders>
          </w:tcPr>
          <w:p>
            <w:pPr>
              <w:pStyle w:val="14"/>
              <w:shd w:val="clear" w:color="auto" w:fill="auto"/>
              <w:spacing w:lineRule="auto" w:line="276" w:before="0" w:after="260"/>
              <w:ind w:hanging="0"/>
              <w:jc w:val="both"/>
              <w:rPr>
                <w:kern w:val="0"/>
                <w:sz w:val="24"/>
                <w:szCs w:val="24"/>
                <w:lang w:val="ru-RU" w:eastAsia="ru-RU" w:bidi="ru-RU"/>
              </w:rPr>
            </w:pPr>
            <w:r>
              <w:rPr>
                <w:kern w:val="0"/>
                <w:sz w:val="24"/>
                <w:szCs w:val="24"/>
                <w:lang w:val="ru-RU" w:eastAsia="ru-RU" w:bidi="ru-RU"/>
              </w:rPr>
            </w:r>
          </w:p>
          <w:p>
            <w:pPr>
              <w:pStyle w:val="14"/>
              <w:shd w:val="clear" w:color="auto" w:fill="auto"/>
              <w:spacing w:lineRule="auto" w:line="276" w:before="0" w:after="260"/>
              <w:ind w:hanging="0"/>
              <w:jc w:val="both"/>
              <w:rPr>
                <w:kern w:val="0"/>
                <w:sz w:val="24"/>
                <w:szCs w:val="24"/>
                <w:lang w:val="ru-RU" w:eastAsia="ru-RU" w:bidi="ru-RU"/>
              </w:rPr>
            </w:pPr>
            <w:r>
              <w:rPr>
                <w:kern w:val="0"/>
                <w:sz w:val="24"/>
                <w:szCs w:val="24"/>
                <w:lang w:val="ru-RU" w:eastAsia="ru-RU" w:bidi="ru-RU"/>
              </w:rPr>
            </w:r>
          </w:p>
          <w:p>
            <w:pPr>
              <w:pStyle w:val="14"/>
              <w:shd w:val="clear" w:color="auto" w:fill="auto"/>
              <w:spacing w:lineRule="auto" w:line="276" w:before="0" w:after="260"/>
              <w:ind w:hanging="0"/>
              <w:jc w:val="both"/>
              <w:rPr>
                <w:kern w:val="0"/>
                <w:sz w:val="24"/>
                <w:szCs w:val="24"/>
                <w:lang w:val="ru-RU" w:eastAsia="ru-RU" w:bidi="ru-RU"/>
              </w:rPr>
            </w:pPr>
            <w:r>
              <w:rPr>
                <w:kern w:val="0"/>
                <w:sz w:val="24"/>
                <w:szCs w:val="24"/>
                <w:lang w:val="ru-RU" w:eastAsia="ru-RU" w:bidi="ru-RU"/>
              </w:rPr>
              <w:t>______________________ /А.В.Фирсов/</w:t>
            </w:r>
          </w:p>
          <w:p>
            <w:pPr>
              <w:pStyle w:val="14"/>
              <w:shd w:val="clear" w:color="auto" w:fill="auto"/>
              <w:spacing w:lineRule="auto" w:line="276" w:before="0" w:after="260"/>
              <w:ind w:hanging="0"/>
              <w:jc w:val="both"/>
              <w:rPr>
                <w:kern w:val="0"/>
                <w:sz w:val="24"/>
                <w:szCs w:val="24"/>
                <w:lang w:val="ru-RU" w:eastAsia="ru-RU" w:bidi="ru-RU"/>
              </w:rPr>
            </w:pPr>
            <w:r>
              <w:rPr>
                <w:kern w:val="0"/>
                <w:sz w:val="24"/>
                <w:szCs w:val="24"/>
                <w:lang w:val="ru-RU" w:eastAsia="ru-RU" w:bidi="ru-RU"/>
              </w:rPr>
              <w:t>м.п.</w:t>
            </w:r>
          </w:p>
        </w:tc>
        <w:tc>
          <w:tcPr>
            <w:tcW w:w="4797" w:type="dxa"/>
            <w:tcBorders>
              <w:top w:val="nil"/>
              <w:left w:val="nil"/>
              <w:bottom w:val="nil"/>
              <w:right w:val="nil"/>
            </w:tcBorders>
          </w:tcPr>
          <w:p>
            <w:pPr>
              <w:pStyle w:val="14"/>
              <w:shd w:val="clear" w:color="auto" w:fill="auto"/>
              <w:spacing w:lineRule="auto" w:line="276" w:before="0" w:after="260"/>
              <w:ind w:hanging="0"/>
              <w:jc w:val="both"/>
              <w:rPr>
                <w:kern w:val="0"/>
                <w:sz w:val="24"/>
                <w:szCs w:val="24"/>
                <w:lang w:val="ru-RU" w:eastAsia="ru-RU" w:bidi="ru-RU"/>
              </w:rPr>
            </w:pPr>
            <w:r>
              <w:rPr>
                <w:kern w:val="0"/>
                <w:sz w:val="24"/>
                <w:szCs w:val="24"/>
                <w:lang w:val="ru-RU" w:eastAsia="ru-RU" w:bidi="ru-RU"/>
              </w:rPr>
            </w:r>
          </w:p>
          <w:p>
            <w:pPr>
              <w:pStyle w:val="14"/>
              <w:shd w:val="clear" w:color="auto" w:fill="auto"/>
              <w:spacing w:lineRule="auto" w:line="276" w:before="0" w:after="260"/>
              <w:ind w:hanging="0"/>
              <w:jc w:val="both"/>
              <w:rPr>
                <w:kern w:val="0"/>
                <w:sz w:val="24"/>
                <w:szCs w:val="24"/>
                <w:lang w:val="ru-RU" w:eastAsia="ru-RU" w:bidi="ru-RU"/>
              </w:rPr>
            </w:pPr>
            <w:r>
              <w:rPr>
                <w:kern w:val="0"/>
                <w:sz w:val="24"/>
                <w:szCs w:val="24"/>
                <w:lang w:val="ru-RU" w:eastAsia="ru-RU" w:bidi="ru-RU"/>
              </w:rPr>
            </w:r>
          </w:p>
          <w:p>
            <w:pPr>
              <w:pStyle w:val="14"/>
              <w:shd w:val="clear" w:color="auto" w:fill="auto"/>
              <w:spacing w:lineRule="auto" w:line="276" w:before="0" w:after="260"/>
              <w:ind w:hanging="0"/>
              <w:jc w:val="both"/>
              <w:rPr>
                <w:kern w:val="0"/>
                <w:sz w:val="24"/>
                <w:szCs w:val="24"/>
                <w:lang w:val="ru-RU" w:eastAsia="ru-RU" w:bidi="ru-RU"/>
              </w:rPr>
            </w:pPr>
            <w:r>
              <w:rPr>
                <w:kern w:val="0"/>
                <w:sz w:val="24"/>
                <w:szCs w:val="24"/>
                <w:lang w:val="ru-RU" w:eastAsia="ru-RU" w:bidi="ru-RU"/>
              </w:rPr>
              <w:t>______________________ /_________ /</w:t>
            </w:r>
          </w:p>
          <w:p>
            <w:pPr>
              <w:pStyle w:val="14"/>
              <w:shd w:val="clear" w:color="auto" w:fill="auto"/>
              <w:spacing w:lineRule="auto" w:line="276" w:before="0" w:after="260"/>
              <w:ind w:hanging="0"/>
              <w:jc w:val="both"/>
              <w:rPr>
                <w:kern w:val="0"/>
                <w:sz w:val="24"/>
                <w:szCs w:val="24"/>
                <w:lang w:val="ru-RU" w:eastAsia="ru-RU" w:bidi="ru-RU"/>
              </w:rPr>
            </w:pPr>
            <w:r>
              <w:rPr>
                <w:kern w:val="0"/>
                <w:sz w:val="24"/>
                <w:szCs w:val="24"/>
                <w:lang w:val="ru-RU" w:eastAsia="ru-RU" w:bidi="ru-RU"/>
              </w:rPr>
              <w:t>м.п.</w:t>
            </w:r>
          </w:p>
        </w:tc>
      </w:tr>
    </w:tbl>
    <w:p>
      <w:pPr>
        <w:sectPr>
          <w:footerReference w:type="even" r:id="rId3"/>
          <w:footerReference w:type="default" r:id="rId4"/>
          <w:footerReference w:type="first" r:id="rId5"/>
          <w:type w:val="nextPage"/>
          <w:pgSz w:w="11906" w:h="16838"/>
          <w:pgMar w:left="1134" w:right="1127" w:gutter="0" w:header="0" w:top="897" w:footer="3" w:bottom="710"/>
          <w:pgNumType w:start="1" w:fmt="decimal"/>
          <w:formProt w:val="false"/>
          <w:titlePg/>
          <w:textDirection w:val="lrTb"/>
          <w:docGrid w:type="default" w:linePitch="360" w:charSpace="0"/>
        </w:sectPr>
      </w:pPr>
    </w:p>
    <w:p>
      <w:pPr>
        <w:pStyle w:val="Normal"/>
        <w:shd w:val="clear" w:color="auto" w:fill="FFFFFF"/>
        <w:tabs>
          <w:tab w:val="clear" w:pos="708"/>
          <w:tab w:val="left" w:pos="3480" w:leader="none"/>
          <w:tab w:val="center" w:pos="4667" w:leader="none"/>
        </w:tabs>
        <w:spacing w:before="67" w:after="0"/>
        <w:ind w:left="11199" w:right="21"/>
        <w:jc w:val="both"/>
        <w:rPr/>
      </w:pPr>
      <w:r>
        <w:rPr>
          <w:rFonts w:cs="Times New Roman" w:ascii="Times New Roman" w:hAnsi="Times New Roman"/>
        </w:rPr>
        <w:t xml:space="preserve">Приложение № 1 </w:t>
      </w:r>
    </w:p>
    <w:p>
      <w:pPr>
        <w:pStyle w:val="16"/>
        <w:ind w:left="11199"/>
        <w:jc w:val="both"/>
        <w:rPr/>
      </w:pPr>
      <w:r>
        <w:rPr>
          <w:rFonts w:ascii="Times New Roman" w:hAnsi="Times New Roman"/>
          <w:sz w:val="24"/>
          <w:szCs w:val="24"/>
        </w:rPr>
        <w:t xml:space="preserve">к Государственному Контракту </w:t>
      </w:r>
    </w:p>
    <w:p>
      <w:pPr>
        <w:pStyle w:val="16"/>
        <w:ind w:left="11199"/>
        <w:jc w:val="both"/>
        <w:rPr/>
      </w:pPr>
      <w:r>
        <w:rPr>
          <w:rFonts w:ascii="Times New Roman" w:hAnsi="Times New Roman"/>
          <w:sz w:val="24"/>
          <w:szCs w:val="24"/>
        </w:rPr>
        <w:t>от «___» _________ 2026г.</w:t>
      </w:r>
    </w:p>
    <w:p>
      <w:pPr>
        <w:pStyle w:val="16"/>
        <w:ind w:left="11199"/>
        <w:jc w:val="both"/>
        <w:rPr/>
      </w:pPr>
      <w:r>
        <w:rPr>
          <w:rFonts w:ascii="Times New Roman" w:hAnsi="Times New Roman"/>
          <w:sz w:val="24"/>
          <w:szCs w:val="24"/>
        </w:rPr>
        <w:t xml:space="preserve">№ </w:t>
      </w:r>
      <w:r>
        <w:rPr>
          <w:rFonts w:ascii="Times New Roman" w:hAnsi="Times New Roman"/>
          <w:sz w:val="24"/>
          <w:szCs w:val="24"/>
        </w:rPr>
        <w:t>_________________________</w:t>
      </w:r>
    </w:p>
    <w:p>
      <w:pPr>
        <w:pStyle w:val="Normal"/>
        <w:ind w:left="6379"/>
        <w:jc w:val="both"/>
        <w:rPr>
          <w:rFonts w:ascii="Times New Roman" w:hAnsi="Times New Roman" w:cs="Times New Roman"/>
        </w:rPr>
      </w:pPr>
      <w:r>
        <w:rPr>
          <w:rFonts w:cs="Times New Roman" w:ascii="Times New Roman" w:hAnsi="Times New Roman"/>
        </w:rPr>
      </w:r>
    </w:p>
    <w:p>
      <w:pPr>
        <w:pStyle w:val="14"/>
        <w:shd w:val="clear" w:color="auto" w:fill="auto"/>
        <w:ind w:hanging="0"/>
        <w:jc w:val="center"/>
        <w:rPr/>
      </w:pPr>
      <w:r>
        <w:rPr>
          <w:bCs/>
        </w:rPr>
        <w:t>СПЕЦИФИКАЦИЯ*</w:t>
      </w:r>
    </w:p>
    <w:p>
      <w:pPr>
        <w:pStyle w:val="14"/>
        <w:shd w:val="clear" w:color="auto" w:fill="auto"/>
        <w:ind w:hanging="0"/>
        <w:jc w:val="center"/>
        <w:rPr>
          <w:b w:val="false"/>
          <w:bCs w:val="false"/>
        </w:rPr>
      </w:pPr>
      <w:r>
        <w:rPr>
          <w:b w:val="false"/>
          <w:bCs w:val="false"/>
        </w:rPr>
        <w:t xml:space="preserve">на поставку </w:t>
      </w:r>
      <w:r>
        <w:rPr>
          <w:b w:val="false"/>
          <w:bCs w:val="false"/>
          <w:sz w:val="24"/>
          <w:szCs w:val="24"/>
        </w:rPr>
        <w:t>м</w:t>
      </w:r>
      <w:r>
        <w:rPr>
          <w:b w:val="false"/>
          <w:bCs w:val="false"/>
          <w:color w:val="auto"/>
          <w:sz w:val="24"/>
          <w:szCs w:val="24"/>
        </w:rPr>
        <w:t>анжет для измерения артериального давления</w:t>
      </w:r>
      <w:r>
        <w:rPr>
          <w:b w:val="false"/>
          <w:bCs w:val="false"/>
        </w:rPr>
        <w:t xml:space="preserve"> для нужд ФКУ «ГБ МСЭ по</w:t>
        <w:br/>
        <w:t>Московской области» Минтруда России</w:t>
      </w:r>
    </w:p>
    <w:p>
      <w:pPr>
        <w:pStyle w:val="14"/>
        <w:shd w:val="clear" w:color="auto" w:fill="auto"/>
        <w:ind w:hanging="0"/>
        <w:jc w:val="center"/>
        <w:rPr>
          <w:b w:val="false"/>
          <w:bCs w:val="false"/>
        </w:rPr>
      </w:pPr>
      <w:r>
        <w:rPr>
          <w:b w:val="false"/>
          <w:bCs w:val="false"/>
        </w:rPr>
      </w:r>
    </w:p>
    <w:tbl>
      <w:tblPr>
        <w:tblStyle w:val="a8"/>
        <w:tblW w:w="15163" w:type="dxa"/>
        <w:jc w:val="left"/>
        <w:tblInd w:w="113" w:type="dxa"/>
        <w:tblLayout w:type="fixed"/>
        <w:tblCellMar>
          <w:top w:w="0" w:type="dxa"/>
          <w:left w:w="108" w:type="dxa"/>
          <w:bottom w:w="0" w:type="dxa"/>
          <w:right w:w="108" w:type="dxa"/>
        </w:tblCellMar>
        <w:tblLook w:val="04a0"/>
      </w:tblPr>
      <w:tblGrid>
        <w:gridCol w:w="662"/>
        <w:gridCol w:w="6420"/>
        <w:gridCol w:w="1844"/>
        <w:gridCol w:w="1416"/>
        <w:gridCol w:w="2552"/>
        <w:gridCol w:w="2268"/>
      </w:tblGrid>
      <w:tr>
        <w:trPr>
          <w:trHeight w:val="900" w:hRule="atLeast"/>
        </w:trPr>
        <w:tc>
          <w:tcPr>
            <w:tcW w:w="662" w:type="dxa"/>
            <w:tcBorders>
              <w:top w:val="single" w:sz="2" w:space="0" w:color="000000"/>
              <w:left w:val="single" w:sz="2" w:space="0" w:color="000000"/>
              <w:bottom w:val="single" w:sz="2" w:space="0" w:color="000000"/>
            </w:tcBorders>
            <w:vAlign w:val="center"/>
          </w:tcPr>
          <w:p>
            <w:pPr>
              <w:pStyle w:val="Style22"/>
              <w:widowControl w:val="false"/>
              <w:shd w:val="clear" w:color="auto" w:fill="auto"/>
              <w:suppressAutoHyphens w:val="true"/>
              <w:spacing w:before="0" w:after="0"/>
              <w:ind w:hanging="0"/>
              <w:jc w:val="center"/>
              <w:rPr>
                <w:kern w:val="0"/>
                <w:sz w:val="24"/>
                <w:szCs w:val="24"/>
                <w:lang w:val="ru-RU" w:eastAsia="ru-RU" w:bidi="ru-RU"/>
              </w:rPr>
            </w:pPr>
            <w:r>
              <w:rPr>
                <w:b/>
                <w:bCs/>
                <w:kern w:val="0"/>
                <w:sz w:val="24"/>
                <w:szCs w:val="24"/>
                <w:lang w:val="ru-RU" w:eastAsia="ru-RU" w:bidi="ru-RU"/>
              </w:rPr>
              <w:t>№</w:t>
            </w:r>
          </w:p>
          <w:p>
            <w:pPr>
              <w:pStyle w:val="Style22"/>
              <w:widowControl w:val="false"/>
              <w:shd w:val="clear" w:color="auto" w:fill="auto"/>
              <w:suppressAutoHyphens w:val="true"/>
              <w:spacing w:lineRule="auto" w:line="233" w:before="0" w:after="0"/>
              <w:ind w:hanging="0"/>
              <w:jc w:val="center"/>
              <w:rPr>
                <w:kern w:val="0"/>
                <w:sz w:val="24"/>
                <w:szCs w:val="24"/>
                <w:lang w:val="ru-RU" w:eastAsia="ru-RU" w:bidi="ru-RU"/>
              </w:rPr>
            </w:pPr>
            <w:r>
              <w:rPr>
                <w:b/>
                <w:bCs/>
                <w:kern w:val="0"/>
                <w:sz w:val="24"/>
                <w:szCs w:val="24"/>
                <w:lang w:val="ru-RU" w:eastAsia="ru-RU" w:bidi="ru-RU"/>
              </w:rPr>
              <w:t>п/п</w:t>
            </w:r>
          </w:p>
        </w:tc>
        <w:tc>
          <w:tcPr>
            <w:tcW w:w="6420" w:type="dxa"/>
            <w:tcBorders>
              <w:top w:val="single" w:sz="2" w:space="0" w:color="000000"/>
              <w:left w:val="single" w:sz="2" w:space="0" w:color="000000"/>
              <w:bottom w:val="single" w:sz="2" w:space="0" w:color="000000"/>
            </w:tcBorders>
            <w:vAlign w:val="center"/>
          </w:tcPr>
          <w:p>
            <w:pPr>
              <w:pStyle w:val="Style22"/>
              <w:widowControl w:val="false"/>
              <w:shd w:val="clear" w:color="auto" w:fill="auto"/>
              <w:suppressAutoHyphens w:val="true"/>
              <w:spacing w:before="0" w:after="0"/>
              <w:ind w:hanging="0"/>
              <w:jc w:val="center"/>
              <w:rPr>
                <w:kern w:val="0"/>
                <w:sz w:val="24"/>
                <w:szCs w:val="24"/>
                <w:lang w:val="ru-RU" w:eastAsia="ru-RU" w:bidi="ru-RU"/>
              </w:rPr>
            </w:pPr>
            <w:r>
              <w:rPr>
                <w:b/>
                <w:bCs/>
                <w:kern w:val="0"/>
                <w:sz w:val="24"/>
                <w:szCs w:val="24"/>
                <w:lang w:val="ru-RU" w:eastAsia="ru-RU" w:bidi="ru-RU"/>
              </w:rPr>
              <w:t>Наименование и характеристики товара</w:t>
            </w:r>
          </w:p>
        </w:tc>
        <w:tc>
          <w:tcPr>
            <w:tcW w:w="1844" w:type="dxa"/>
            <w:tcBorders>
              <w:top w:val="single" w:sz="2" w:space="0" w:color="000000"/>
              <w:left w:val="single" w:sz="2" w:space="0" w:color="000000"/>
              <w:bottom w:val="single" w:sz="2" w:space="0" w:color="000000"/>
            </w:tcBorders>
            <w:vAlign w:val="center"/>
          </w:tcPr>
          <w:p>
            <w:pPr>
              <w:pStyle w:val="Style22"/>
              <w:widowControl w:val="false"/>
              <w:shd w:val="clear" w:color="auto" w:fill="auto"/>
              <w:suppressAutoHyphens w:val="true"/>
              <w:spacing w:before="0" w:after="0"/>
              <w:ind w:hanging="0"/>
              <w:jc w:val="center"/>
              <w:rPr>
                <w:kern w:val="0"/>
                <w:sz w:val="24"/>
                <w:szCs w:val="24"/>
                <w:lang w:val="ru-RU" w:eastAsia="ru-RU" w:bidi="ru-RU"/>
              </w:rPr>
            </w:pPr>
            <w:r>
              <w:rPr>
                <w:b/>
                <w:bCs/>
                <w:kern w:val="0"/>
                <w:sz w:val="24"/>
                <w:szCs w:val="24"/>
                <w:lang w:val="ru-RU" w:eastAsia="ru-RU" w:bidi="ru-RU"/>
              </w:rPr>
              <w:t>Количество</w:t>
            </w:r>
          </w:p>
        </w:tc>
        <w:tc>
          <w:tcPr>
            <w:tcW w:w="1416" w:type="dxa"/>
            <w:tcBorders>
              <w:top w:val="single" w:sz="2" w:space="0" w:color="000000"/>
              <w:left w:val="single" w:sz="2" w:space="0" w:color="000000"/>
              <w:bottom w:val="single" w:sz="2" w:space="0" w:color="000000"/>
            </w:tcBorders>
            <w:vAlign w:val="center"/>
          </w:tcPr>
          <w:p>
            <w:pPr>
              <w:pStyle w:val="Style22"/>
              <w:widowControl w:val="false"/>
              <w:shd w:val="clear" w:color="auto" w:fill="auto"/>
              <w:suppressAutoHyphens w:val="true"/>
              <w:spacing w:before="0" w:after="0"/>
              <w:ind w:hanging="0"/>
              <w:jc w:val="center"/>
              <w:rPr>
                <w:kern w:val="0"/>
                <w:sz w:val="24"/>
                <w:szCs w:val="24"/>
                <w:lang w:val="ru-RU" w:eastAsia="ru-RU" w:bidi="ru-RU"/>
              </w:rPr>
            </w:pPr>
            <w:r>
              <w:rPr>
                <w:b/>
                <w:bCs/>
                <w:kern w:val="0"/>
                <w:sz w:val="24"/>
                <w:szCs w:val="24"/>
                <w:lang w:val="ru-RU" w:eastAsia="ru-RU" w:bidi="ru-RU"/>
              </w:rPr>
              <w:t>Ед.</w:t>
            </w:r>
          </w:p>
          <w:p>
            <w:pPr>
              <w:pStyle w:val="Style22"/>
              <w:widowControl w:val="false"/>
              <w:shd w:val="clear" w:color="auto" w:fill="auto"/>
              <w:suppressAutoHyphens w:val="true"/>
              <w:spacing w:before="0" w:after="0"/>
              <w:ind w:hanging="0"/>
              <w:jc w:val="center"/>
              <w:rPr>
                <w:kern w:val="0"/>
                <w:sz w:val="24"/>
                <w:szCs w:val="24"/>
                <w:lang w:val="ru-RU" w:eastAsia="ru-RU" w:bidi="ru-RU"/>
              </w:rPr>
            </w:pPr>
            <w:r>
              <w:rPr>
                <w:b/>
                <w:bCs/>
                <w:kern w:val="0"/>
                <w:sz w:val="24"/>
                <w:szCs w:val="24"/>
                <w:lang w:val="ru-RU" w:eastAsia="ru-RU" w:bidi="ru-RU"/>
              </w:rPr>
              <w:t>измерения</w:t>
            </w:r>
          </w:p>
        </w:tc>
        <w:tc>
          <w:tcPr>
            <w:tcW w:w="2552" w:type="dxa"/>
            <w:tcBorders>
              <w:top w:val="single" w:sz="2" w:space="0" w:color="000000"/>
              <w:left w:val="single" w:sz="2" w:space="0" w:color="000000"/>
              <w:bottom w:val="single" w:sz="2" w:space="0" w:color="000000"/>
            </w:tcBorders>
            <w:vAlign w:val="center"/>
          </w:tcPr>
          <w:p>
            <w:pPr>
              <w:pStyle w:val="Style22"/>
              <w:widowControl w:val="false"/>
              <w:shd w:val="clear" w:color="auto" w:fill="auto"/>
              <w:suppressAutoHyphens w:val="true"/>
              <w:spacing w:before="0" w:after="0"/>
              <w:ind w:hanging="0" w:left="132" w:right="145"/>
              <w:jc w:val="both"/>
              <w:rPr>
                <w:kern w:val="0"/>
                <w:sz w:val="24"/>
                <w:szCs w:val="24"/>
                <w:lang w:val="ru-RU" w:eastAsia="ru-RU" w:bidi="ru-RU"/>
              </w:rPr>
            </w:pPr>
            <w:r>
              <w:rPr>
                <w:b/>
                <w:bCs/>
                <w:kern w:val="0"/>
                <w:sz w:val="24"/>
                <w:szCs w:val="24"/>
                <w:lang w:val="ru-RU" w:eastAsia="ru-RU" w:bidi="ru-RU"/>
              </w:rPr>
              <w:t>Цена за ед. в руб.,</w:t>
            </w:r>
            <w:r>
              <w:rPr>
                <w:bCs/>
                <w:i/>
                <w:kern w:val="0"/>
                <w:sz w:val="24"/>
                <w:szCs w:val="24"/>
                <w:lang w:val="ru-RU" w:eastAsia="ru-RU" w:bidi="ru-RU"/>
              </w:rPr>
              <w:t xml:space="preserve"> с учетом НДС / НДС не облагается</w:t>
            </w:r>
          </w:p>
        </w:tc>
        <w:tc>
          <w:tcPr>
            <w:tcW w:w="2268"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uppressAutoHyphens w:val="true"/>
              <w:spacing w:before="0" w:after="0"/>
              <w:ind w:left="118" w:right="156"/>
              <w:jc w:val="both"/>
              <w:rPr>
                <w:rFonts w:ascii="Times New Roman" w:hAnsi="Times New Roman" w:cs="Times New Roman"/>
                <w:b/>
              </w:rPr>
            </w:pPr>
            <w:r>
              <w:rPr>
                <w:rFonts w:eastAsia="Courier New" w:cs="Times New Roman" w:ascii="Times New Roman" w:hAnsi="Times New Roman"/>
                <w:b/>
                <w:kern w:val="0"/>
                <w:sz w:val="24"/>
                <w:szCs w:val="24"/>
                <w:lang w:val="ru-RU" w:eastAsia="ru-RU" w:bidi="ru-RU"/>
              </w:rPr>
              <w:t xml:space="preserve">Итого стоимость в руб., </w:t>
            </w:r>
            <w:r>
              <w:rPr>
                <w:rFonts w:eastAsia="Courier New" w:cs="Times New Roman" w:ascii="Times New Roman" w:hAnsi="Times New Roman"/>
                <w:i/>
                <w:kern w:val="0"/>
                <w:sz w:val="24"/>
                <w:szCs w:val="24"/>
                <w:lang w:val="ru-RU" w:eastAsia="ru-RU" w:bidi="ru-RU"/>
              </w:rPr>
              <w:t>с учетом НДС / НДС не облагается</w:t>
            </w:r>
          </w:p>
        </w:tc>
      </w:tr>
      <w:tr>
        <w:trPr>
          <w:trHeight w:val="245" w:hRule="atLeast"/>
        </w:trPr>
        <w:tc>
          <w:tcPr>
            <w:tcW w:w="662" w:type="dxa"/>
            <w:tcBorders>
              <w:left w:val="single" w:sz="2" w:space="0" w:color="000000"/>
              <w:bottom w:val="single" w:sz="2" w:space="0" w:color="000000"/>
            </w:tcBorders>
            <w:vAlign w:val="center"/>
          </w:tcPr>
          <w:p>
            <w:pPr>
              <w:pStyle w:val="14"/>
              <w:widowControl w:val="false"/>
              <w:shd w:val="clear" w:color="auto" w:fill="auto"/>
              <w:suppressAutoHyphens w:val="true"/>
              <w:spacing w:before="0" w:after="0"/>
              <w:ind w:hanging="0"/>
              <w:jc w:val="center"/>
              <w:rPr>
                <w:b/>
                <w:bCs/>
              </w:rPr>
            </w:pPr>
            <w:r>
              <w:rPr>
                <w:b/>
                <w:bCs/>
                <w:kern w:val="0"/>
                <w:sz w:val="24"/>
                <w:szCs w:val="24"/>
                <w:lang w:val="ru-RU" w:eastAsia="ru-RU" w:bidi="ru-RU"/>
              </w:rPr>
              <w:t>1</w:t>
            </w:r>
          </w:p>
        </w:tc>
        <w:tc>
          <w:tcPr>
            <w:tcW w:w="6420" w:type="dxa"/>
            <w:tcBorders>
              <w:left w:val="single" w:sz="2" w:space="0" w:color="000000"/>
              <w:bottom w:val="single" w:sz="2" w:space="0" w:color="000000"/>
            </w:tcBorders>
            <w:vAlign w:val="center"/>
          </w:tcPr>
          <w:p>
            <w:pPr>
              <w:pStyle w:val="14"/>
              <w:widowControl w:val="false"/>
              <w:shd w:val="clear" w:color="auto" w:fill="auto"/>
              <w:suppressAutoHyphens w:val="true"/>
              <w:spacing w:before="0" w:after="0"/>
              <w:ind w:hanging="0"/>
              <w:jc w:val="center"/>
              <w:rPr>
                <w:b/>
                <w:bCs/>
              </w:rPr>
            </w:pPr>
            <w:r>
              <w:rPr>
                <w:b/>
                <w:bCs/>
                <w:kern w:val="0"/>
                <w:sz w:val="24"/>
                <w:szCs w:val="24"/>
                <w:lang w:val="ru-RU" w:eastAsia="ru-RU" w:bidi="ru-RU"/>
              </w:rPr>
              <w:t>2</w:t>
            </w:r>
          </w:p>
        </w:tc>
        <w:tc>
          <w:tcPr>
            <w:tcW w:w="1844" w:type="dxa"/>
            <w:tcBorders>
              <w:left w:val="single" w:sz="2" w:space="0" w:color="000000"/>
              <w:bottom w:val="single" w:sz="2" w:space="0" w:color="000000"/>
            </w:tcBorders>
            <w:vAlign w:val="center"/>
          </w:tcPr>
          <w:p>
            <w:pPr>
              <w:pStyle w:val="14"/>
              <w:widowControl w:val="false"/>
              <w:shd w:val="clear" w:color="auto" w:fill="auto"/>
              <w:suppressAutoHyphens w:val="true"/>
              <w:spacing w:before="0" w:after="0"/>
              <w:ind w:hanging="0"/>
              <w:jc w:val="center"/>
              <w:rPr>
                <w:b/>
                <w:bCs/>
              </w:rPr>
            </w:pPr>
            <w:r>
              <w:rPr>
                <w:b/>
                <w:bCs/>
                <w:kern w:val="0"/>
                <w:sz w:val="24"/>
                <w:szCs w:val="24"/>
                <w:lang w:val="ru-RU" w:eastAsia="ru-RU" w:bidi="ru-RU"/>
              </w:rPr>
              <w:t>3</w:t>
            </w:r>
          </w:p>
        </w:tc>
        <w:tc>
          <w:tcPr>
            <w:tcW w:w="1416" w:type="dxa"/>
            <w:tcBorders>
              <w:left w:val="single" w:sz="2" w:space="0" w:color="000000"/>
              <w:bottom w:val="single" w:sz="2" w:space="0" w:color="000000"/>
            </w:tcBorders>
            <w:vAlign w:val="center"/>
          </w:tcPr>
          <w:p>
            <w:pPr>
              <w:pStyle w:val="14"/>
              <w:widowControl w:val="false"/>
              <w:shd w:val="clear" w:color="auto" w:fill="auto"/>
              <w:suppressAutoHyphens w:val="true"/>
              <w:spacing w:before="0" w:after="0"/>
              <w:ind w:hanging="0"/>
              <w:jc w:val="center"/>
              <w:rPr>
                <w:b/>
                <w:bCs/>
              </w:rPr>
            </w:pPr>
            <w:r>
              <w:rPr>
                <w:b/>
                <w:bCs/>
                <w:kern w:val="0"/>
                <w:sz w:val="24"/>
                <w:szCs w:val="24"/>
                <w:lang w:val="ru-RU" w:eastAsia="ru-RU" w:bidi="ru-RU"/>
              </w:rPr>
              <w:t>4</w:t>
            </w:r>
          </w:p>
        </w:tc>
        <w:tc>
          <w:tcPr>
            <w:tcW w:w="2552" w:type="dxa"/>
            <w:tcBorders>
              <w:left w:val="single" w:sz="2" w:space="0" w:color="000000"/>
              <w:bottom w:val="single" w:sz="2" w:space="0" w:color="000000"/>
            </w:tcBorders>
            <w:vAlign w:val="center"/>
          </w:tcPr>
          <w:p>
            <w:pPr>
              <w:pStyle w:val="14"/>
              <w:widowControl w:val="false"/>
              <w:shd w:val="clear" w:color="auto" w:fill="auto"/>
              <w:suppressAutoHyphens w:val="true"/>
              <w:spacing w:before="0" w:after="0"/>
              <w:ind w:hanging="0"/>
              <w:jc w:val="center"/>
              <w:rPr>
                <w:b/>
                <w:bCs/>
              </w:rPr>
            </w:pPr>
            <w:r>
              <w:rPr>
                <w:b/>
                <w:bCs/>
                <w:kern w:val="0"/>
                <w:sz w:val="24"/>
                <w:szCs w:val="24"/>
                <w:lang w:val="ru-RU" w:eastAsia="ru-RU" w:bidi="ru-RU"/>
              </w:rPr>
              <w:t>5</w:t>
            </w:r>
          </w:p>
        </w:tc>
        <w:tc>
          <w:tcPr>
            <w:tcW w:w="2268" w:type="dxa"/>
            <w:tcBorders>
              <w:left w:val="single" w:sz="2" w:space="0" w:color="000000"/>
              <w:bottom w:val="single" w:sz="2" w:space="0" w:color="000000"/>
              <w:right w:val="single" w:sz="2" w:space="0" w:color="000000"/>
            </w:tcBorders>
            <w:vAlign w:val="center"/>
          </w:tcPr>
          <w:p>
            <w:pPr>
              <w:pStyle w:val="14"/>
              <w:widowControl w:val="false"/>
              <w:shd w:val="clear" w:color="auto" w:fill="auto"/>
              <w:suppressAutoHyphens w:val="true"/>
              <w:spacing w:before="0" w:after="0"/>
              <w:ind w:hanging="0"/>
              <w:jc w:val="center"/>
              <w:rPr>
                <w:b/>
                <w:bCs/>
              </w:rPr>
            </w:pPr>
            <w:r>
              <w:rPr>
                <w:b/>
                <w:bCs/>
                <w:kern w:val="0"/>
                <w:sz w:val="24"/>
                <w:szCs w:val="24"/>
                <w:lang w:val="ru-RU" w:eastAsia="ru-RU" w:bidi="ru-RU"/>
              </w:rPr>
              <w:t>6</w:t>
            </w:r>
          </w:p>
        </w:tc>
      </w:tr>
      <w:tr>
        <w:trPr>
          <w:trHeight w:val="1109" w:hRule="atLeast"/>
        </w:trPr>
        <w:tc>
          <w:tcPr>
            <w:tcW w:w="662" w:type="dxa"/>
            <w:tcBorders>
              <w:left w:val="single" w:sz="2" w:space="0" w:color="000000"/>
              <w:bottom w:val="single" w:sz="2" w:space="0" w:color="000000"/>
            </w:tcBorders>
            <w:vAlign w:val="center"/>
          </w:tcPr>
          <w:p>
            <w:pPr>
              <w:pStyle w:val="14"/>
              <w:widowControl w:val="false"/>
              <w:shd w:val="clear" w:color="auto" w:fill="auto"/>
              <w:suppressAutoHyphens w:val="true"/>
              <w:spacing w:before="0" w:after="0"/>
              <w:ind w:hanging="0"/>
              <w:jc w:val="center"/>
              <w:rPr>
                <w:bCs/>
              </w:rPr>
            </w:pPr>
            <w:r>
              <w:rPr>
                <w:bCs/>
                <w:kern w:val="0"/>
                <w:sz w:val="24"/>
                <w:szCs w:val="24"/>
                <w:lang w:val="ru-RU" w:eastAsia="ru-RU" w:bidi="ru-RU"/>
              </w:rPr>
              <w:t>1</w:t>
            </w:r>
          </w:p>
        </w:tc>
        <w:tc>
          <w:tcPr>
            <w:tcW w:w="6420" w:type="dxa"/>
            <w:tcBorders>
              <w:left w:val="single" w:sz="2" w:space="0" w:color="000000"/>
              <w:bottom w:val="single" w:sz="2" w:space="0" w:color="000000"/>
            </w:tcBorders>
            <w:vAlign w:val="center"/>
          </w:tcPr>
          <w:p>
            <w:pPr>
              <w:pStyle w:val="NoSpacing"/>
              <w:widowControl w:val="false"/>
              <w:suppressAutoHyphens w:val="true"/>
              <w:spacing w:before="0" w:after="0"/>
              <w:jc w:val="left"/>
              <w:rPr>
                <w:rFonts w:ascii="Liberation Serif" w:hAnsi="Liberation Serif"/>
                <w:sz w:val="24"/>
                <w:szCs w:val="24"/>
              </w:rPr>
            </w:pPr>
            <w:r>
              <w:rPr>
                <w:rFonts w:eastAsia="Courier New" w:cs="Times New Roman" w:ascii="Liberation Serif" w:hAnsi="Liberation Serif"/>
                <w:color w:val="1C1C1C"/>
                <w:kern w:val="0"/>
                <w:sz w:val="24"/>
                <w:szCs w:val="24"/>
                <w:lang w:val="ru-RU" w:eastAsia="ru-RU" w:bidi="ru-RU"/>
              </w:rPr>
              <w:t>Манжета для тонометра. Окружность плеча 22-44 см.</w:t>
            </w:r>
          </w:p>
          <w:p>
            <w:pPr>
              <w:pStyle w:val="Normal"/>
              <w:rPr>
                <w:rFonts w:ascii="Liberation Serif" w:hAnsi="Liberation Serif"/>
                <w:sz w:val="24"/>
                <w:szCs w:val="24"/>
              </w:rPr>
            </w:pPr>
            <w:r>
              <w:rPr>
                <w:rFonts w:ascii="Liberation Serif" w:hAnsi="Liberation Serif"/>
                <w:sz w:val="24"/>
                <w:szCs w:val="24"/>
              </w:rPr>
            </w:r>
          </w:p>
          <w:p>
            <w:pPr>
              <w:pStyle w:val="Normal"/>
              <w:rPr>
                <w:rFonts w:ascii="Liberation Serif" w:hAnsi="Liberation Serif"/>
                <w:sz w:val="24"/>
                <w:szCs w:val="24"/>
              </w:rPr>
            </w:pPr>
            <w:r>
              <w:rPr>
                <w:rFonts w:ascii="Liberation Serif" w:hAnsi="Liberation Serif"/>
                <w:sz w:val="24"/>
                <w:szCs w:val="24"/>
              </w:rPr>
            </w:r>
          </w:p>
        </w:tc>
        <w:tc>
          <w:tcPr>
            <w:tcW w:w="1844" w:type="dxa"/>
            <w:tcBorders>
              <w:left w:val="single" w:sz="2" w:space="0" w:color="000000"/>
              <w:bottom w:val="single" w:sz="2" w:space="0" w:color="000000"/>
            </w:tcBorders>
            <w:vAlign w:val="center"/>
          </w:tcPr>
          <w:p>
            <w:pPr>
              <w:pStyle w:val="14"/>
              <w:widowControl w:val="false"/>
              <w:shd w:val="clear" w:color="auto" w:fill="auto"/>
              <w:suppressAutoHyphens w:val="true"/>
              <w:spacing w:before="0" w:after="0"/>
              <w:ind w:hanging="0"/>
              <w:jc w:val="center"/>
              <w:rPr>
                <w:bCs/>
              </w:rPr>
            </w:pPr>
            <w:r>
              <w:rPr>
                <w:bCs/>
                <w:kern w:val="0"/>
                <w:sz w:val="24"/>
                <w:szCs w:val="24"/>
                <w:lang w:val="ru-RU" w:eastAsia="ru-RU" w:bidi="ru-RU"/>
              </w:rPr>
              <w:t>2</w:t>
            </w:r>
          </w:p>
        </w:tc>
        <w:tc>
          <w:tcPr>
            <w:tcW w:w="1416" w:type="dxa"/>
            <w:tcBorders>
              <w:left w:val="single" w:sz="2" w:space="0" w:color="000000"/>
              <w:bottom w:val="single" w:sz="2" w:space="0" w:color="000000"/>
            </w:tcBorders>
            <w:vAlign w:val="center"/>
          </w:tcPr>
          <w:p>
            <w:pPr>
              <w:pStyle w:val="14"/>
              <w:widowControl w:val="false"/>
              <w:shd w:val="clear" w:color="auto" w:fill="auto"/>
              <w:suppressAutoHyphens w:val="true"/>
              <w:spacing w:before="0" w:after="0"/>
              <w:ind w:hanging="0"/>
              <w:jc w:val="center"/>
              <w:rPr>
                <w:bCs/>
              </w:rPr>
            </w:pPr>
            <w:r>
              <w:rPr>
                <w:bCs/>
                <w:kern w:val="0"/>
                <w:sz w:val="24"/>
                <w:szCs w:val="24"/>
                <w:lang w:val="ru-RU" w:eastAsia="ru-RU" w:bidi="ru-RU"/>
              </w:rPr>
              <w:t>шт.</w:t>
            </w:r>
          </w:p>
        </w:tc>
        <w:tc>
          <w:tcPr>
            <w:tcW w:w="2552" w:type="dxa"/>
            <w:tcBorders>
              <w:left w:val="single" w:sz="2" w:space="0" w:color="000000"/>
              <w:bottom w:val="single" w:sz="2" w:space="0" w:color="000000"/>
            </w:tcBorders>
            <w:vAlign w:val="center"/>
          </w:tcPr>
          <w:p>
            <w:pPr>
              <w:pStyle w:val="Normal"/>
              <w:rPr/>
            </w:pPr>
            <w:r>
              <w:rPr/>
            </w:r>
          </w:p>
        </w:tc>
        <w:tc>
          <w:tcPr>
            <w:tcW w:w="2268" w:type="dxa"/>
            <w:tcBorders>
              <w:left w:val="single" w:sz="2" w:space="0" w:color="000000"/>
              <w:bottom w:val="single" w:sz="2" w:space="0" w:color="000000"/>
              <w:right w:val="single" w:sz="2" w:space="0" w:color="000000"/>
            </w:tcBorders>
            <w:vAlign w:val="center"/>
          </w:tcPr>
          <w:p>
            <w:pPr>
              <w:pStyle w:val="Normal"/>
              <w:rPr/>
            </w:pPr>
            <w:r>
              <w:rPr/>
            </w:r>
          </w:p>
        </w:tc>
      </w:tr>
      <w:tr>
        <w:trPr>
          <w:trHeight w:val="915" w:hRule="atLeast"/>
        </w:trPr>
        <w:tc>
          <w:tcPr>
            <w:tcW w:w="662" w:type="dxa"/>
            <w:tcBorders>
              <w:left w:val="single" w:sz="2" w:space="0" w:color="000000"/>
              <w:bottom w:val="single" w:sz="2" w:space="0" w:color="000000"/>
            </w:tcBorders>
            <w:vAlign w:val="center"/>
          </w:tcPr>
          <w:p>
            <w:pPr>
              <w:pStyle w:val="14"/>
              <w:widowControl w:val="false"/>
              <w:shd w:val="clear" w:color="auto" w:fill="auto"/>
              <w:suppressAutoHyphens w:val="true"/>
              <w:spacing w:before="0" w:after="0"/>
              <w:ind w:hanging="0"/>
              <w:jc w:val="center"/>
              <w:rPr>
                <w:bCs/>
              </w:rPr>
            </w:pPr>
            <w:r>
              <w:rPr>
                <w:bCs/>
                <w:kern w:val="0"/>
                <w:sz w:val="24"/>
                <w:szCs w:val="24"/>
                <w:lang w:val="ru-RU" w:eastAsia="ru-RU" w:bidi="ru-RU"/>
              </w:rPr>
              <w:t>2</w:t>
            </w:r>
          </w:p>
        </w:tc>
        <w:tc>
          <w:tcPr>
            <w:tcW w:w="6420" w:type="dxa"/>
            <w:tcBorders>
              <w:left w:val="single" w:sz="2" w:space="0" w:color="000000"/>
              <w:bottom w:val="single" w:sz="2" w:space="0" w:color="000000"/>
            </w:tcBorders>
            <w:vAlign w:val="center"/>
          </w:tcPr>
          <w:p>
            <w:pPr>
              <w:pStyle w:val="NoSpacing"/>
              <w:widowControl w:val="false"/>
              <w:suppressAutoHyphens w:val="true"/>
              <w:spacing w:before="0" w:after="0"/>
              <w:jc w:val="left"/>
              <w:rPr>
                <w:rFonts w:ascii="Liberation Serif" w:hAnsi="Liberation Serif" w:eastAsia="Courier New" w:cs="Times New Roman"/>
                <w:color w:val="1C1C1C"/>
                <w:kern w:val="0"/>
                <w:sz w:val="24"/>
                <w:szCs w:val="24"/>
                <w:lang w:val="ru-RU" w:eastAsia="ru-RU" w:bidi="ru-RU"/>
              </w:rPr>
            </w:pPr>
            <w:r>
              <w:rPr>
                <w:rFonts w:eastAsia="Courier New" w:cs="Times New Roman" w:ascii="Liberation Serif" w:hAnsi="Liberation Serif"/>
                <w:color w:val="1C1C1C"/>
                <w:kern w:val="0"/>
                <w:sz w:val="24"/>
                <w:szCs w:val="24"/>
                <w:lang w:val="ru-RU" w:eastAsia="ru-RU" w:bidi="ru-RU"/>
              </w:rPr>
              <w:t>Манжета для тонометра. Окружность плеча  32-52 см.</w:t>
            </w:r>
          </w:p>
          <w:p>
            <w:pPr>
              <w:pStyle w:val="Normal"/>
              <w:rPr>
                <w:rFonts w:ascii="Liberation Serif" w:hAnsi="Liberation Serif"/>
              </w:rPr>
            </w:pPr>
            <w:r>
              <w:rPr>
                <w:rFonts w:ascii="Liberation Serif" w:hAnsi="Liberation Serif"/>
              </w:rPr>
            </w:r>
          </w:p>
          <w:p>
            <w:pPr>
              <w:pStyle w:val="Normal"/>
              <w:rPr>
                <w:rFonts w:ascii="Liberation Serif" w:hAnsi="Liberation Serif"/>
                <w:sz w:val="24"/>
                <w:szCs w:val="24"/>
              </w:rPr>
            </w:pPr>
            <w:r>
              <w:rPr>
                <w:rFonts w:ascii="Liberation Serif" w:hAnsi="Liberation Serif"/>
                <w:sz w:val="24"/>
                <w:szCs w:val="24"/>
              </w:rPr>
            </w:r>
          </w:p>
          <w:p>
            <w:pPr>
              <w:pStyle w:val="Normal"/>
              <w:rPr>
                <w:rFonts w:ascii="Liberation Serif" w:hAnsi="Liberation Serif"/>
                <w:sz w:val="24"/>
                <w:szCs w:val="24"/>
              </w:rPr>
            </w:pPr>
            <w:r>
              <w:rPr>
                <w:rFonts w:ascii="Liberation Serif" w:hAnsi="Liberation Serif"/>
                <w:sz w:val="24"/>
                <w:szCs w:val="24"/>
              </w:rPr>
            </w:r>
          </w:p>
        </w:tc>
        <w:tc>
          <w:tcPr>
            <w:tcW w:w="1844" w:type="dxa"/>
            <w:tcBorders>
              <w:left w:val="single" w:sz="2" w:space="0" w:color="000000"/>
              <w:bottom w:val="single" w:sz="2" w:space="0" w:color="000000"/>
            </w:tcBorders>
            <w:vAlign w:val="center"/>
          </w:tcPr>
          <w:p>
            <w:pPr>
              <w:pStyle w:val="14"/>
              <w:widowControl w:val="false"/>
              <w:shd w:val="clear" w:color="auto" w:fill="auto"/>
              <w:suppressAutoHyphens w:val="true"/>
              <w:spacing w:before="0" w:after="0"/>
              <w:ind w:hanging="0"/>
              <w:jc w:val="center"/>
              <w:rPr>
                <w:bCs/>
                <w:lang w:val="en-US"/>
              </w:rPr>
            </w:pPr>
            <w:r>
              <w:rPr>
                <w:bCs/>
                <w:kern w:val="0"/>
                <w:sz w:val="24"/>
                <w:szCs w:val="24"/>
                <w:lang w:val="en-US" w:eastAsia="ru-RU" w:bidi="ru-RU"/>
              </w:rPr>
              <w:t>2</w:t>
            </w:r>
          </w:p>
        </w:tc>
        <w:tc>
          <w:tcPr>
            <w:tcW w:w="1416" w:type="dxa"/>
            <w:tcBorders>
              <w:left w:val="single" w:sz="2" w:space="0" w:color="000000"/>
              <w:bottom w:val="single" w:sz="2" w:space="0" w:color="000000"/>
            </w:tcBorders>
            <w:vAlign w:val="center"/>
          </w:tcPr>
          <w:p>
            <w:pPr>
              <w:pStyle w:val="14"/>
              <w:widowControl w:val="false"/>
              <w:shd w:val="clear" w:color="auto" w:fill="auto"/>
              <w:suppressAutoHyphens w:val="true"/>
              <w:spacing w:before="0" w:after="0"/>
              <w:ind w:hanging="0"/>
              <w:jc w:val="center"/>
              <w:rPr>
                <w:bCs/>
              </w:rPr>
            </w:pPr>
            <w:r>
              <w:rPr>
                <w:bCs/>
                <w:kern w:val="0"/>
                <w:sz w:val="24"/>
                <w:szCs w:val="24"/>
                <w:lang w:val="ru-RU" w:eastAsia="ru-RU" w:bidi="ru-RU"/>
              </w:rPr>
              <w:t>шт.</w:t>
            </w:r>
          </w:p>
        </w:tc>
        <w:tc>
          <w:tcPr>
            <w:tcW w:w="2552" w:type="dxa"/>
            <w:tcBorders>
              <w:left w:val="single" w:sz="2" w:space="0" w:color="000000"/>
              <w:bottom w:val="single" w:sz="2" w:space="0" w:color="000000"/>
            </w:tcBorders>
            <w:vAlign w:val="center"/>
          </w:tcPr>
          <w:p>
            <w:pPr>
              <w:pStyle w:val="Normal"/>
              <w:rPr/>
            </w:pPr>
            <w:r>
              <w:rPr/>
            </w:r>
          </w:p>
        </w:tc>
        <w:tc>
          <w:tcPr>
            <w:tcW w:w="2268" w:type="dxa"/>
            <w:tcBorders>
              <w:left w:val="single" w:sz="2" w:space="0" w:color="000000"/>
              <w:bottom w:val="single" w:sz="2" w:space="0" w:color="000000"/>
              <w:right w:val="single" w:sz="2" w:space="0" w:color="000000"/>
            </w:tcBorders>
            <w:vAlign w:val="center"/>
          </w:tcPr>
          <w:p>
            <w:pPr>
              <w:pStyle w:val="Normal"/>
              <w:rPr/>
            </w:pPr>
            <w:r>
              <w:rPr/>
            </w:r>
          </w:p>
        </w:tc>
      </w:tr>
      <w:tr>
        <w:trPr>
          <w:trHeight w:val="421" w:hRule="atLeast"/>
        </w:trPr>
        <w:tc>
          <w:tcPr>
            <w:tcW w:w="12894" w:type="dxa"/>
            <w:gridSpan w:val="5"/>
            <w:tcBorders>
              <w:left w:val="single" w:sz="2" w:space="0" w:color="000000"/>
              <w:bottom w:val="single" w:sz="2" w:space="0" w:color="000000"/>
            </w:tcBorders>
            <w:vAlign w:val="center"/>
          </w:tcPr>
          <w:p>
            <w:pPr>
              <w:pStyle w:val="14"/>
              <w:widowControl w:val="false"/>
              <w:shd w:val="clear" w:color="auto" w:fill="auto"/>
              <w:suppressAutoHyphens w:val="true"/>
              <w:spacing w:before="0" w:after="0"/>
              <w:ind w:hanging="0"/>
              <w:jc w:val="right"/>
              <w:rPr>
                <w:b/>
                <w:bCs/>
                <w:iCs/>
              </w:rPr>
            </w:pPr>
            <w:r>
              <w:rPr>
                <w:b/>
                <w:bCs/>
                <w:iCs/>
                <w:kern w:val="0"/>
                <w:sz w:val="24"/>
                <w:szCs w:val="24"/>
                <w:lang w:val="ru-RU" w:eastAsia="ru-RU" w:bidi="ru-RU"/>
              </w:rPr>
              <w:t>ИТОГО:</w:t>
            </w:r>
          </w:p>
        </w:tc>
        <w:tc>
          <w:tcPr>
            <w:tcW w:w="2268" w:type="dxa"/>
            <w:tcBorders>
              <w:left w:val="single" w:sz="2" w:space="0" w:color="000000"/>
              <w:bottom w:val="single" w:sz="2" w:space="0" w:color="000000"/>
              <w:right w:val="single" w:sz="2" w:space="0" w:color="000000"/>
            </w:tcBorders>
            <w:vAlign w:val="center"/>
          </w:tcPr>
          <w:p>
            <w:pPr>
              <w:pStyle w:val="Normal"/>
              <w:rPr/>
            </w:pPr>
            <w:r>
              <w:rPr/>
            </w:r>
          </w:p>
        </w:tc>
      </w:tr>
    </w:tbl>
    <w:p>
      <w:pPr>
        <w:pStyle w:val="14"/>
        <w:shd w:val="clear" w:color="auto" w:fill="auto"/>
        <w:spacing w:before="0" w:after="220"/>
        <w:ind w:hanging="0"/>
        <w:jc w:val="both"/>
        <w:rPr>
          <w:rFonts w:ascii="Liberation Serif" w:hAnsi="Liberation Serif"/>
          <w:vertAlign w:val="superscript"/>
        </w:rPr>
      </w:pPr>
      <w:r>
        <w:rPr>
          <w:rFonts w:ascii="Liberation Serif" w:hAnsi="Liberation Serif"/>
          <w:vertAlign w:val="superscript"/>
        </w:rPr>
        <w:t xml:space="preserve">     </w:t>
      </w:r>
      <w:r>
        <w:rPr>
          <w:rFonts w:ascii="Liberation Serif" w:hAnsi="Liberation Serif"/>
          <w:vertAlign w:val="superscript"/>
        </w:rPr>
        <w:t>1</w:t>
      </w:r>
      <w:r>
        <w:rPr>
          <w:rFonts w:ascii="Liberation Serif" w:hAnsi="Liberation Serif"/>
        </w:rPr>
        <w:t>Стоимость указывается в рублях и включает в себя: стоимость всего Товара все затраты Поставщика, связанные с исполнением Государственного контракта, в том числе страхование, уплату пошлин, налогов, сборов и других обязательных платежей, которые Поставщик обязан выплатить в связи с выполнением обязательств по Государственному контракту, в соответствии с законодательством Российской Федерации.</w:t>
      </w:r>
    </w:p>
    <w:p>
      <w:pPr>
        <w:pStyle w:val="BodyText"/>
        <w:spacing w:before="0" w:after="220"/>
        <w:jc w:val="both"/>
        <w:rPr/>
      </w:pPr>
      <w:r>
        <w:rPr>
          <w:rStyle w:val="Emphasis"/>
          <w:rFonts w:eastAsia="Times New Roman" w:cs="Times New Roman" w:ascii="Liberation Serif" w:hAnsi="Liberation Serif"/>
          <w:color w:val="1A1A1A"/>
        </w:rPr>
        <w:t> </w:t>
      </w:r>
      <w:r>
        <w:rPr>
          <w:rStyle w:val="Emphasis"/>
          <w:rFonts w:eastAsia="Times New Roman" w:cs="Times New Roman" w:ascii="Liberation Serif" w:hAnsi="Liberation Serif"/>
          <w:i w:val="false"/>
          <w:color w:val="1A1A1A"/>
        </w:rPr>
        <w:t>Заполняется по результатам проведения процедуры закупки с указанием НДС -    % или НДС не облагается</w:t>
      </w:r>
    </w:p>
    <w:p>
      <w:pPr>
        <w:pStyle w:val="BodyText"/>
        <w:widowControl/>
        <w:spacing w:before="0" w:after="0"/>
        <w:jc w:val="both"/>
        <w:rPr/>
      </w:pPr>
      <w:r>
        <w:rPr>
          <w:rStyle w:val="Emphasis"/>
          <w:rFonts w:eastAsia="Times New Roman" w:cs="Times New Roman" w:ascii="Liberation Serif" w:hAnsi="Liberation Serif"/>
          <w:i w:val="false"/>
          <w:color w:val="1A1A1A"/>
        </w:rPr>
        <w:t>** Сумма является начальной максимальной ценой и подлежит уменьшению на процент снижения в ходе поданных ценовых предложений.</w:t>
      </w:r>
    </w:p>
    <w:p>
      <w:pPr>
        <w:pStyle w:val="BodyText"/>
        <w:widowControl/>
        <w:spacing w:before="0" w:after="0"/>
        <w:jc w:val="both"/>
        <w:rPr>
          <w:rStyle w:val="Emphasis"/>
          <w:rFonts w:ascii="Liberation Serif" w:hAnsi="Liberation Serif" w:eastAsia="Times New Roman" w:cs="Times New Roman"/>
          <w:i w:val="false"/>
          <w:i w:val="false"/>
          <w:color w:val="1A1A1A"/>
        </w:rPr>
      </w:pPr>
      <w:r>
        <w:rPr>
          <w:rFonts w:eastAsia="Times New Roman" w:cs="Times New Roman" w:ascii="Liberation Serif" w:hAnsi="Liberation Serif"/>
          <w:i w:val="false"/>
          <w:color w:val="1A1A1A"/>
        </w:rPr>
      </w:r>
    </w:p>
    <w:p>
      <w:pPr>
        <w:pStyle w:val="BodyText"/>
        <w:widowControl/>
        <w:spacing w:before="0" w:after="0"/>
        <w:jc w:val="both"/>
        <w:rPr>
          <w:rStyle w:val="Emphasis"/>
          <w:rFonts w:ascii="Liberation Serif" w:hAnsi="Liberation Serif" w:eastAsia="Times New Roman" w:cs="Times New Roman"/>
          <w:i w:val="false"/>
          <w:i w:val="false"/>
          <w:color w:val="1A1A1A"/>
        </w:rPr>
      </w:pPr>
      <w:r>
        <w:rPr>
          <w:rFonts w:eastAsia="Times New Roman" w:cs="Times New Roman" w:ascii="Liberation Serif" w:hAnsi="Liberation Serif"/>
          <w:i w:val="false"/>
          <w:color w:val="1A1A1A"/>
        </w:rPr>
      </w:r>
    </w:p>
    <w:p>
      <w:pPr>
        <w:pStyle w:val="BodyText"/>
        <w:widowControl/>
        <w:spacing w:before="0" w:after="0"/>
        <w:jc w:val="both"/>
        <w:rPr>
          <w:rStyle w:val="Emphasis"/>
          <w:rFonts w:ascii="Liberation Serif" w:hAnsi="Liberation Serif" w:eastAsia="Times New Roman" w:cs="Times New Roman"/>
          <w:i w:val="false"/>
          <w:i w:val="false"/>
          <w:color w:val="1A1A1A"/>
        </w:rPr>
      </w:pPr>
      <w:r>
        <w:rPr>
          <w:rFonts w:eastAsia="Times New Roman" w:cs="Times New Roman" w:ascii="Liberation Serif" w:hAnsi="Liberation Serif"/>
          <w:i w:val="false"/>
          <w:color w:val="1A1A1A"/>
        </w:rPr>
      </w:r>
    </w:p>
    <w:p>
      <w:pPr>
        <w:pStyle w:val="BodyText"/>
        <w:widowControl/>
        <w:spacing w:before="0" w:after="0"/>
        <w:jc w:val="both"/>
        <w:rPr>
          <w:rStyle w:val="Emphasis"/>
          <w:rFonts w:ascii="Liberation Serif" w:hAnsi="Liberation Serif" w:eastAsia="Times New Roman" w:cs="Times New Roman"/>
          <w:i w:val="false"/>
          <w:i w:val="false"/>
          <w:color w:val="1A1A1A"/>
        </w:rPr>
      </w:pPr>
      <w:r>
        <w:rPr>
          <w:rFonts w:eastAsia="Times New Roman" w:cs="Times New Roman" w:ascii="Liberation Serif" w:hAnsi="Liberation Serif"/>
          <w:i w:val="false"/>
          <w:color w:val="1A1A1A"/>
        </w:rPr>
      </w:r>
    </w:p>
    <w:p>
      <w:pPr>
        <w:pStyle w:val="BodyText"/>
        <w:widowControl/>
        <w:spacing w:before="0" w:after="0"/>
        <w:jc w:val="both"/>
        <w:rPr>
          <w:rStyle w:val="Emphasis"/>
          <w:rFonts w:ascii="Liberation Serif" w:hAnsi="Liberation Serif" w:eastAsia="Times New Roman" w:cs="Times New Roman"/>
          <w:i w:val="false"/>
          <w:i w:val="false"/>
          <w:color w:val="1A1A1A"/>
        </w:rPr>
      </w:pPr>
      <w:r>
        <w:rPr>
          <w:rFonts w:eastAsia="Times New Roman" w:cs="Times New Roman" w:ascii="Liberation Serif" w:hAnsi="Liberation Serif"/>
          <w:i w:val="false"/>
          <w:color w:val="1A1A1A"/>
        </w:rPr>
      </w:r>
    </w:p>
    <w:p>
      <w:pPr>
        <w:pStyle w:val="Normal"/>
        <w:spacing w:lineRule="auto" w:line="240"/>
        <w:ind w:hanging="0" w:left="0" w:right="0"/>
        <w:jc w:val="right"/>
        <w:rPr/>
      </w:pPr>
      <w:r>
        <w:rPr>
          <w:rStyle w:val="Emphasis"/>
          <w:rFonts w:eastAsia="Times New Roman" w:cs="Times New Roman" w:ascii="Liberation Serif" w:hAnsi="Liberation Serif"/>
          <w:i w:val="false"/>
          <w:color w:val="1A1A1A"/>
        </w:rPr>
        <w:t>П</w:t>
      </w:r>
      <w:r>
        <w:rPr>
          <w:rFonts w:ascii="Liberation Serif" w:hAnsi="Liberation Serif"/>
        </w:rPr>
        <w:t xml:space="preserve">риложение №2 </w:t>
      </w:r>
    </w:p>
    <w:p>
      <w:pPr>
        <w:pStyle w:val="BodyTextFirstIndent"/>
        <w:bidi w:val="0"/>
        <w:spacing w:lineRule="auto" w:line="240" w:before="0" w:after="0"/>
        <w:ind w:hanging="0" w:left="0" w:right="0"/>
        <w:jc w:val="right"/>
        <w:rPr>
          <w:rFonts w:ascii="PT Astra Serif" w:hAnsi="PT Astra Serif"/>
        </w:rPr>
      </w:pPr>
      <w:r>
        <w:rPr>
          <w:rFonts w:ascii="Liberation Serif" w:hAnsi="Liberation Serif"/>
          <w:sz w:val="24"/>
          <w:szCs w:val="24"/>
        </w:rPr>
        <w:t xml:space="preserve">                                                                                          </w:t>
      </w:r>
      <w:r>
        <w:rPr>
          <w:rFonts w:ascii="Liberation Serif" w:hAnsi="Liberation Serif"/>
          <w:sz w:val="24"/>
          <w:szCs w:val="24"/>
        </w:rPr>
        <w:t xml:space="preserve">к Государственному контракту </w:t>
      </w:r>
    </w:p>
    <w:p>
      <w:pPr>
        <w:pStyle w:val="BodyTextFirstIndent"/>
        <w:bidi w:val="0"/>
        <w:spacing w:lineRule="auto" w:line="240" w:before="0" w:after="0"/>
        <w:ind w:hanging="0" w:left="0" w:right="0"/>
        <w:jc w:val="right"/>
        <w:rPr>
          <w:rFonts w:ascii="PT Astra Serif" w:hAnsi="PT Astra Serif"/>
        </w:rPr>
      </w:pPr>
      <w:r>
        <w:rPr>
          <w:rFonts w:ascii="Liberation Serif" w:hAnsi="Liberation Serif"/>
          <w:sz w:val="24"/>
          <w:szCs w:val="24"/>
        </w:rPr>
        <w:t>№</w:t>
      </w:r>
      <w:r>
        <w:rPr>
          <w:rFonts w:ascii="Liberation Serif" w:hAnsi="Liberation Serif"/>
          <w:sz w:val="24"/>
          <w:szCs w:val="24"/>
        </w:rPr>
        <w:t>________________________</w:t>
      </w:r>
    </w:p>
    <w:p>
      <w:pPr>
        <w:pStyle w:val="16"/>
        <w:ind w:hanging="0" w:left="7230"/>
        <w:jc w:val="both"/>
        <w:rPr>
          <w:rFonts w:ascii="Liberation Serif" w:hAnsi="Liberation Serif"/>
          <w:sz w:val="24"/>
          <w:szCs w:val="24"/>
        </w:rPr>
      </w:pPr>
      <w:r>
        <w:rPr>
          <w:rFonts w:ascii="Liberation Serif" w:hAnsi="Liberation Serif"/>
          <w:sz w:val="24"/>
          <w:szCs w:val="24"/>
        </w:rPr>
      </w:r>
    </w:p>
    <w:p>
      <w:pPr>
        <w:pStyle w:val="NoSpacing"/>
        <w:ind w:firstLine="709"/>
        <w:jc w:val="center"/>
        <w:rPr/>
      </w:pPr>
      <w:r>
        <w:rPr>
          <w:rFonts w:ascii="Times New Roman" w:hAnsi="Times New Roman"/>
          <w:b/>
        </w:rPr>
        <w:t>Техническое задание</w:t>
      </w:r>
    </w:p>
    <w:p>
      <w:pPr>
        <w:pStyle w:val="NoSpacing"/>
        <w:ind w:firstLine="709"/>
        <w:jc w:val="center"/>
        <w:rPr/>
      </w:pPr>
      <w:r>
        <w:rPr>
          <w:rFonts w:ascii="Times New Roman" w:hAnsi="Times New Roman"/>
          <w:b/>
          <w:bCs/>
        </w:rPr>
        <w:t>на поставку  м</w:t>
      </w:r>
      <w:r>
        <w:rPr>
          <w:rFonts w:ascii="Times New Roman" w:hAnsi="Times New Roman"/>
          <w:b/>
          <w:bCs/>
          <w:color w:val="auto"/>
        </w:rPr>
        <w:t xml:space="preserve">анжет для измерения артериального давления для </w:t>
      </w:r>
    </w:p>
    <w:p>
      <w:pPr>
        <w:pStyle w:val="NoSpacing"/>
        <w:ind w:firstLine="709"/>
        <w:jc w:val="center"/>
        <w:rPr/>
      </w:pPr>
      <w:r>
        <w:rPr>
          <w:rFonts w:ascii="Times New Roman" w:hAnsi="Times New Roman"/>
          <w:b/>
          <w:bCs/>
        </w:rPr>
        <w:t>нужд ФКУ "ГБ МСЭ по Московской области" Минтруда России</w:t>
      </w:r>
    </w:p>
    <w:p>
      <w:pPr>
        <w:pStyle w:val="Normal"/>
        <w:spacing w:lineRule="auto" w:line="240"/>
        <w:ind w:firstLine="709"/>
        <w:rPr>
          <w:rFonts w:ascii="Liberation Serif" w:hAnsi="Liberation Serif"/>
        </w:rPr>
      </w:pPr>
      <w:r>
        <w:rPr>
          <w:rFonts w:ascii="Liberation Serif" w:hAnsi="Liberation Serif"/>
        </w:rPr>
      </w:r>
    </w:p>
    <w:p>
      <w:pPr>
        <w:pStyle w:val="16"/>
        <w:ind w:firstLine="709"/>
        <w:jc w:val="both"/>
        <w:rPr/>
      </w:pPr>
      <w:r>
        <w:rPr>
          <w:rFonts w:ascii="Liberation Serif" w:hAnsi="Liberation Serif"/>
          <w:b w:val="false"/>
          <w:bCs w:val="false"/>
          <w:sz w:val="24"/>
          <w:szCs w:val="24"/>
        </w:rPr>
        <w:t>1. Наименование поставляемого Товара: манжеты для измерения артериального давления, многоразового использования  для нужд ФКУ «ГБ МСЭ по Московской области» Минтруда России (далее – Товар)</w:t>
      </w:r>
    </w:p>
    <w:p>
      <w:pPr>
        <w:pStyle w:val="16"/>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2. Ассортимент и количество поставляемого Товара: Ассортимент Товара, состав и технические характеристики должны соответствовать Приложению № 1 к Государственному контракту и настоящему Техническому заданию.</w:t>
      </w:r>
    </w:p>
    <w:p>
      <w:pPr>
        <w:pStyle w:val="16"/>
        <w:rPr>
          <w:rFonts w:ascii="Liberation Serif" w:hAnsi="Liberation Serif"/>
          <w:sz w:val="24"/>
          <w:szCs w:val="24"/>
        </w:rPr>
      </w:pPr>
      <w:r>
        <w:rPr>
          <w:rFonts w:ascii="Liberation Serif" w:hAnsi="Liberation Serif"/>
          <w:sz w:val="24"/>
          <w:szCs w:val="24"/>
        </w:rPr>
      </w:r>
    </w:p>
    <w:p>
      <w:pPr>
        <w:pStyle w:val="16"/>
        <w:widowControl/>
        <w:suppressAutoHyphens w:val="true"/>
        <w:bidi w:val="0"/>
        <w:spacing w:before="0" w:after="0"/>
        <w:ind w:hanging="0" w:left="964" w:right="0"/>
        <w:contextualSpacing/>
        <w:jc w:val="left"/>
        <w:rPr>
          <w:rFonts w:ascii="Liberation Serif" w:hAnsi="Liberation Serif"/>
          <w:sz w:val="24"/>
          <w:szCs w:val="24"/>
        </w:rPr>
      </w:pPr>
      <w:r>
        <w:rPr>
          <w:rFonts w:ascii="Liberation Serif" w:hAnsi="Liberation Serif"/>
          <w:sz w:val="24"/>
          <w:szCs w:val="24"/>
        </w:rPr>
      </w:r>
    </w:p>
    <w:p>
      <w:pPr>
        <w:pStyle w:val="16"/>
        <w:widowControl/>
        <w:suppressAutoHyphens w:val="true"/>
        <w:bidi w:val="0"/>
        <w:spacing w:before="0" w:after="0"/>
        <w:ind w:hanging="0" w:left="907" w:right="0"/>
        <w:contextualSpacing/>
        <w:jc w:val="left"/>
        <w:rPr>
          <w:rFonts w:ascii="Liberation Serif" w:hAnsi="Liberation Serif"/>
          <w:sz w:val="24"/>
          <w:szCs w:val="24"/>
        </w:rPr>
      </w:pPr>
      <w:r>
        <w:rPr>
          <w:rFonts w:ascii="Liberation Serif" w:hAnsi="Liberation Serif"/>
          <w:sz w:val="24"/>
          <w:szCs w:val="24"/>
        </w:rPr>
      </w:r>
    </w:p>
    <w:tbl>
      <w:tblPr>
        <w:tblW w:w="13440" w:type="dxa"/>
        <w:jc w:val="left"/>
        <w:tblInd w:w="966" w:type="dxa"/>
        <w:tblLayout w:type="fixed"/>
        <w:tblCellMar>
          <w:top w:w="55" w:type="dxa"/>
          <w:left w:w="55" w:type="dxa"/>
          <w:bottom w:w="55" w:type="dxa"/>
          <w:right w:w="55" w:type="dxa"/>
        </w:tblCellMar>
      </w:tblPr>
      <w:tblGrid>
        <w:gridCol w:w="1439"/>
        <w:gridCol w:w="2251"/>
        <w:gridCol w:w="4470"/>
        <w:gridCol w:w="1140"/>
        <w:gridCol w:w="1755"/>
        <w:gridCol w:w="1245"/>
        <w:gridCol w:w="1139"/>
      </w:tblGrid>
      <w:tr>
        <w:trPr/>
        <w:tc>
          <w:tcPr>
            <w:tcW w:w="1439" w:type="dxa"/>
            <w:vMerge w:val="restart"/>
            <w:tcBorders>
              <w:top w:val="single" w:sz="4" w:space="0" w:color="000000"/>
              <w:left w:val="single" w:sz="4" w:space="0" w:color="000000"/>
              <w:bottom w:val="single" w:sz="4" w:space="0" w:color="000000"/>
            </w:tcBorders>
          </w:tcPr>
          <w:p>
            <w:pPr>
              <w:pStyle w:val="Normal"/>
              <w:tabs>
                <w:tab w:val="clear" w:pos="708"/>
              </w:tabs>
              <w:spacing w:lineRule="auto" w:line="240"/>
              <w:rPr/>
            </w:pPr>
            <w:r>
              <w:rPr>
                <w:rFonts w:ascii="Liberation Serif" w:hAnsi="Liberation Serif"/>
                <w:b/>
                <w:bCs/>
              </w:rPr>
              <w:t xml:space="preserve">№ </w:t>
            </w:r>
            <w:r>
              <w:rPr>
                <w:rFonts w:ascii="Liberation Serif" w:hAnsi="Liberation Serif"/>
                <w:b/>
                <w:bCs/>
              </w:rPr>
              <w:t>п/п</w:t>
            </w:r>
          </w:p>
        </w:tc>
        <w:tc>
          <w:tcPr>
            <w:tcW w:w="2251" w:type="dxa"/>
            <w:vMerge w:val="restart"/>
            <w:tcBorders>
              <w:top w:val="single" w:sz="4" w:space="0" w:color="000000"/>
              <w:left w:val="single" w:sz="4" w:space="0" w:color="000000"/>
              <w:bottom w:val="single" w:sz="4" w:space="0" w:color="000000"/>
            </w:tcBorders>
          </w:tcPr>
          <w:p>
            <w:pPr>
              <w:pStyle w:val="Normal"/>
              <w:tabs>
                <w:tab w:val="clear" w:pos="708"/>
              </w:tabs>
              <w:spacing w:lineRule="auto" w:line="240"/>
              <w:rPr/>
            </w:pPr>
            <w:r>
              <w:rPr>
                <w:rFonts w:ascii="Liberation Serif" w:hAnsi="Liberation Serif"/>
                <w:b/>
                <w:bCs/>
              </w:rPr>
              <w:t>Наименование товара</w:t>
            </w:r>
          </w:p>
        </w:tc>
        <w:tc>
          <w:tcPr>
            <w:tcW w:w="7365" w:type="dxa"/>
            <w:gridSpan w:val="3"/>
            <w:tcBorders>
              <w:top w:val="single" w:sz="4" w:space="0" w:color="000000"/>
              <w:left w:val="single" w:sz="4" w:space="0" w:color="000000"/>
              <w:bottom w:val="single" w:sz="4" w:space="0" w:color="000000"/>
            </w:tcBorders>
          </w:tcPr>
          <w:p>
            <w:pPr>
              <w:pStyle w:val="Normal"/>
              <w:tabs>
                <w:tab w:val="clear" w:pos="708"/>
              </w:tabs>
              <w:spacing w:lineRule="auto" w:line="240"/>
              <w:rPr/>
            </w:pPr>
            <w:r>
              <w:rPr>
                <w:rFonts w:ascii="Liberation Serif" w:hAnsi="Liberation Serif"/>
                <w:b/>
                <w:bCs/>
              </w:rPr>
              <w:t>Требования к функциональным, техническим и качественным характеристикам, эксплуатационным характеристикам (при необходимости) товара</w:t>
            </w:r>
          </w:p>
        </w:tc>
        <w:tc>
          <w:tcPr>
            <w:tcW w:w="1245" w:type="dxa"/>
            <w:vMerge w:val="restart"/>
            <w:tcBorders>
              <w:top w:val="single" w:sz="4" w:space="0" w:color="000000"/>
              <w:left w:val="single" w:sz="4" w:space="0" w:color="000000"/>
              <w:bottom w:val="single" w:sz="4" w:space="0" w:color="000000"/>
            </w:tcBorders>
          </w:tcPr>
          <w:p>
            <w:pPr>
              <w:pStyle w:val="Normal"/>
              <w:tabs>
                <w:tab w:val="clear" w:pos="708"/>
              </w:tabs>
              <w:spacing w:lineRule="auto" w:line="240"/>
              <w:rPr/>
            </w:pPr>
            <w:r>
              <w:rPr>
                <w:rFonts w:ascii="Liberation Serif" w:hAnsi="Liberation Serif"/>
                <w:b/>
                <w:bCs/>
              </w:rPr>
              <w:t>Единица измерения по ОКЕИ</w:t>
            </w:r>
          </w:p>
        </w:tc>
        <w:tc>
          <w:tcPr>
            <w:tcW w:w="1139" w:type="dxa"/>
            <w:vMerge w:val="restart"/>
            <w:tcBorders>
              <w:top w:val="single" w:sz="4" w:space="0" w:color="000000"/>
              <w:left w:val="single" w:sz="4" w:space="0" w:color="000000"/>
              <w:bottom w:val="single" w:sz="4" w:space="0" w:color="000000"/>
              <w:right w:val="single" w:sz="4" w:space="0" w:color="000000"/>
            </w:tcBorders>
          </w:tcPr>
          <w:p>
            <w:pPr>
              <w:pStyle w:val="Style25"/>
              <w:tabs>
                <w:tab w:val="clear" w:pos="708"/>
              </w:tabs>
              <w:spacing w:lineRule="auto" w:line="240" w:before="0" w:after="0"/>
              <w:rPr/>
            </w:pPr>
            <w:r>
              <w:rPr>
                <w:rFonts w:ascii="PT Astra Serif" w:hAnsi="PT Astra Serif"/>
                <w:b/>
                <w:bCs/>
              </w:rPr>
              <w:t>Кол-во</w:t>
            </w:r>
          </w:p>
        </w:tc>
      </w:tr>
      <w:tr>
        <w:trPr>
          <w:trHeight w:val="417" w:hRule="atLeast"/>
        </w:trPr>
        <w:tc>
          <w:tcPr>
            <w:tcW w:w="1439" w:type="dxa"/>
            <w:vMerge w:val="continue"/>
            <w:tcBorders>
              <w:top w:val="single" w:sz="4" w:space="0" w:color="000000"/>
              <w:left w:val="single" w:sz="4" w:space="0" w:color="000000"/>
              <w:bottom w:val="single" w:sz="4" w:space="0" w:color="000000"/>
            </w:tcBorders>
          </w:tcPr>
          <w:p>
            <w:pPr>
              <w:pStyle w:val="Style25"/>
              <w:tabs>
                <w:tab w:val="clear" w:pos="708"/>
              </w:tabs>
              <w:spacing w:lineRule="auto" w:line="240" w:before="0" w:after="0"/>
              <w:rPr>
                <w:rFonts w:ascii="PT Astra Serif" w:hAnsi="PT Astra Serif"/>
              </w:rPr>
            </w:pPr>
            <w:r>
              <w:rPr>
                <w:rFonts w:ascii="PT Astra Serif" w:hAnsi="PT Astra Serif"/>
              </w:rPr>
            </w:r>
          </w:p>
        </w:tc>
        <w:tc>
          <w:tcPr>
            <w:tcW w:w="2251" w:type="dxa"/>
            <w:vMerge w:val="continue"/>
            <w:tcBorders>
              <w:top w:val="single" w:sz="4" w:space="0" w:color="000000"/>
              <w:left w:val="single" w:sz="4" w:space="0" w:color="000000"/>
              <w:bottom w:val="single" w:sz="4" w:space="0" w:color="000000"/>
            </w:tcBorders>
          </w:tcPr>
          <w:p>
            <w:pPr>
              <w:pStyle w:val="Style25"/>
              <w:tabs>
                <w:tab w:val="clear" w:pos="708"/>
              </w:tabs>
              <w:spacing w:lineRule="auto" w:line="240" w:before="0" w:after="0"/>
              <w:rPr>
                <w:rFonts w:ascii="PT Astra Serif" w:hAnsi="PT Astra Serif"/>
              </w:rPr>
            </w:pPr>
            <w:r>
              <w:rPr>
                <w:rFonts w:ascii="PT Astra Serif" w:hAnsi="PT Astra Serif"/>
              </w:rPr>
            </w:r>
          </w:p>
        </w:tc>
        <w:tc>
          <w:tcPr>
            <w:tcW w:w="4470" w:type="dxa"/>
            <w:tcBorders>
              <w:left w:val="single" w:sz="4" w:space="0" w:color="000000"/>
              <w:bottom w:val="single" w:sz="4" w:space="0" w:color="000000"/>
            </w:tcBorders>
          </w:tcPr>
          <w:p>
            <w:pPr>
              <w:pStyle w:val="Normal"/>
              <w:tabs>
                <w:tab w:val="clear" w:pos="708"/>
              </w:tabs>
              <w:spacing w:lineRule="auto" w:line="240"/>
              <w:rPr/>
            </w:pPr>
            <w:r>
              <w:rPr>
                <w:rFonts w:ascii="Liberation Serif" w:hAnsi="Liberation Serif"/>
                <w:b/>
                <w:bCs/>
              </w:rPr>
              <w:t>Наименование показателя</w:t>
            </w:r>
          </w:p>
        </w:tc>
        <w:tc>
          <w:tcPr>
            <w:tcW w:w="1140" w:type="dxa"/>
            <w:tcBorders>
              <w:left w:val="single" w:sz="4" w:space="0" w:color="000000"/>
              <w:bottom w:val="single" w:sz="4" w:space="0" w:color="000000"/>
            </w:tcBorders>
          </w:tcPr>
          <w:p>
            <w:pPr>
              <w:pStyle w:val="Normal"/>
              <w:tabs>
                <w:tab w:val="clear" w:pos="708"/>
              </w:tabs>
              <w:spacing w:lineRule="auto" w:line="240"/>
              <w:rPr/>
            </w:pPr>
            <w:r>
              <w:rPr>
                <w:rFonts w:ascii="Liberation Serif" w:hAnsi="Liberation Serif"/>
                <w:b/>
                <w:bCs/>
              </w:rPr>
              <w:t>Единица измерения показателя</w:t>
            </w:r>
          </w:p>
        </w:tc>
        <w:tc>
          <w:tcPr>
            <w:tcW w:w="1755" w:type="dxa"/>
            <w:tcBorders>
              <w:left w:val="single" w:sz="4" w:space="0" w:color="000000"/>
              <w:bottom w:val="single" w:sz="4" w:space="0" w:color="000000"/>
            </w:tcBorders>
          </w:tcPr>
          <w:p>
            <w:pPr>
              <w:pStyle w:val="Normal"/>
              <w:tabs>
                <w:tab w:val="clear" w:pos="708"/>
              </w:tabs>
              <w:spacing w:lineRule="auto" w:line="240"/>
              <w:rPr/>
            </w:pPr>
            <w:r>
              <w:rPr>
                <w:rFonts w:ascii="Liberation Serif" w:hAnsi="Liberation Serif"/>
                <w:b/>
                <w:bCs/>
              </w:rPr>
              <w:t>Значения показателей</w:t>
            </w:r>
          </w:p>
        </w:tc>
        <w:tc>
          <w:tcPr>
            <w:tcW w:w="1245" w:type="dxa"/>
            <w:vMerge w:val="continue"/>
            <w:tcBorders>
              <w:top w:val="single" w:sz="4" w:space="0" w:color="000000"/>
              <w:left w:val="single" w:sz="4" w:space="0" w:color="000000"/>
              <w:bottom w:val="single" w:sz="4" w:space="0" w:color="000000"/>
            </w:tcBorders>
          </w:tcPr>
          <w:p>
            <w:pPr>
              <w:pStyle w:val="Style25"/>
              <w:tabs>
                <w:tab w:val="clear" w:pos="708"/>
              </w:tabs>
              <w:spacing w:lineRule="auto" w:line="240" w:before="0" w:after="0"/>
              <w:rPr>
                <w:rFonts w:ascii="PT Astra Serif" w:hAnsi="PT Astra Serif"/>
              </w:rPr>
            </w:pPr>
            <w:r>
              <w:rPr>
                <w:rFonts w:ascii="PT Astra Serif" w:hAnsi="PT Astra Serif"/>
              </w:rPr>
            </w:r>
          </w:p>
        </w:tc>
        <w:tc>
          <w:tcPr>
            <w:tcW w:w="1139" w:type="dxa"/>
            <w:vMerge w:val="continue"/>
            <w:tcBorders>
              <w:top w:val="single" w:sz="4" w:space="0" w:color="000000"/>
              <w:left w:val="single" w:sz="4" w:space="0" w:color="000000"/>
              <w:bottom w:val="single" w:sz="4" w:space="0" w:color="000000"/>
              <w:right w:val="single" w:sz="4" w:space="0" w:color="000000"/>
            </w:tcBorders>
          </w:tcPr>
          <w:p>
            <w:pPr>
              <w:pStyle w:val="Style25"/>
              <w:tabs>
                <w:tab w:val="clear" w:pos="708"/>
              </w:tabs>
              <w:spacing w:lineRule="auto" w:line="240" w:before="0" w:after="0"/>
              <w:rPr>
                <w:rFonts w:ascii="PT Astra Serif" w:hAnsi="PT Astra Serif"/>
              </w:rPr>
            </w:pPr>
            <w:r>
              <w:rPr>
                <w:rFonts w:ascii="PT Astra Serif" w:hAnsi="PT Astra Serif"/>
              </w:rPr>
            </w:r>
          </w:p>
        </w:tc>
      </w:tr>
    </w:tbl>
    <w:p>
      <w:pPr>
        <w:pStyle w:val="Normal"/>
        <w:spacing w:lineRule="auto" w:line="240" w:before="0" w:after="0"/>
        <w:jc w:val="left"/>
        <w:rPr>
          <w:rFonts w:eastAsia="Times New Roman" w:cs="Times New Roman"/>
          <w:color w:val="000000"/>
        </w:rPr>
      </w:pPr>
      <w:r>
        <w:rPr>
          <w:rFonts w:eastAsia="Times New Roman" w:cs="Times New Roman"/>
          <w:color w:val="000000"/>
        </w:rPr>
      </w:r>
    </w:p>
    <w:p>
      <w:pPr>
        <w:pStyle w:val="Normal"/>
        <w:widowControl/>
        <w:suppressAutoHyphens w:val="true"/>
        <w:bidi w:val="0"/>
        <w:spacing w:before="0" w:after="0"/>
        <w:ind w:hanging="0" w:left="907" w:right="0"/>
        <w:contextualSpacing/>
        <w:jc w:val="left"/>
        <w:rPr>
          <w:rFonts w:ascii="Liberation Serif" w:hAnsi="Liberation Serif"/>
          <w:sz w:val="24"/>
          <w:szCs w:val="24"/>
        </w:rPr>
      </w:pPr>
      <w:r>
        <w:rPr>
          <w:rFonts w:ascii="Liberation Serif" w:hAnsi="Liberation Serif"/>
          <w:sz w:val="24"/>
          <w:szCs w:val="24"/>
        </w:rPr>
      </w:r>
    </w:p>
    <w:tbl>
      <w:tblPr>
        <w:tblW w:w="13351" w:type="dxa"/>
        <w:jc w:val="center"/>
        <w:tblInd w:w="0" w:type="dxa"/>
        <w:tblLayout w:type="fixed"/>
        <w:tblCellMar>
          <w:top w:w="0" w:type="dxa"/>
          <w:left w:w="108" w:type="dxa"/>
          <w:bottom w:w="0" w:type="dxa"/>
          <w:right w:w="108" w:type="dxa"/>
        </w:tblCellMar>
      </w:tblPr>
      <w:tblGrid>
        <w:gridCol w:w="1444"/>
        <w:gridCol w:w="2263"/>
        <w:gridCol w:w="4453"/>
        <w:gridCol w:w="1080"/>
        <w:gridCol w:w="1754"/>
        <w:gridCol w:w="1282"/>
        <w:gridCol w:w="1073"/>
      </w:tblGrid>
      <w:tr>
        <w:trPr>
          <w:trHeight w:val="300" w:hRule="atLeast"/>
        </w:trPr>
        <w:tc>
          <w:tcPr>
            <w:tcW w:w="144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ascii="Liberation Serif" w:hAnsi="Liberation Serif"/>
                <w:bCs/>
              </w:rPr>
              <w:t>1</w:t>
            </w:r>
          </w:p>
        </w:tc>
        <w:tc>
          <w:tcPr>
            <w:tcW w:w="22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ascii="Liberation Serif" w:hAnsi="Liberation Serif"/>
                <w:bCs/>
              </w:rPr>
              <w:t>Манжета для измерения артериального давления, многоразового использования</w:t>
            </w:r>
          </w:p>
        </w:tc>
        <w:tc>
          <w:tcPr>
            <w:tcW w:w="4453" w:type="dxa"/>
            <w:tcBorders>
              <w:top w:val="single" w:sz="4" w:space="0" w:color="000000"/>
              <w:left w:val="single" w:sz="4" w:space="0" w:color="000000"/>
              <w:bottom w:val="single" w:sz="4" w:space="0" w:color="000000"/>
              <w:right w:val="single" w:sz="4" w:space="0" w:color="000000"/>
            </w:tcBorders>
            <w:shd w:color="auto" w:fill="FFFFFF"/>
            <w:vAlign w:val="center"/>
          </w:tcPr>
          <w:p>
            <w:pPr>
              <w:pStyle w:val="Normal"/>
              <w:tabs>
                <w:tab w:val="clear" w:pos="708"/>
              </w:tabs>
              <w:spacing w:lineRule="auto" w:line="240"/>
              <w:rPr/>
            </w:pPr>
            <w:r>
              <w:rPr>
                <w:rFonts w:ascii="Liberation Serif" w:hAnsi="Liberation Serif"/>
              </w:rPr>
              <w:t>Материал манжеты</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bCs/>
              </w:rPr>
            </w:pPr>
            <w:r>
              <w:rPr>
                <w:rFonts w:ascii="Liberation Serif" w:hAnsi="Liberation Serif"/>
                <w:bCs/>
              </w:rPr>
            </w:r>
          </w:p>
        </w:tc>
        <w:tc>
          <w:tcPr>
            <w:tcW w:w="175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ascii="Liberation Serif" w:hAnsi="Liberation Serif"/>
              </w:rPr>
              <w:t>Нейлон</w:t>
            </w:r>
          </w:p>
        </w:tc>
        <w:tc>
          <w:tcPr>
            <w:tcW w:w="128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rPr>
            </w:pPr>
            <w:r>
              <w:rPr>
                <w:rFonts w:ascii="Liberation Serif" w:hAnsi="Liberation Serif"/>
                <w:bCs/>
              </w:rPr>
              <w:t>шт.</w:t>
            </w:r>
          </w:p>
        </w:tc>
        <w:tc>
          <w:tcPr>
            <w:tcW w:w="107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rPr>
            </w:pPr>
            <w:r>
              <w:rPr>
                <w:rFonts w:ascii="Liberation Serif" w:hAnsi="Liberation Serif"/>
                <w:bCs/>
              </w:rPr>
              <w:t>2</w:t>
            </w:r>
          </w:p>
        </w:tc>
      </w:tr>
      <w:tr>
        <w:trPr>
          <w:trHeight w:val="300" w:hRule="atLeast"/>
        </w:trPr>
        <w:tc>
          <w:tcPr>
            <w:tcW w:w="14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bCs/>
              </w:rPr>
            </w:pPr>
            <w:r>
              <w:rPr>
                <w:rFonts w:ascii="Liberation Serif" w:hAnsi="Liberation Serif"/>
                <w:bCs/>
              </w:rPr>
            </w:r>
          </w:p>
        </w:tc>
        <w:tc>
          <w:tcPr>
            <w:tcW w:w="22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bCs/>
              </w:rPr>
            </w:pPr>
            <w:r>
              <w:rPr>
                <w:rFonts w:ascii="Liberation Serif" w:hAnsi="Liberation Serif"/>
                <w:bCs/>
              </w:rPr>
            </w:r>
          </w:p>
        </w:tc>
        <w:tc>
          <w:tcPr>
            <w:tcW w:w="4453" w:type="dxa"/>
            <w:tcBorders>
              <w:top w:val="single" w:sz="4" w:space="0" w:color="000000"/>
              <w:left w:val="single" w:sz="4" w:space="0" w:color="000000"/>
              <w:bottom w:val="single" w:sz="4" w:space="0" w:color="000000"/>
              <w:right w:val="single" w:sz="4" w:space="0" w:color="000000"/>
            </w:tcBorders>
            <w:shd w:color="auto" w:fill="FFFFFF"/>
            <w:vAlign w:val="center"/>
          </w:tcPr>
          <w:p>
            <w:pPr>
              <w:pStyle w:val="Normal"/>
              <w:tabs>
                <w:tab w:val="clear" w:pos="708"/>
              </w:tabs>
              <w:spacing w:lineRule="auto" w:line="240"/>
              <w:rPr/>
            </w:pPr>
            <w:r>
              <w:rPr>
                <w:rFonts w:ascii="Liberation Serif" w:hAnsi="Liberation Serif"/>
              </w:rPr>
              <w:t>Минимальное измерение давления воздуха в манжете</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ascii="Liberation Serif" w:hAnsi="Liberation Serif"/>
                <w:bCs/>
              </w:rPr>
              <w:t>мм рт.ст.</w:t>
            </w:r>
          </w:p>
        </w:tc>
        <w:tc>
          <w:tcPr>
            <w:tcW w:w="175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ascii="Liberation Serif" w:hAnsi="Liberation Serif"/>
              </w:rPr>
              <w:t xml:space="preserve">≥ </w:t>
            </w:r>
            <w:r>
              <w:rPr>
                <w:rFonts w:ascii="Liberation Serif" w:hAnsi="Liberation Serif"/>
              </w:rPr>
              <w:t>20 и ≤ 25</w:t>
            </w:r>
          </w:p>
        </w:tc>
        <w:tc>
          <w:tcPr>
            <w:tcW w:w="12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bCs/>
              </w:rPr>
            </w:pPr>
            <w:r>
              <w:rPr>
                <w:rFonts w:ascii="Liberation Serif" w:hAnsi="Liberation Serif"/>
                <w:bCs/>
              </w:rPr>
            </w:r>
          </w:p>
        </w:tc>
        <w:tc>
          <w:tcPr>
            <w:tcW w:w="107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bCs/>
              </w:rPr>
            </w:pPr>
            <w:r>
              <w:rPr>
                <w:rFonts w:ascii="Liberation Serif" w:hAnsi="Liberation Serif"/>
                <w:bCs/>
              </w:rPr>
            </w:r>
          </w:p>
        </w:tc>
      </w:tr>
      <w:tr>
        <w:trPr>
          <w:trHeight w:val="300" w:hRule="atLeast"/>
        </w:trPr>
        <w:tc>
          <w:tcPr>
            <w:tcW w:w="14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bCs/>
              </w:rPr>
            </w:pPr>
            <w:r>
              <w:rPr>
                <w:rFonts w:ascii="Liberation Serif" w:hAnsi="Liberation Serif"/>
                <w:bCs/>
              </w:rPr>
            </w:r>
          </w:p>
        </w:tc>
        <w:tc>
          <w:tcPr>
            <w:tcW w:w="22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bCs/>
              </w:rPr>
            </w:pPr>
            <w:r>
              <w:rPr>
                <w:rFonts w:ascii="Liberation Serif" w:hAnsi="Liberation Serif"/>
                <w:bCs/>
              </w:rPr>
            </w:r>
          </w:p>
        </w:tc>
        <w:tc>
          <w:tcPr>
            <w:tcW w:w="4453" w:type="dxa"/>
            <w:tcBorders>
              <w:top w:val="single" w:sz="4" w:space="0" w:color="000000"/>
              <w:left w:val="single" w:sz="4" w:space="0" w:color="000000"/>
              <w:bottom w:val="single" w:sz="4" w:space="0" w:color="000000"/>
              <w:right w:val="single" w:sz="4" w:space="0" w:color="000000"/>
            </w:tcBorders>
            <w:shd w:color="auto" w:fill="FFFFFF"/>
            <w:vAlign w:val="center"/>
          </w:tcPr>
          <w:p>
            <w:pPr>
              <w:pStyle w:val="Normal"/>
              <w:tabs>
                <w:tab w:val="clear" w:pos="708"/>
              </w:tabs>
              <w:spacing w:lineRule="auto" w:line="240"/>
              <w:rPr/>
            </w:pPr>
            <w:r>
              <w:rPr>
                <w:rFonts w:ascii="Liberation Serif" w:hAnsi="Liberation Serif"/>
              </w:rPr>
              <w:t>Максимальное измерение давления воздуха в манжете</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ascii="Liberation Serif" w:hAnsi="Liberation Serif"/>
                <w:bCs/>
              </w:rPr>
              <w:t>мм рт.ст.</w:t>
            </w:r>
          </w:p>
        </w:tc>
        <w:tc>
          <w:tcPr>
            <w:tcW w:w="175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ascii="Liberation Serif" w:hAnsi="Liberation Serif"/>
              </w:rPr>
              <w:t xml:space="preserve">≥ </w:t>
            </w:r>
            <w:r>
              <w:rPr>
                <w:rFonts w:ascii="Liberation Serif" w:hAnsi="Liberation Serif"/>
              </w:rPr>
              <w:t>295 и ≤ 300</w:t>
            </w:r>
          </w:p>
        </w:tc>
        <w:tc>
          <w:tcPr>
            <w:tcW w:w="12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bCs/>
              </w:rPr>
            </w:pPr>
            <w:r>
              <w:rPr>
                <w:rFonts w:ascii="Liberation Serif" w:hAnsi="Liberation Serif"/>
                <w:bCs/>
              </w:rPr>
            </w:r>
          </w:p>
        </w:tc>
        <w:tc>
          <w:tcPr>
            <w:tcW w:w="107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bCs/>
              </w:rPr>
            </w:pPr>
            <w:r>
              <w:rPr>
                <w:rFonts w:ascii="Liberation Serif" w:hAnsi="Liberation Serif"/>
                <w:bCs/>
              </w:rPr>
            </w:r>
          </w:p>
        </w:tc>
      </w:tr>
      <w:tr>
        <w:trPr>
          <w:trHeight w:val="300" w:hRule="atLeast"/>
        </w:trPr>
        <w:tc>
          <w:tcPr>
            <w:tcW w:w="14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bCs/>
              </w:rPr>
            </w:pPr>
            <w:r>
              <w:rPr>
                <w:rFonts w:ascii="Liberation Serif" w:hAnsi="Liberation Serif"/>
                <w:bCs/>
              </w:rPr>
            </w:r>
          </w:p>
        </w:tc>
        <w:tc>
          <w:tcPr>
            <w:tcW w:w="22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bCs/>
              </w:rPr>
            </w:pPr>
            <w:r>
              <w:rPr>
                <w:rFonts w:ascii="Liberation Serif" w:hAnsi="Liberation Serif"/>
                <w:bCs/>
              </w:rPr>
            </w:r>
          </w:p>
        </w:tc>
        <w:tc>
          <w:tcPr>
            <w:tcW w:w="4453" w:type="dxa"/>
            <w:tcBorders>
              <w:top w:val="single" w:sz="4" w:space="0" w:color="000000"/>
              <w:left w:val="single" w:sz="4" w:space="0" w:color="000000"/>
              <w:bottom w:val="single" w:sz="4" w:space="0" w:color="000000"/>
              <w:right w:val="single" w:sz="4" w:space="0" w:color="000000"/>
            </w:tcBorders>
            <w:shd w:color="auto" w:fill="FFFFFF"/>
            <w:vAlign w:val="center"/>
          </w:tcPr>
          <w:p>
            <w:pPr>
              <w:pStyle w:val="Normal"/>
              <w:tabs>
                <w:tab w:val="clear" w:pos="708"/>
              </w:tabs>
              <w:spacing w:lineRule="auto" w:line="240"/>
              <w:rPr/>
            </w:pPr>
            <w:r>
              <w:rPr>
                <w:rFonts w:ascii="Liberation Serif" w:hAnsi="Liberation Serif"/>
              </w:rPr>
              <w:t>Обхват манжеты, максимальный</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ascii="Liberation Serif" w:hAnsi="Liberation Serif"/>
                <w:bCs/>
              </w:rPr>
              <w:t>см</w:t>
            </w:r>
          </w:p>
        </w:tc>
        <w:tc>
          <w:tcPr>
            <w:tcW w:w="175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ascii="Liberation Serif" w:hAnsi="Liberation Serif"/>
              </w:rPr>
              <w:t xml:space="preserve">≥ </w:t>
            </w:r>
            <w:r>
              <w:rPr>
                <w:rFonts w:ascii="Liberation Serif" w:hAnsi="Liberation Serif"/>
              </w:rPr>
              <w:t>40 и ≤ 44</w:t>
            </w:r>
          </w:p>
        </w:tc>
        <w:tc>
          <w:tcPr>
            <w:tcW w:w="12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bCs/>
              </w:rPr>
            </w:pPr>
            <w:r>
              <w:rPr>
                <w:rFonts w:ascii="Liberation Serif" w:hAnsi="Liberation Serif"/>
                <w:bCs/>
              </w:rPr>
            </w:r>
          </w:p>
        </w:tc>
        <w:tc>
          <w:tcPr>
            <w:tcW w:w="107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bCs/>
              </w:rPr>
            </w:pPr>
            <w:r>
              <w:rPr>
                <w:rFonts w:ascii="Liberation Serif" w:hAnsi="Liberation Serif"/>
                <w:bCs/>
              </w:rPr>
            </w:r>
          </w:p>
        </w:tc>
      </w:tr>
      <w:tr>
        <w:trPr>
          <w:trHeight w:val="300" w:hRule="atLeast"/>
        </w:trPr>
        <w:tc>
          <w:tcPr>
            <w:tcW w:w="14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bCs/>
              </w:rPr>
            </w:pPr>
            <w:r>
              <w:rPr>
                <w:rFonts w:ascii="Liberation Serif" w:hAnsi="Liberation Serif"/>
                <w:bCs/>
              </w:rPr>
            </w:r>
          </w:p>
        </w:tc>
        <w:tc>
          <w:tcPr>
            <w:tcW w:w="22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bCs/>
              </w:rPr>
            </w:pPr>
            <w:r>
              <w:rPr>
                <w:rFonts w:ascii="Liberation Serif" w:hAnsi="Liberation Serif"/>
                <w:bCs/>
              </w:rPr>
            </w:r>
          </w:p>
        </w:tc>
        <w:tc>
          <w:tcPr>
            <w:tcW w:w="4453" w:type="dxa"/>
            <w:tcBorders>
              <w:top w:val="single" w:sz="4" w:space="0" w:color="000000"/>
              <w:left w:val="single" w:sz="4" w:space="0" w:color="000000"/>
              <w:bottom w:val="single" w:sz="4" w:space="0" w:color="000000"/>
              <w:right w:val="single" w:sz="4" w:space="0" w:color="000000"/>
            </w:tcBorders>
            <w:shd w:color="auto" w:fill="FFFFFF"/>
            <w:vAlign w:val="center"/>
          </w:tcPr>
          <w:p>
            <w:pPr>
              <w:pStyle w:val="Normal"/>
              <w:tabs>
                <w:tab w:val="clear" w:pos="708"/>
              </w:tabs>
              <w:spacing w:lineRule="auto" w:line="240"/>
              <w:rPr/>
            </w:pPr>
            <w:r>
              <w:rPr>
                <w:rFonts w:ascii="Liberation Serif" w:hAnsi="Liberation Serif"/>
              </w:rPr>
              <w:t>Обхват манжеты, минимальный</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ascii="Liberation Serif" w:hAnsi="Liberation Serif"/>
                <w:bCs/>
              </w:rPr>
              <w:t>см</w:t>
            </w:r>
          </w:p>
        </w:tc>
        <w:tc>
          <w:tcPr>
            <w:tcW w:w="175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ascii="Liberation Serif" w:hAnsi="Liberation Serif"/>
              </w:rPr>
              <w:t xml:space="preserve">≥ </w:t>
            </w:r>
            <w:r>
              <w:rPr>
                <w:rFonts w:ascii="Liberation Serif" w:hAnsi="Liberation Serif"/>
              </w:rPr>
              <w:t>22 и ≤ 20</w:t>
            </w:r>
          </w:p>
        </w:tc>
        <w:tc>
          <w:tcPr>
            <w:tcW w:w="12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bCs/>
              </w:rPr>
            </w:pPr>
            <w:r>
              <w:rPr>
                <w:rFonts w:ascii="Liberation Serif" w:hAnsi="Liberation Serif"/>
                <w:bCs/>
              </w:rPr>
            </w:r>
          </w:p>
        </w:tc>
        <w:tc>
          <w:tcPr>
            <w:tcW w:w="107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bCs/>
              </w:rPr>
            </w:pPr>
            <w:r>
              <w:rPr>
                <w:rFonts w:ascii="Liberation Serif" w:hAnsi="Liberation Serif"/>
                <w:bCs/>
              </w:rPr>
            </w:r>
          </w:p>
        </w:tc>
      </w:tr>
      <w:tr>
        <w:trPr>
          <w:trHeight w:val="300" w:hRule="atLeast"/>
        </w:trPr>
        <w:tc>
          <w:tcPr>
            <w:tcW w:w="14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bCs/>
              </w:rPr>
            </w:pPr>
            <w:r>
              <w:rPr>
                <w:rFonts w:ascii="Liberation Serif" w:hAnsi="Liberation Serif"/>
                <w:bCs/>
              </w:rPr>
            </w:r>
          </w:p>
        </w:tc>
        <w:tc>
          <w:tcPr>
            <w:tcW w:w="22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bCs/>
              </w:rPr>
            </w:pPr>
            <w:r>
              <w:rPr>
                <w:rFonts w:ascii="Liberation Serif" w:hAnsi="Liberation Serif"/>
                <w:bCs/>
              </w:rPr>
            </w:r>
          </w:p>
        </w:tc>
        <w:tc>
          <w:tcPr>
            <w:tcW w:w="4453" w:type="dxa"/>
            <w:tcBorders>
              <w:top w:val="single" w:sz="4" w:space="0" w:color="000000"/>
              <w:left w:val="single" w:sz="4" w:space="0" w:color="000000"/>
              <w:bottom w:val="single" w:sz="4" w:space="0" w:color="000000"/>
              <w:right w:val="single" w:sz="4" w:space="0" w:color="000000"/>
            </w:tcBorders>
            <w:shd w:color="auto" w:fill="FFFFFF"/>
            <w:vAlign w:val="center"/>
          </w:tcPr>
          <w:p>
            <w:pPr>
              <w:pStyle w:val="Normal"/>
              <w:tabs>
                <w:tab w:val="clear" w:pos="708"/>
              </w:tabs>
              <w:spacing w:lineRule="auto" w:line="240"/>
              <w:rPr/>
            </w:pPr>
            <w:r>
              <w:rPr>
                <w:rFonts w:ascii="Liberation Serif" w:hAnsi="Liberation Serif"/>
              </w:rPr>
              <w:t>Резиновые трубки</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rPr>
            </w:pPr>
            <w:r>
              <w:rPr>
                <w:rFonts w:ascii="Liberation Serif" w:hAnsi="Liberation Serif"/>
              </w:rPr>
            </w:r>
          </w:p>
        </w:tc>
        <w:tc>
          <w:tcPr>
            <w:tcW w:w="175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ascii="Liberation Serif" w:hAnsi="Liberation Serif"/>
              </w:rPr>
              <w:t>Наличие</w:t>
            </w:r>
          </w:p>
        </w:tc>
        <w:tc>
          <w:tcPr>
            <w:tcW w:w="12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bCs/>
              </w:rPr>
            </w:pPr>
            <w:r>
              <w:rPr>
                <w:rFonts w:ascii="Liberation Serif" w:hAnsi="Liberation Serif"/>
                <w:bCs/>
              </w:rPr>
            </w:r>
          </w:p>
        </w:tc>
        <w:tc>
          <w:tcPr>
            <w:tcW w:w="107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bCs/>
              </w:rPr>
            </w:pPr>
            <w:r>
              <w:rPr>
                <w:rFonts w:ascii="Liberation Serif" w:hAnsi="Liberation Serif"/>
                <w:bCs/>
              </w:rPr>
            </w:r>
          </w:p>
        </w:tc>
      </w:tr>
      <w:tr>
        <w:trPr>
          <w:trHeight w:val="60" w:hRule="atLeast"/>
        </w:trPr>
        <w:tc>
          <w:tcPr>
            <w:tcW w:w="144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ascii="Liberation Serif" w:hAnsi="Liberation Serif"/>
                <w:bCs/>
              </w:rPr>
              <w:t>2</w:t>
            </w:r>
          </w:p>
        </w:tc>
        <w:tc>
          <w:tcPr>
            <w:tcW w:w="22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both"/>
              <w:rPr>
                <w:rFonts w:ascii="Liberation Serif" w:hAnsi="Liberation Serif"/>
                <w:bCs/>
              </w:rPr>
            </w:pPr>
            <w:r>
              <w:rPr>
                <w:rFonts w:ascii="Liberation Serif" w:hAnsi="Liberation Serif"/>
                <w:bCs/>
              </w:rPr>
              <w:t>Манжета для измерения артериального давления, многоразового использования</w:t>
            </w:r>
          </w:p>
        </w:tc>
        <w:tc>
          <w:tcPr>
            <w:tcW w:w="4453" w:type="dxa"/>
            <w:tcBorders>
              <w:top w:val="single" w:sz="4" w:space="0" w:color="000000"/>
              <w:left w:val="single" w:sz="4" w:space="0" w:color="000000"/>
              <w:bottom w:val="single" w:sz="4" w:space="0" w:color="000000"/>
              <w:right w:val="single" w:sz="4" w:space="0" w:color="000000"/>
            </w:tcBorders>
            <w:shd w:color="auto" w:fill="FFFFFF"/>
            <w:vAlign w:val="center"/>
          </w:tcPr>
          <w:p>
            <w:pPr>
              <w:pStyle w:val="Normal"/>
              <w:tabs>
                <w:tab w:val="clear" w:pos="708"/>
              </w:tabs>
              <w:spacing w:lineRule="auto" w:line="240"/>
              <w:rPr/>
            </w:pPr>
            <w:r>
              <w:rPr>
                <w:rFonts w:ascii="Liberation Serif" w:hAnsi="Liberation Serif"/>
              </w:rPr>
              <w:t>Резиновые трубки</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bCs/>
              </w:rPr>
            </w:pPr>
            <w:r>
              <w:rPr>
                <w:rFonts w:ascii="Liberation Serif" w:hAnsi="Liberation Serif"/>
                <w:bCs/>
              </w:rPr>
            </w:r>
          </w:p>
        </w:tc>
        <w:tc>
          <w:tcPr>
            <w:tcW w:w="175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ascii="Liberation Serif" w:hAnsi="Liberation Serif"/>
              </w:rPr>
              <w:t>Наличие</w:t>
            </w:r>
          </w:p>
        </w:tc>
        <w:tc>
          <w:tcPr>
            <w:tcW w:w="128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ascii="Liberation Serif" w:hAnsi="Liberation Serif"/>
                <w:bCs/>
              </w:rPr>
              <w:t>шт.</w:t>
            </w:r>
          </w:p>
        </w:tc>
        <w:tc>
          <w:tcPr>
            <w:tcW w:w="107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ascii="Liberation Serif" w:hAnsi="Liberation Serif"/>
                <w:bCs/>
              </w:rPr>
              <w:t>2</w:t>
            </w:r>
          </w:p>
        </w:tc>
      </w:tr>
      <w:tr>
        <w:trPr>
          <w:trHeight w:val="300" w:hRule="atLeast"/>
        </w:trPr>
        <w:tc>
          <w:tcPr>
            <w:tcW w:w="14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b/>
                <w:bCs/>
              </w:rPr>
            </w:pPr>
            <w:r>
              <w:rPr>
                <w:rFonts w:ascii="Liberation Serif" w:hAnsi="Liberation Serif"/>
                <w:b/>
                <w:bCs/>
              </w:rPr>
            </w:r>
          </w:p>
        </w:tc>
        <w:tc>
          <w:tcPr>
            <w:tcW w:w="22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b/>
                <w:bCs/>
              </w:rPr>
            </w:pPr>
            <w:r>
              <w:rPr>
                <w:rFonts w:ascii="Liberation Serif" w:hAnsi="Liberation Serif"/>
                <w:b/>
                <w:bCs/>
              </w:rPr>
            </w:r>
          </w:p>
        </w:tc>
        <w:tc>
          <w:tcPr>
            <w:tcW w:w="445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ascii="Liberation Serif" w:hAnsi="Liberation Serif"/>
              </w:rPr>
              <w:t>Обхват манжеты, максимальный</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ascii="Liberation Serif" w:hAnsi="Liberation Serif"/>
                <w:bCs/>
              </w:rPr>
              <w:t>см</w:t>
            </w:r>
          </w:p>
        </w:tc>
        <w:tc>
          <w:tcPr>
            <w:tcW w:w="175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ascii="Liberation Serif" w:hAnsi="Liberation Serif"/>
              </w:rPr>
              <w:t xml:space="preserve">≥ </w:t>
            </w:r>
            <w:r>
              <w:rPr>
                <w:rFonts w:ascii="Liberation Serif" w:hAnsi="Liberation Serif"/>
              </w:rPr>
              <w:t>50 ≤ 52</w:t>
            </w:r>
          </w:p>
        </w:tc>
        <w:tc>
          <w:tcPr>
            <w:tcW w:w="12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b/>
                <w:bCs/>
              </w:rPr>
            </w:pPr>
            <w:r>
              <w:rPr>
                <w:rFonts w:ascii="Liberation Serif" w:hAnsi="Liberation Serif"/>
                <w:b/>
                <w:bCs/>
              </w:rPr>
            </w:r>
          </w:p>
        </w:tc>
        <w:tc>
          <w:tcPr>
            <w:tcW w:w="107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b/>
                <w:bCs/>
              </w:rPr>
            </w:pPr>
            <w:r>
              <w:rPr>
                <w:rFonts w:ascii="Liberation Serif" w:hAnsi="Liberation Serif"/>
                <w:b/>
                <w:bCs/>
              </w:rPr>
            </w:r>
          </w:p>
        </w:tc>
      </w:tr>
      <w:tr>
        <w:trPr>
          <w:trHeight w:val="300" w:hRule="atLeast"/>
        </w:trPr>
        <w:tc>
          <w:tcPr>
            <w:tcW w:w="14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bCs/>
              </w:rPr>
            </w:pPr>
            <w:r>
              <w:rPr>
                <w:rFonts w:ascii="Liberation Serif" w:hAnsi="Liberation Serif"/>
                <w:bCs/>
              </w:rPr>
            </w:r>
          </w:p>
        </w:tc>
        <w:tc>
          <w:tcPr>
            <w:tcW w:w="22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bCs/>
              </w:rPr>
            </w:pPr>
            <w:r>
              <w:rPr>
                <w:rFonts w:ascii="Liberation Serif" w:hAnsi="Liberation Serif"/>
                <w:bCs/>
              </w:rPr>
            </w:r>
          </w:p>
        </w:tc>
        <w:tc>
          <w:tcPr>
            <w:tcW w:w="445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ascii="Liberation Serif" w:hAnsi="Liberation Serif"/>
              </w:rPr>
              <w:t>Обхват манжеты, минимальный</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ascii="Liberation Serif" w:hAnsi="Liberation Serif"/>
                <w:bCs/>
              </w:rPr>
              <w:t>см</w:t>
            </w:r>
          </w:p>
        </w:tc>
        <w:tc>
          <w:tcPr>
            <w:tcW w:w="175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ascii="Liberation Serif" w:hAnsi="Liberation Serif"/>
              </w:rPr>
              <w:t xml:space="preserve">≥ </w:t>
            </w:r>
            <w:r>
              <w:rPr>
                <w:rFonts w:ascii="Liberation Serif" w:hAnsi="Liberation Serif"/>
              </w:rPr>
              <w:t>32 и ≤ 30</w:t>
            </w:r>
          </w:p>
        </w:tc>
        <w:tc>
          <w:tcPr>
            <w:tcW w:w="12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bCs/>
              </w:rPr>
            </w:pPr>
            <w:r>
              <w:rPr>
                <w:rFonts w:ascii="Liberation Serif" w:hAnsi="Liberation Serif"/>
                <w:bCs/>
              </w:rPr>
            </w:r>
          </w:p>
        </w:tc>
        <w:tc>
          <w:tcPr>
            <w:tcW w:w="107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bCs/>
              </w:rPr>
            </w:pPr>
            <w:r>
              <w:rPr>
                <w:rFonts w:ascii="Liberation Serif" w:hAnsi="Liberation Serif"/>
                <w:bCs/>
              </w:rPr>
            </w:r>
          </w:p>
        </w:tc>
      </w:tr>
      <w:tr>
        <w:trPr>
          <w:trHeight w:val="300" w:hRule="atLeast"/>
        </w:trPr>
        <w:tc>
          <w:tcPr>
            <w:tcW w:w="14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bCs/>
              </w:rPr>
            </w:pPr>
            <w:r>
              <w:rPr>
                <w:rFonts w:ascii="Liberation Serif" w:hAnsi="Liberation Serif"/>
                <w:bCs/>
              </w:rPr>
            </w:r>
          </w:p>
        </w:tc>
        <w:tc>
          <w:tcPr>
            <w:tcW w:w="22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bCs/>
              </w:rPr>
            </w:pPr>
            <w:r>
              <w:rPr>
                <w:rFonts w:ascii="Liberation Serif" w:hAnsi="Liberation Serif"/>
                <w:bCs/>
              </w:rPr>
            </w:r>
          </w:p>
        </w:tc>
        <w:tc>
          <w:tcPr>
            <w:tcW w:w="445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ascii="Liberation Serif" w:hAnsi="Liberation Serif"/>
              </w:rPr>
              <w:t>Минимальное измерение давления воздуха в манжете</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ascii="Liberation Serif" w:hAnsi="Liberation Serif"/>
                <w:bCs/>
              </w:rPr>
              <w:t>мм рт.ст.</w:t>
            </w:r>
          </w:p>
        </w:tc>
        <w:tc>
          <w:tcPr>
            <w:tcW w:w="175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ascii="Liberation Serif" w:hAnsi="Liberation Serif"/>
              </w:rPr>
              <w:t xml:space="preserve">≥ </w:t>
            </w:r>
            <w:r>
              <w:rPr>
                <w:rFonts w:ascii="Liberation Serif" w:hAnsi="Liberation Serif"/>
              </w:rPr>
              <w:t>20 и ≤ 25</w:t>
            </w:r>
          </w:p>
        </w:tc>
        <w:tc>
          <w:tcPr>
            <w:tcW w:w="1282"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rPr>
                <w:rFonts w:ascii="Liberation Serif" w:hAnsi="Liberation Serif"/>
                <w:bCs/>
              </w:rPr>
            </w:pPr>
            <w:r>
              <w:rPr>
                <w:rFonts w:ascii="Liberation Serif" w:hAnsi="Liberation Serif"/>
                <w:bCs/>
              </w:rPr>
            </w:r>
          </w:p>
        </w:tc>
        <w:tc>
          <w:tcPr>
            <w:tcW w:w="107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rPr>
                <w:rFonts w:ascii="Liberation Serif" w:hAnsi="Liberation Serif"/>
                <w:bCs/>
              </w:rPr>
            </w:pPr>
            <w:r>
              <w:rPr>
                <w:rFonts w:ascii="Liberation Serif" w:hAnsi="Liberation Serif"/>
                <w:bCs/>
              </w:rPr>
            </w:r>
          </w:p>
        </w:tc>
      </w:tr>
      <w:tr>
        <w:trPr>
          <w:trHeight w:val="300" w:hRule="atLeast"/>
        </w:trPr>
        <w:tc>
          <w:tcPr>
            <w:tcW w:w="14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bCs/>
              </w:rPr>
            </w:pPr>
            <w:r>
              <w:rPr>
                <w:rFonts w:ascii="Liberation Serif" w:hAnsi="Liberation Serif"/>
                <w:bCs/>
              </w:rPr>
            </w:r>
          </w:p>
        </w:tc>
        <w:tc>
          <w:tcPr>
            <w:tcW w:w="22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rFonts w:ascii="Liberation Serif" w:hAnsi="Liberation Serif"/>
                <w:bCs/>
              </w:rPr>
            </w:pPr>
            <w:r>
              <w:rPr>
                <w:rFonts w:ascii="Liberation Serif" w:hAnsi="Liberation Serif"/>
                <w:bCs/>
              </w:rPr>
            </w:r>
          </w:p>
        </w:tc>
        <w:tc>
          <w:tcPr>
            <w:tcW w:w="445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ascii="Liberation Serif" w:hAnsi="Liberation Serif"/>
              </w:rPr>
              <w:t>Максимальное измерение давления воздуха в манжете</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ascii="Liberation Serif" w:hAnsi="Liberation Serif"/>
                <w:bCs/>
              </w:rPr>
              <w:t>мм рт.ст.</w:t>
            </w:r>
          </w:p>
        </w:tc>
        <w:tc>
          <w:tcPr>
            <w:tcW w:w="175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ascii="Liberation Serif" w:hAnsi="Liberation Serif"/>
              </w:rPr>
              <w:t xml:space="preserve">≥ </w:t>
            </w:r>
            <w:r>
              <w:rPr>
                <w:rFonts w:ascii="Liberation Serif" w:hAnsi="Liberation Serif"/>
              </w:rPr>
              <w:t>230 и ≤ 300</w:t>
            </w:r>
          </w:p>
        </w:tc>
        <w:tc>
          <w:tcPr>
            <w:tcW w:w="1282"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rPr>
                <w:rFonts w:ascii="Liberation Serif" w:hAnsi="Liberation Serif"/>
                <w:bCs/>
              </w:rPr>
            </w:pPr>
            <w:r>
              <w:rPr>
                <w:rFonts w:ascii="Liberation Serif" w:hAnsi="Liberation Serif"/>
                <w:bCs/>
              </w:rPr>
            </w:r>
          </w:p>
        </w:tc>
        <w:tc>
          <w:tcPr>
            <w:tcW w:w="107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rPr>
                <w:rFonts w:ascii="Liberation Serif" w:hAnsi="Liberation Serif"/>
                <w:bCs/>
              </w:rPr>
            </w:pPr>
            <w:r>
              <w:rPr>
                <w:rFonts w:ascii="Liberation Serif" w:hAnsi="Liberation Serif"/>
                <w:bCs/>
              </w:rPr>
            </w:r>
          </w:p>
        </w:tc>
      </w:tr>
    </w:tbl>
    <w:p>
      <w:pPr>
        <w:pStyle w:val="Normal"/>
        <w:spacing w:lineRule="auto" w:line="240"/>
        <w:ind w:hanging="0" w:left="0"/>
        <w:jc w:val="both"/>
        <w:rPr>
          <w:rFonts w:ascii="Liberation Serif" w:hAnsi="Liberation Serif"/>
          <w:bCs/>
        </w:rPr>
      </w:pPr>
      <w:r>
        <w:rPr>
          <w:rFonts w:ascii="Liberation Serif" w:hAnsi="Liberation Serif"/>
          <w:bCs/>
        </w:rPr>
      </w:r>
    </w:p>
    <w:p>
      <w:pPr>
        <w:pStyle w:val="Style22"/>
        <w:rPr/>
      </w:pPr>
      <w:r>
        <w:rPr/>
        <w:t>3. Место поставки Товара: г. Москва, ул. Коккинаки д.6.</w:t>
      </w:r>
    </w:p>
    <w:p>
      <w:pPr>
        <w:pStyle w:val="Style22"/>
        <w:rPr/>
      </w:pPr>
      <w:r>
        <w:rPr/>
        <w:t>4. Условия поставки Товара:</w:t>
      </w:r>
    </w:p>
    <w:p>
      <w:pPr>
        <w:pStyle w:val="Style22"/>
        <w:rPr/>
      </w:pPr>
      <w:r>
        <w:rPr/>
        <w:t>Поставка Товара и расходы на реализацию гарантийных обязательств осуществляются за счет Поставщика.</w:t>
      </w:r>
    </w:p>
    <w:p>
      <w:pPr>
        <w:pStyle w:val="Style22"/>
        <w:rPr/>
      </w:pPr>
      <w:r>
        <w:rPr/>
        <w:t>5. Требования к качеству поставляемого Товара:</w:t>
      </w:r>
    </w:p>
    <w:p>
      <w:pPr>
        <w:pStyle w:val="Style22"/>
        <w:rPr/>
      </w:pPr>
      <w:r>
        <w:rPr>
          <w:bCs/>
          <w:sz w:val="24"/>
          <w:szCs w:val="24"/>
        </w:rPr>
        <w:t xml:space="preserve">Товар должен соответствовать государственным стандартам качества, безопасности и техническим характеристикам, указанным в настоящем Техническом задании. </w:t>
      </w:r>
      <w:r>
        <w:rPr>
          <w:rFonts w:ascii="Liberation Serif" w:hAnsi="Liberation Serif"/>
          <w:bCs/>
          <w:sz w:val="24"/>
          <w:szCs w:val="24"/>
        </w:rPr>
        <w:t>Товар</w:t>
      </w:r>
      <w:r>
        <w:rPr>
          <w:rFonts w:ascii="Liberation Serif" w:hAnsi="Liberation Serif"/>
          <w:b w:val="false"/>
          <w:bCs/>
          <w:i w:val="false"/>
          <w:caps w:val="false"/>
          <w:smallCaps w:val="false"/>
          <w:color w:val="000000"/>
          <w:spacing w:val="0"/>
          <w:sz w:val="24"/>
          <w:szCs w:val="24"/>
        </w:rPr>
        <w:t xml:space="preserve"> подлежит обязательной государственной регистрации в соответствии с законодательством РФ.</w:t>
      </w:r>
    </w:p>
    <w:p>
      <w:pPr>
        <w:pStyle w:val="Style22"/>
        <w:rPr/>
      </w:pPr>
      <w:r>
        <w:rPr/>
        <w:t xml:space="preserve">Поставщик предоставляет Государственному заказчику вместе с Товаром: </w:t>
      </w:r>
    </w:p>
    <w:p>
      <w:pPr>
        <w:pStyle w:val="Style22"/>
        <w:rPr/>
      </w:pPr>
      <w:r>
        <w:rPr>
          <w:rFonts w:cs="Times New Roman" w:ascii="Liberation Serif" w:hAnsi="Liberation Serif"/>
          <w:color w:val="000000"/>
        </w:rPr>
        <w:t xml:space="preserve">   </w:t>
      </w:r>
      <w:r>
        <w:rPr>
          <w:rFonts w:cs="Times New Roman" w:ascii="Liberation Serif" w:hAnsi="Liberation Serif"/>
          <w:color w:val="000000"/>
        </w:rPr>
        <w:t>- Техническую и (или) эксплуатационную документацию производителя (изготовителя) Товара на русском языке;</w:t>
        <w:br/>
        <w:t xml:space="preserve">          -  Документы, подтверждающие соответствие Товара требованиям, установленным в соответствии с законодательством Российской Федерации:</w:t>
        <w:br/>
        <w:t xml:space="preserve">         - Копии действующих регистрационных удостоверений, выданных соответствующими уполномоченными органами, с приложениями или реестровая запись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w:t>
      </w:r>
      <w:r>
        <w:rPr>
          <w:rFonts w:cs="Times New Roman"/>
          <w:color w:val="000000"/>
          <w:sz w:val="20"/>
          <w:szCs w:val="20"/>
        </w:rPr>
        <w:br/>
        <w:t xml:space="preserve">          </w:t>
      </w:r>
      <w:r>
        <w:rPr>
          <w:rFonts w:cs="Times New Roman" w:ascii="Liberation Serif" w:hAnsi="Liberation Serif"/>
          <w:color w:val="000000"/>
        </w:rPr>
        <w:t>- Копии сертификатов и (или) деклараций соответствия (при необходимости);</w:t>
        <w:br/>
        <w:t xml:space="preserve">         - Документы Таможенного союза, предусмотренные законодательством РФ (при необходимости).</w:t>
      </w:r>
    </w:p>
    <w:p>
      <w:pPr>
        <w:pStyle w:val="Style22"/>
        <w:rPr/>
      </w:pPr>
      <w:r>
        <w:rPr/>
        <w:t>Вся указанная документация на Товар предоставляется на русском языке. Поставка Товара без документации и сертификатов считается ненадлежащей и такой Товар не подлежит оплате до момента передачи на него необходимой документации.</w:t>
      </w:r>
    </w:p>
    <w:p>
      <w:pPr>
        <w:pStyle w:val="Style22"/>
        <w:rPr/>
      </w:pPr>
      <w:r>
        <w:rPr/>
        <w:t xml:space="preserve"> </w:t>
      </w:r>
      <w:r>
        <w:rPr/>
        <w:t>Весь Товар должен быть поставлен с учетом требований, указанных в Приложении № 1 к Государственному контракту.</w:t>
      </w:r>
    </w:p>
    <w:p>
      <w:pPr>
        <w:pStyle w:val="Style22"/>
        <w:rPr/>
      </w:pPr>
      <w:r>
        <w:rPr/>
        <w:t>6. При обнаружении в пределах гарантийного срока в поставленном Товаре дефектов Поставщик обязан заменить такую продукцию в течение 10 (десяти) дней с момента заявления о них Государственным заказчиком. Расходы по возврату Товара, замене производятся за счет средств Поставщика.</w:t>
      </w:r>
    </w:p>
    <w:p>
      <w:pPr>
        <w:pStyle w:val="Style22"/>
        <w:rPr/>
      </w:pPr>
      <w:r>
        <w:rPr>
          <w:rFonts w:ascii="Liberation Serif" w:hAnsi="Liberation Serif"/>
          <w:bCs/>
          <w:sz w:val="24"/>
          <w:szCs w:val="24"/>
        </w:rPr>
        <w:t xml:space="preserve">7. </w:t>
      </w:r>
      <w:r>
        <w:rPr>
          <w:rFonts w:ascii="Liberation Serif" w:hAnsi="Liberation Serif"/>
          <w:sz w:val="24"/>
          <w:szCs w:val="24"/>
        </w:rPr>
        <w:t>Остаточный срок годности Товара на момент поставки Товара должен составлять не менее 12 месяцев.</w:t>
      </w:r>
    </w:p>
    <w:p>
      <w:pPr>
        <w:pStyle w:val="Style22"/>
        <w:rPr/>
      </w:pPr>
      <w:r>
        <w:rPr/>
      </w:r>
    </w:p>
    <w:p>
      <w:pPr>
        <w:pStyle w:val="Style22"/>
        <w:rPr/>
      </w:pPr>
      <w:r>
        <w:rPr>
          <w:rFonts w:ascii="Liberation Serif" w:hAnsi="Liberation Serif"/>
        </w:rPr>
        <w:t xml:space="preserve">                        </w:t>
      </w:r>
      <w:r>
        <w:rPr>
          <w:rFonts w:ascii="Liberation Serif" w:hAnsi="Liberation Serif"/>
        </w:rPr>
        <w:t xml:space="preserve">от Государственного заказчика                                                                                                            </w:t>
      </w:r>
      <w:r>
        <w:rPr/>
        <w:t>от Поставщика</w:t>
      </w:r>
    </w:p>
    <w:p>
      <w:pPr>
        <w:pStyle w:val="16"/>
        <w:ind w:firstLine="709"/>
        <w:jc w:val="both"/>
        <w:rPr>
          <w:rFonts w:ascii="Liberation Serif" w:hAnsi="Liberation Serif"/>
          <w:b/>
          <w:sz w:val="24"/>
          <w:szCs w:val="24"/>
        </w:rPr>
      </w:pPr>
      <w:r>
        <w:rPr>
          <w:rFonts w:ascii="Liberation Serif" w:hAnsi="Liberation Serif"/>
          <w:b/>
          <w:sz w:val="24"/>
          <w:szCs w:val="24"/>
        </w:rPr>
      </w:r>
    </w:p>
    <w:p>
      <w:pPr>
        <w:pStyle w:val="Normal"/>
        <w:spacing w:lineRule="auto" w:line="240"/>
        <w:jc w:val="both"/>
        <w:rPr/>
      </w:pPr>
      <w:r>
        <w:rPr>
          <w:rFonts w:eastAsia="Calibri" w:ascii="Times New Roman" w:hAnsi="Times New Roman"/>
        </w:rPr>
        <w:t xml:space="preserve">                         </w:t>
      </w:r>
      <w:r>
        <w:rPr>
          <w:rFonts w:eastAsia="Calibri" w:ascii="Times New Roman" w:hAnsi="Times New Roman"/>
        </w:rPr>
        <w:t>__________________/______________/                                                                                           __________________/______________/</w:t>
      </w:r>
    </w:p>
    <w:p>
      <w:pPr>
        <w:sectPr>
          <w:footerReference w:type="even" r:id="rId6"/>
          <w:footerReference w:type="default" r:id="rId7"/>
          <w:footerReference w:type="first" r:id="rId8"/>
          <w:type w:val="nextPage"/>
          <w:pgSz w:orient="landscape" w:w="16838" w:h="11906"/>
          <w:pgMar w:left="710" w:right="897" w:gutter="0" w:header="0" w:top="702" w:footer="3" w:bottom="1134"/>
          <w:pgNumType w:start="1" w:fmt="decimal"/>
          <w:formProt w:val="false"/>
          <w:titlePg/>
          <w:textDirection w:val="lrTb"/>
          <w:docGrid w:type="default" w:linePitch="360" w:charSpace="0"/>
        </w:sectPr>
        <w:pStyle w:val="Normal"/>
        <w:shd w:fill="FFFFFF"/>
        <w:spacing w:lineRule="auto" w:line="240" w:before="0" w:after="0"/>
        <w:ind w:firstLine="709"/>
        <w:jc w:val="both"/>
        <w:rPr/>
      </w:pPr>
      <w:r>
        <w:rPr>
          <w:rFonts w:ascii="Times New Roman" w:hAnsi="Times New Roman"/>
        </w:rPr>
        <w:t xml:space="preserve"> </w:t>
      </w:r>
      <w:r>
        <w:rPr>
          <w:rFonts w:ascii="Times New Roman" w:hAnsi="Times New Roman"/>
        </w:rPr>
        <w:t>М.П.                                                                                                                                                    М.П.</w:t>
      </w:r>
    </w:p>
    <w:p>
      <w:pPr>
        <w:pStyle w:val="14"/>
        <w:shd w:val="clear" w:color="auto" w:fill="auto"/>
        <w:spacing w:before="0" w:after="220"/>
        <w:ind w:hanging="0"/>
        <w:jc w:val="both"/>
        <w:rPr>
          <w:i/>
          <w:i/>
        </w:rPr>
      </w:pPr>
      <w:r>
        <w:rPr>
          <w:i/>
        </w:rPr>
      </w:r>
    </w:p>
    <w:p>
      <w:pPr>
        <w:pStyle w:val="Normal"/>
        <w:shd w:val="clear" w:color="auto" w:fill="FFFFFF"/>
        <w:tabs>
          <w:tab w:val="clear" w:pos="708"/>
          <w:tab w:val="left" w:pos="3480" w:leader="none"/>
          <w:tab w:val="center" w:pos="4667" w:leader="none"/>
        </w:tabs>
        <w:spacing w:before="67" w:after="0"/>
        <w:ind w:left="6237" w:right="21"/>
        <w:jc w:val="both"/>
        <w:rPr>
          <w:rFonts w:ascii="Times New Roman" w:hAnsi="Times New Roman" w:cs="Times New Roman"/>
          <w:spacing w:val="-2"/>
        </w:rPr>
      </w:pPr>
      <w:r>
        <w:rPr>
          <w:rFonts w:cs="Times New Roman" w:ascii="Times New Roman" w:hAnsi="Times New Roman"/>
        </w:rPr>
        <w:t>Приложение № 3</w:t>
      </w:r>
    </w:p>
    <w:p>
      <w:pPr>
        <w:pStyle w:val="16"/>
        <w:ind w:left="6237"/>
        <w:jc w:val="both"/>
        <w:rPr>
          <w:rFonts w:ascii="Times New Roman" w:hAnsi="Times New Roman"/>
          <w:sz w:val="24"/>
          <w:szCs w:val="24"/>
        </w:rPr>
      </w:pPr>
      <w:r>
        <w:rPr>
          <w:rFonts w:ascii="Times New Roman" w:hAnsi="Times New Roman"/>
          <w:sz w:val="24"/>
          <w:szCs w:val="24"/>
        </w:rPr>
        <w:t xml:space="preserve">к Государственному Контракту </w:t>
      </w:r>
    </w:p>
    <w:p>
      <w:pPr>
        <w:pStyle w:val="16"/>
        <w:ind w:left="6237"/>
        <w:jc w:val="both"/>
        <w:rPr>
          <w:rFonts w:ascii="Times New Roman" w:hAnsi="Times New Roman"/>
          <w:sz w:val="24"/>
          <w:szCs w:val="24"/>
        </w:rPr>
      </w:pPr>
      <w:r>
        <w:rPr>
          <w:rFonts w:ascii="Times New Roman" w:hAnsi="Times New Roman"/>
          <w:sz w:val="24"/>
          <w:szCs w:val="24"/>
        </w:rPr>
        <w:t>от «___» _________ 2026 г.</w:t>
      </w:r>
    </w:p>
    <w:p>
      <w:pPr>
        <w:pStyle w:val="16"/>
        <w:ind w:left="623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_________________________</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tbl>
      <w:tblPr>
        <w:tblW w:w="10784"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5435"/>
        <w:gridCol w:w="5348"/>
      </w:tblGrid>
      <w:tr>
        <w:trPr>
          <w:trHeight w:val="1470" w:hRule="atLeast"/>
        </w:trPr>
        <w:tc>
          <w:tcPr>
            <w:tcW w:w="5435" w:type="dxa"/>
            <w:tcBorders/>
            <w:shd w:color="auto" w:fill="auto" w:val="clear"/>
          </w:tcPr>
          <w:p>
            <w:pPr>
              <w:pStyle w:val="BodyTextIndent"/>
              <w:ind w:hanging="0"/>
              <w:jc w:val="both"/>
              <w:rPr>
                <w:b/>
                <w:sz w:val="24"/>
                <w:szCs w:val="24"/>
              </w:rPr>
            </w:pPr>
            <w:r>
              <w:rPr>
                <w:b/>
                <w:sz w:val="24"/>
                <w:szCs w:val="24"/>
              </w:rPr>
              <w:t>УТВЕРЖДАЮ</w:t>
            </w:r>
          </w:p>
          <w:p>
            <w:pPr>
              <w:pStyle w:val="BodyTextIndent"/>
              <w:ind w:hanging="0"/>
              <w:jc w:val="both"/>
              <w:rPr>
                <w:sz w:val="24"/>
                <w:szCs w:val="24"/>
              </w:rPr>
            </w:pPr>
            <w:r>
              <w:rPr>
                <w:sz w:val="24"/>
                <w:szCs w:val="24"/>
              </w:rPr>
              <w:t>от Государственного заказчика</w:t>
            </w:r>
          </w:p>
          <w:p>
            <w:pPr>
              <w:pStyle w:val="BodyTextIndent"/>
              <w:ind w:hanging="0"/>
              <w:jc w:val="both"/>
              <w:rPr>
                <w:sz w:val="24"/>
                <w:szCs w:val="24"/>
              </w:rPr>
            </w:pPr>
            <w:r>
              <w:rPr>
                <w:sz w:val="24"/>
                <w:szCs w:val="24"/>
              </w:rPr>
            </w:r>
          </w:p>
          <w:p>
            <w:pPr>
              <w:pStyle w:val="BodyTextIndent"/>
              <w:ind w:hanging="0"/>
              <w:jc w:val="both"/>
              <w:rPr>
                <w:sz w:val="24"/>
                <w:szCs w:val="24"/>
              </w:rPr>
            </w:pPr>
            <w:r>
              <w:rPr>
                <w:sz w:val="24"/>
                <w:szCs w:val="24"/>
              </w:rPr>
              <w:t>________________/ ________ /</w:t>
            </w:r>
          </w:p>
          <w:p>
            <w:pPr>
              <w:pStyle w:val="BodyTextIndent"/>
              <w:ind w:hanging="0"/>
              <w:jc w:val="both"/>
              <w:rPr>
                <w:sz w:val="24"/>
                <w:szCs w:val="24"/>
              </w:rPr>
            </w:pPr>
            <w:r>
              <w:rPr>
                <w:sz w:val="24"/>
                <w:szCs w:val="24"/>
              </w:rPr>
              <w:t>м.п.</w:t>
            </w:r>
          </w:p>
        </w:tc>
        <w:tc>
          <w:tcPr>
            <w:tcW w:w="5348" w:type="dxa"/>
            <w:tcBorders/>
            <w:shd w:color="auto" w:fill="auto" w:val="clear"/>
          </w:tcPr>
          <w:p>
            <w:pPr>
              <w:pStyle w:val="BodyTextIndent"/>
              <w:ind w:hanging="0"/>
              <w:jc w:val="both"/>
              <w:rPr>
                <w:b/>
                <w:sz w:val="24"/>
                <w:szCs w:val="24"/>
              </w:rPr>
            </w:pPr>
            <w:r>
              <w:rPr>
                <w:b/>
                <w:sz w:val="24"/>
                <w:szCs w:val="24"/>
              </w:rPr>
              <w:t>УТВЕРЖДАЮ</w:t>
            </w:r>
          </w:p>
          <w:p>
            <w:pPr>
              <w:pStyle w:val="BodyTextIndent"/>
              <w:ind w:hanging="0"/>
              <w:jc w:val="both"/>
              <w:rPr>
                <w:sz w:val="24"/>
                <w:szCs w:val="24"/>
              </w:rPr>
            </w:pPr>
            <w:r>
              <w:rPr>
                <w:sz w:val="24"/>
                <w:szCs w:val="24"/>
              </w:rPr>
              <w:t>от Поставщика</w:t>
            </w:r>
          </w:p>
          <w:p>
            <w:pPr>
              <w:pStyle w:val="BodyTextIndent"/>
              <w:ind w:hanging="0"/>
              <w:jc w:val="both"/>
              <w:rPr>
                <w:sz w:val="24"/>
                <w:szCs w:val="24"/>
              </w:rPr>
            </w:pPr>
            <w:r>
              <w:rPr>
                <w:sz w:val="24"/>
                <w:szCs w:val="24"/>
              </w:rPr>
            </w:r>
          </w:p>
          <w:p>
            <w:pPr>
              <w:pStyle w:val="BodyTextIndent"/>
              <w:ind w:hanging="0"/>
              <w:jc w:val="both"/>
              <w:rPr>
                <w:sz w:val="24"/>
                <w:szCs w:val="24"/>
              </w:rPr>
            </w:pPr>
            <w:r>
              <w:rPr>
                <w:sz w:val="24"/>
                <w:szCs w:val="24"/>
              </w:rPr>
              <w:t>_______________/ ________ /</w:t>
            </w:r>
          </w:p>
          <w:p>
            <w:pPr>
              <w:pStyle w:val="Normal"/>
              <w:keepNext w:val="true"/>
              <w:tabs>
                <w:tab w:val="clear" w:pos="708"/>
                <w:tab w:val="left" w:pos="720" w:leader="none"/>
              </w:tabs>
              <w:ind w:firstLine="39"/>
              <w:jc w:val="both"/>
              <w:rPr>
                <w:rFonts w:ascii="Times New Roman" w:hAnsi="Times New Roman" w:cs="Times New Roman"/>
              </w:rPr>
            </w:pPr>
            <w:r>
              <w:rPr>
                <w:rFonts w:cs="Times New Roman" w:ascii="Times New Roman" w:hAnsi="Times New Roman"/>
              </w:rPr>
              <w:t>м.п.</w:t>
            </w:r>
          </w:p>
        </w:tc>
      </w:tr>
    </w:tbl>
    <w:p>
      <w:pPr>
        <w:pStyle w:val="Normal"/>
        <w:tabs>
          <w:tab w:val="clear" w:pos="708"/>
          <w:tab w:val="left" w:pos="432" w:leader="none"/>
        </w:tabs>
        <w:ind w:firstLine="540"/>
        <w:jc w:val="both"/>
        <w:rPr>
          <w:rFonts w:ascii="Times New Roman" w:hAnsi="Times New Roman" w:cs="Times New Roman"/>
          <w:b/>
        </w:rPr>
      </w:pPr>
      <w:r>
        <w:rPr>
          <w:rFonts w:cs="Times New Roman" w:ascii="Times New Roman" w:hAnsi="Times New Roman"/>
          <w:b/>
        </w:rPr>
      </w:r>
    </w:p>
    <w:p>
      <w:pPr>
        <w:pStyle w:val="Normal"/>
        <w:tabs>
          <w:tab w:val="clear" w:pos="708"/>
          <w:tab w:val="left" w:pos="432" w:leader="none"/>
        </w:tabs>
        <w:jc w:val="center"/>
        <w:rPr>
          <w:rFonts w:ascii="Times New Roman" w:hAnsi="Times New Roman" w:cs="Times New Roman"/>
          <w:b/>
        </w:rPr>
      </w:pPr>
      <w:r>
        <w:rPr>
          <w:rFonts w:cs="Times New Roman" w:ascii="Times New Roman" w:hAnsi="Times New Roman"/>
          <w:b/>
        </w:rPr>
        <w:t>ФОРМА</w:t>
      </w:r>
    </w:p>
    <w:p>
      <w:pPr>
        <w:pStyle w:val="Normal"/>
        <w:ind w:firstLine="426" w:left="-426"/>
        <w:jc w:val="center"/>
        <w:rPr>
          <w:rFonts w:ascii="Times New Roman" w:hAnsi="Times New Roman" w:cs="Times New Roman"/>
          <w:b/>
        </w:rPr>
      </w:pPr>
      <w:r>
        <w:rPr>
          <w:rFonts w:cs="Times New Roman" w:ascii="Times New Roman" w:hAnsi="Times New Roman"/>
          <w:b/>
        </w:rPr>
      </w:r>
    </w:p>
    <w:p>
      <w:pPr>
        <w:pStyle w:val="Normal"/>
        <w:ind w:firstLine="426" w:left="-426"/>
        <w:jc w:val="center"/>
        <w:rPr>
          <w:rFonts w:ascii="Times New Roman" w:hAnsi="Times New Roman" w:cs="Times New Roman"/>
          <w:b/>
        </w:rPr>
      </w:pPr>
      <w:r>
        <w:rPr>
          <w:rFonts w:cs="Times New Roman" w:ascii="Times New Roman" w:hAnsi="Times New Roman"/>
          <w:b/>
        </w:rPr>
        <w:t>Акт сдачи-приемки Товара</w:t>
      </w:r>
    </w:p>
    <w:p>
      <w:pPr>
        <w:pStyle w:val="Normal"/>
        <w:ind w:firstLine="426" w:left="-426"/>
        <w:jc w:val="center"/>
        <w:rPr>
          <w:rFonts w:ascii="Times New Roman" w:hAnsi="Times New Roman" w:cs="Times New Roman"/>
          <w:b/>
        </w:rPr>
      </w:pPr>
      <w:r>
        <w:rPr>
          <w:rFonts w:cs="Times New Roman" w:ascii="Times New Roman" w:hAnsi="Times New Roman"/>
          <w:b/>
        </w:rPr>
      </w:r>
    </w:p>
    <w:p>
      <w:pPr>
        <w:pStyle w:val="Normal"/>
        <w:ind w:right="19"/>
        <w:jc w:val="center"/>
        <w:rPr>
          <w:rFonts w:ascii="Times New Roman" w:hAnsi="Times New Roman" w:cs="Times New Roman"/>
        </w:rPr>
      </w:pPr>
      <w:r>
        <w:rPr>
          <w:rFonts w:cs="Times New Roman" w:ascii="Times New Roman" w:hAnsi="Times New Roman"/>
        </w:rPr>
        <w:t xml:space="preserve">г. Москва </w:t>
        <w:tab/>
        <w:tab/>
        <w:tab/>
        <w:tab/>
        <w:tab/>
        <w:tab/>
        <w:tab/>
        <w:tab/>
        <w:tab/>
        <w:t>«___» _________ 2026</w:t>
      </w:r>
    </w:p>
    <w:p>
      <w:pPr>
        <w:pStyle w:val="BodyTextIndent"/>
        <w:ind w:firstLine="426" w:left="-426"/>
        <w:jc w:val="both"/>
        <w:rPr>
          <w:sz w:val="24"/>
          <w:szCs w:val="24"/>
        </w:rPr>
      </w:pPr>
      <w:r>
        <w:rPr>
          <w:sz w:val="24"/>
          <w:szCs w:val="24"/>
        </w:rPr>
      </w:r>
    </w:p>
    <w:p>
      <w:pPr>
        <w:pStyle w:val="Normal"/>
        <w:tabs>
          <w:tab w:val="clear" w:pos="708"/>
          <w:tab w:val="left" w:pos="432" w:leader="none"/>
        </w:tabs>
        <w:ind w:firstLine="567"/>
        <w:jc w:val="both"/>
        <w:rPr>
          <w:rFonts w:ascii="Times New Roman" w:hAnsi="Times New Roman" w:cs="Times New Roman"/>
        </w:rPr>
      </w:pPr>
      <w:r>
        <w:rPr>
          <w:rFonts w:cs="Times New Roman" w:ascii="Times New Roman" w:hAnsi="Times New Roman"/>
        </w:rPr>
        <w:t>Федеральное казенное учреждение «Главное бюро медико-социальной экспертизы по Московской области» Министерства труда и социальной защиты Российской Федерации (ФКУ «ГБ МСЭ по Московской области» Минтруда России), именуемое в дальнейшем «Государственный заказчик», в лице _______________________, действующего на основании _______________________, с одной стороны, и _____________, именуемое в дальнейшем «Поставщик», в лице _____________, действующего на основании _____________, с другой стороны, вместе именуемые «Стороны», составили настоящий Акт о нижеследующем:</w:t>
      </w:r>
    </w:p>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1. В соответствии с Государственным контрактом от «____» __________ 2026 г. № _____ (далее – Контракт) Поставщик поставил товар, а Государственный заказчик принял: </w:t>
      </w:r>
    </w:p>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r>
    </w:p>
    <w:tbl>
      <w:tblPr>
        <w:tblW w:w="9526" w:type="dxa"/>
        <w:jc w:val="left"/>
        <w:tblInd w:w="221" w:type="dxa"/>
        <w:tblLayout w:type="fixed"/>
        <w:tblCellMar>
          <w:top w:w="0" w:type="dxa"/>
          <w:left w:w="108" w:type="dxa"/>
          <w:bottom w:w="0" w:type="dxa"/>
          <w:right w:w="108" w:type="dxa"/>
        </w:tblCellMar>
        <w:tblLook w:val="01e0" w:noHBand="0" w:noVBand="0" w:firstColumn="1" w:lastRow="1" w:lastColumn="1" w:firstRow="1"/>
      </w:tblPr>
      <w:tblGrid>
        <w:gridCol w:w="562"/>
        <w:gridCol w:w="2553"/>
        <w:gridCol w:w="1422"/>
        <w:gridCol w:w="1416"/>
        <w:gridCol w:w="1844"/>
        <w:gridCol w:w="1728"/>
      </w:tblGrid>
      <w:tr>
        <w:trPr>
          <w:trHeight w:val="814" w:hRule="atLeast"/>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п/п</w:t>
            </w:r>
          </w:p>
        </w:tc>
        <w:tc>
          <w:tcPr>
            <w:tcW w:w="2553"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t>Наименование товара</w:t>
            </w:r>
          </w:p>
        </w:tc>
        <w:tc>
          <w:tcPr>
            <w:tcW w:w="1422"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t>Количество</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t>Ед.измерения</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t>Цена за ед., в руб.</w:t>
            </w:r>
          </w:p>
        </w:tc>
        <w:tc>
          <w:tcPr>
            <w:tcW w:w="1728"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t>Итого стоимость, в руб.</w:t>
            </w:r>
          </w:p>
        </w:tc>
      </w:tr>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t>1.</w:t>
            </w:r>
          </w:p>
        </w:tc>
        <w:tc>
          <w:tcPr>
            <w:tcW w:w="2553"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r>
          </w:p>
        </w:tc>
        <w:tc>
          <w:tcPr>
            <w:tcW w:w="1422"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r>
          </w:p>
        </w:tc>
        <w:tc>
          <w:tcPr>
            <w:tcW w:w="1728"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r>
          </w:p>
        </w:tc>
      </w:tr>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t>2.</w:t>
            </w:r>
          </w:p>
        </w:tc>
        <w:tc>
          <w:tcPr>
            <w:tcW w:w="2553"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r>
          </w:p>
        </w:tc>
        <w:tc>
          <w:tcPr>
            <w:tcW w:w="1422"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r>
          </w:p>
        </w:tc>
        <w:tc>
          <w:tcPr>
            <w:tcW w:w="1728"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r>
          </w:p>
        </w:tc>
      </w:tr>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t>…</w:t>
            </w:r>
          </w:p>
        </w:tc>
        <w:tc>
          <w:tcPr>
            <w:tcW w:w="2553"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r>
          </w:p>
        </w:tc>
        <w:tc>
          <w:tcPr>
            <w:tcW w:w="1422"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r>
          </w:p>
        </w:tc>
        <w:tc>
          <w:tcPr>
            <w:tcW w:w="1728"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r>
          </w:p>
        </w:tc>
      </w:tr>
    </w:tbl>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r>
    </w:p>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t>2. Фактическое качество поставленного товара, его количество, соответствуют (не соответствуют) требованиям Контракта:</w:t>
      </w:r>
    </w:p>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t xml:space="preserve">_________________________________________ </w:t>
      </w:r>
      <w:r>
        <w:rPr>
          <w:rFonts w:cs="Times New Roman" w:ascii="Times New Roman" w:hAnsi="Times New Roman"/>
          <w:i/>
          <w:iCs/>
        </w:rPr>
        <w:t>(в случае выбора «не соответствует», необходимо указать пункты контракта и/или приложений к контракту, которые не исполнены, исполнены частично, исполнены не надлежащим образом и т.п.)</w:t>
      </w:r>
      <w:r>
        <w:rPr>
          <w:rFonts w:cs="Times New Roman" w:ascii="Times New Roman" w:hAnsi="Times New Roman"/>
        </w:rPr>
        <w:t>.</w:t>
      </w:r>
    </w:p>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t>3. Недостатки поставленного товара выявлены/не выявлены:</w:t>
      </w:r>
    </w:p>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t xml:space="preserve">__________________________________________ </w:t>
      </w:r>
      <w:r>
        <w:rPr>
          <w:rFonts w:cs="Times New Roman" w:ascii="Times New Roman" w:hAnsi="Times New Roman"/>
          <w:i/>
          <w:iCs/>
        </w:rPr>
        <w:t>(в случае выбора «выявлены», необходимо указать пункты контракта и/или приложений к контракту, которые не исполнены, исполнены частично, исполнены не надлежащим образом и т.п.)</w:t>
      </w:r>
      <w:r>
        <w:rPr>
          <w:rFonts w:cs="Times New Roman" w:ascii="Times New Roman" w:hAnsi="Times New Roman"/>
        </w:rPr>
        <w:t>.</w:t>
      </w:r>
    </w:p>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t>4. Сумма, подлежащая оплате Поставщику в соответствии с условиями Контракта: _______________________________________________________________________________.</w:t>
      </w:r>
    </w:p>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t xml:space="preserve">5. В соответствии с пунктом ____ Контракта сумма штрафных санкций составляет ___________________ </w:t>
      </w:r>
      <w:r>
        <w:rPr>
          <w:rFonts w:cs="Times New Roman" w:ascii="Times New Roman" w:hAnsi="Times New Roman"/>
          <w:i/>
          <w:iCs/>
        </w:rPr>
        <w:t>(указывается порядок расчета штрафных санкций)</w:t>
      </w:r>
      <w:r>
        <w:rPr>
          <w:rFonts w:cs="Times New Roman" w:ascii="Times New Roman" w:hAnsi="Times New Roman"/>
        </w:rPr>
        <w:t>.</w:t>
      </w:r>
    </w:p>
    <w:p>
      <w:pPr>
        <w:pStyle w:val="Normal"/>
        <w:tabs>
          <w:tab w:val="clear" w:pos="708"/>
          <w:tab w:val="left" w:pos="432" w:leader="none"/>
        </w:tabs>
        <w:jc w:val="both"/>
        <w:rPr>
          <w:rFonts w:ascii="Times New Roman" w:hAnsi="Times New Roman" w:cs="Times New Roman"/>
          <w:i/>
          <w:i/>
          <w:iCs/>
        </w:rPr>
      </w:pPr>
      <w:r>
        <w:rPr>
          <w:rFonts w:cs="Times New Roman" w:ascii="Times New Roman" w:hAnsi="Times New Roman"/>
        </w:rPr>
        <w:t xml:space="preserve">Общая стоимость штрафных санкций составит: ________________________ </w:t>
      </w:r>
      <w:r>
        <w:rPr>
          <w:rFonts w:cs="Times New Roman" w:ascii="Times New Roman" w:hAnsi="Times New Roman"/>
          <w:i/>
          <w:iCs/>
        </w:rPr>
        <w:t>(в случае не начисления штрафных санкций, необходимо указать «0 рублей 00 копеек»).</w:t>
      </w:r>
    </w:p>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t>6. Итоговая сумма, подлежащая оплате Поставщику, составляет ____________________________________________________</w:t>
      </w:r>
    </w:p>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r>
    </w:p>
    <w:p>
      <w:pPr>
        <w:pStyle w:val="Normal"/>
        <w:tabs>
          <w:tab w:val="clear" w:pos="708"/>
          <w:tab w:val="left" w:pos="432" w:leader="none"/>
        </w:tabs>
        <w:jc w:val="both"/>
        <w:rPr>
          <w:rFonts w:ascii="Times New Roman" w:hAnsi="Times New Roman" w:cs="Times New Roman"/>
          <w:i/>
          <w:i/>
          <w:iCs/>
        </w:rPr>
      </w:pPr>
      <w:r>
        <w:rPr>
          <w:rFonts w:cs="Times New Roman" w:ascii="Times New Roman" w:hAnsi="Times New Roman"/>
        </w:rPr>
        <w:t xml:space="preserve">7. Результаты по Контракту: ______________________________________ </w:t>
      </w:r>
      <w:r>
        <w:rPr>
          <w:rFonts w:cs="Times New Roman" w:ascii="Times New Roman" w:hAnsi="Times New Roman"/>
          <w:i/>
          <w:iCs/>
        </w:rPr>
        <w:t>(необходимо указать, что именно исполнено по контракту, с каким качеством, с указанием на наличие или отсутствие недостатков).</w:t>
      </w:r>
    </w:p>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r>
    </w:p>
    <w:p>
      <w:pPr>
        <w:pStyle w:val="Normal"/>
        <w:ind w:firstLine="540"/>
        <w:jc w:val="both"/>
        <w:rPr>
          <w:rFonts w:ascii="Times New Roman" w:hAnsi="Times New Roman" w:cs="Times New Roman"/>
        </w:rPr>
      </w:pPr>
      <w:r>
        <w:rPr>
          <w:rFonts w:cs="Times New Roman" w:ascii="Times New Roman" w:hAnsi="Times New Roman"/>
        </w:rPr>
      </w:r>
    </w:p>
    <w:tbl>
      <w:tblPr>
        <w:tblW w:w="10138"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5210"/>
        <w:gridCol w:w="4927"/>
      </w:tblGrid>
      <w:tr>
        <w:trPr/>
        <w:tc>
          <w:tcPr>
            <w:tcW w:w="5210" w:type="dxa"/>
            <w:tcBorders/>
            <w:shd w:color="auto" w:fill="auto" w:val="clear"/>
          </w:tcPr>
          <w:p>
            <w:pPr>
              <w:pStyle w:val="Normal"/>
              <w:spacing w:before="150" w:after="150"/>
              <w:ind w:right="150"/>
              <w:jc w:val="both"/>
              <w:rPr>
                <w:rFonts w:ascii="Times New Roman" w:hAnsi="Times New Roman" w:cs="Times New Roman"/>
              </w:rPr>
            </w:pPr>
            <w:r>
              <w:rPr>
                <w:rFonts w:cs="Times New Roman" w:ascii="Times New Roman" w:hAnsi="Times New Roman"/>
              </w:rPr>
              <w:t>от Государственного заказчика</w:t>
            </w:r>
          </w:p>
          <w:p>
            <w:pPr>
              <w:pStyle w:val="Normal"/>
              <w:spacing w:before="150" w:after="150"/>
              <w:ind w:right="150"/>
              <w:jc w:val="both"/>
              <w:rPr>
                <w:rFonts w:ascii="Times New Roman" w:hAnsi="Times New Roman" w:cs="Times New Roman"/>
              </w:rPr>
            </w:pPr>
            <w:r>
              <w:rPr>
                <w:rFonts w:cs="Times New Roman" w:ascii="Times New Roman" w:hAnsi="Times New Roman"/>
              </w:rPr>
              <w:t>________________/ ________ /</w:t>
            </w:r>
          </w:p>
          <w:p>
            <w:pPr>
              <w:pStyle w:val="Normal"/>
              <w:spacing w:before="150" w:after="150"/>
              <w:ind w:right="150"/>
              <w:jc w:val="both"/>
              <w:rPr>
                <w:rFonts w:ascii="Times New Roman" w:hAnsi="Times New Roman" w:cs="Times New Roman"/>
              </w:rPr>
            </w:pPr>
            <w:r>
              <w:rPr>
                <w:rFonts w:cs="Times New Roman" w:ascii="Times New Roman" w:hAnsi="Times New Roman"/>
              </w:rPr>
              <w:t>м.п.</w:t>
            </w:r>
          </w:p>
        </w:tc>
        <w:tc>
          <w:tcPr>
            <w:tcW w:w="4927" w:type="dxa"/>
            <w:tcBorders/>
            <w:shd w:color="auto" w:fill="auto" w:val="clear"/>
          </w:tcPr>
          <w:p>
            <w:pPr>
              <w:pStyle w:val="Normal"/>
              <w:spacing w:before="150" w:after="150"/>
              <w:ind w:right="150"/>
              <w:jc w:val="both"/>
              <w:rPr>
                <w:rFonts w:ascii="Times New Roman" w:hAnsi="Times New Roman" w:cs="Times New Roman"/>
              </w:rPr>
            </w:pPr>
            <w:r>
              <w:rPr>
                <w:rFonts w:cs="Times New Roman" w:ascii="Times New Roman" w:hAnsi="Times New Roman"/>
              </w:rPr>
              <w:t>от Поставщика</w:t>
            </w:r>
          </w:p>
          <w:p>
            <w:pPr>
              <w:pStyle w:val="Normal"/>
              <w:spacing w:before="150" w:after="150"/>
              <w:ind w:right="150"/>
              <w:jc w:val="both"/>
              <w:rPr>
                <w:rFonts w:ascii="Times New Roman" w:hAnsi="Times New Roman" w:cs="Times New Roman"/>
              </w:rPr>
            </w:pPr>
            <w:r>
              <w:rPr>
                <w:rFonts w:cs="Times New Roman" w:ascii="Times New Roman" w:hAnsi="Times New Roman"/>
              </w:rPr>
              <w:t>________________/ ________ /</w:t>
            </w:r>
          </w:p>
          <w:p>
            <w:pPr>
              <w:pStyle w:val="Normal"/>
              <w:keepNext w:val="true"/>
              <w:tabs>
                <w:tab w:val="clear" w:pos="708"/>
                <w:tab w:val="left" w:pos="720" w:leader="none"/>
              </w:tabs>
              <w:ind w:firstLine="39"/>
              <w:jc w:val="both"/>
              <w:rPr>
                <w:rFonts w:ascii="Times New Roman" w:hAnsi="Times New Roman" w:cs="Times New Roman"/>
              </w:rPr>
            </w:pPr>
            <w:r>
              <w:rPr>
                <w:rFonts w:cs="Times New Roman" w:ascii="Times New Roman" w:hAnsi="Times New Roman"/>
              </w:rPr>
              <w:t>м.п.</w:t>
            </w:r>
          </w:p>
        </w:tc>
      </w:tr>
    </w:tbl>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Cs/>
          <w:i/>
          <w:i/>
          <w:iCs/>
        </w:rPr>
      </w:pPr>
      <w:r>
        <w:rPr>
          <w:rFonts w:cs="Times New Roman" w:ascii="Times New Roman" w:hAnsi="Times New Roman"/>
          <w:bCs/>
          <w:i/>
          <w:iCs/>
        </w:rPr>
        <w:t>* При заполнении настоящей формы, Поставщик не указывает, что данная форма, является приложением к контракту, не указывает должностей и лиц, утверждающих настоящую форму, а также слово «форма».</w:t>
      </w:r>
    </w:p>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Ответственное лицо</w:t>
      </w:r>
    </w:p>
    <w:p>
      <w:pPr>
        <w:pStyle w:val="Normal"/>
        <w:jc w:val="both"/>
        <w:rPr>
          <w:rFonts w:ascii="Times New Roman" w:hAnsi="Times New Roman" w:cs="Times New Roman"/>
        </w:rPr>
      </w:pPr>
      <w:r>
        <w:rPr>
          <w:rFonts w:cs="Times New Roman" w:ascii="Times New Roman" w:hAnsi="Times New Roman"/>
        </w:rPr>
        <w:t>по Контракту</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____________ /Рычков А.Н./</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Ответственное лицо от планово-финансового</w:t>
      </w:r>
    </w:p>
    <w:p>
      <w:pPr>
        <w:pStyle w:val="Normal"/>
        <w:jc w:val="both"/>
        <w:rPr>
          <w:rFonts w:ascii="Times New Roman" w:hAnsi="Times New Roman" w:cs="Times New Roman"/>
        </w:rPr>
      </w:pPr>
      <w:r>
        <w:rPr>
          <w:rFonts w:cs="Times New Roman" w:ascii="Times New Roman" w:hAnsi="Times New Roman"/>
        </w:rPr>
        <w:t>отдела</w:t>
      </w:r>
    </w:p>
    <w:p>
      <w:pPr>
        <w:pStyle w:val="14"/>
        <w:shd w:val="clear" w:color="auto" w:fill="auto"/>
        <w:spacing w:before="0" w:after="220"/>
        <w:ind w:hanging="0"/>
        <w:jc w:val="both"/>
        <w:rPr/>
      </w:pPr>
      <w:r>
        <w:rPr/>
      </w:r>
    </w:p>
    <w:p>
      <w:pPr>
        <w:pStyle w:val="14"/>
        <w:shd w:val="clear" w:color="auto" w:fill="auto"/>
        <w:spacing w:before="0" w:after="220"/>
        <w:ind w:hanging="0"/>
        <w:jc w:val="both"/>
        <w:rPr/>
      </w:pPr>
      <w:r>
        <w:rPr/>
        <w:t>___________ / ____________ /</w:t>
      </w:r>
    </w:p>
    <w:p>
      <w:pPr>
        <w:pStyle w:val="Normal"/>
        <w:jc w:val="both"/>
        <w:rPr>
          <w:rFonts w:ascii="Times New Roman" w:hAnsi="Times New Roman" w:eastAsia="Times New Roman" w:cs="Times New Roman"/>
        </w:rPr>
      </w:pPr>
      <w:r>
        <w:rPr>
          <w:rFonts w:eastAsia="Times New Roman" w:cs="Times New Roman" w:ascii="Times New Roman" w:hAnsi="Times New Roman"/>
        </w:rPr>
      </w:r>
      <w:r>
        <w:br w:type="page"/>
      </w:r>
    </w:p>
    <w:p>
      <w:pPr>
        <w:pStyle w:val="Normal"/>
        <w:shd w:val="clear" w:color="auto" w:fill="FFFFFF"/>
        <w:tabs>
          <w:tab w:val="clear" w:pos="708"/>
          <w:tab w:val="left" w:pos="3480" w:leader="none"/>
          <w:tab w:val="center" w:pos="4667" w:leader="none"/>
        </w:tabs>
        <w:spacing w:before="0" w:after="0"/>
        <w:ind w:left="6237" w:right="21"/>
        <w:jc w:val="both"/>
        <w:rPr>
          <w:rFonts w:ascii="Times New Roman" w:hAnsi="Times New Roman" w:cs="Times New Roman"/>
          <w:spacing w:val="-2"/>
        </w:rPr>
      </w:pPr>
      <w:r>
        <w:rPr>
          <w:rFonts w:cs="Times New Roman" w:ascii="Times New Roman" w:hAnsi="Times New Roman"/>
          <w:spacing w:val="-2"/>
        </w:rPr>
      </w:r>
    </w:p>
    <w:sectPr>
      <w:footerReference w:type="even" r:id="rId9"/>
      <w:footerReference w:type="default" r:id="rId10"/>
      <w:footerReference w:type="first" r:id="rId11"/>
      <w:type w:val="nextPage"/>
      <w:pgSz w:w="11906" w:h="16838"/>
      <w:pgMar w:left="1134" w:right="1127" w:gutter="0" w:header="0" w:top="897" w:footer="3" w:bottom="71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1"/>
    <w:family w:val="roman"/>
    <w:pitch w:val="default"/>
  </w:font>
  <w:font w:name="Times New Roman">
    <w:charset w:val="01"/>
    <w:family w:val="roman"/>
    <w:pitch w:val="default"/>
  </w:font>
  <w:font w:name="Calibri Light">
    <w:charset w:val="01"/>
    <w:family w:val="roman"/>
    <w:pitch w:val="default"/>
  </w:font>
  <w:font w:name="Kudrashov">
    <w:charset w:val="01"/>
    <w:family w:val="swiss"/>
    <w:pitch w:val="default"/>
  </w:font>
  <w:font w:name="Segoe UI">
    <w:charset w:val="01"/>
    <w:family w:val="swiss"/>
    <w:pitch w:val="default"/>
  </w:font>
  <w:font w:name="OpenSymbol">
    <w:altName w:val="Arial Unicode MS"/>
    <w:charset w:val="01"/>
    <w:family w:val="roman"/>
    <w:pitch w:val="default"/>
  </w:font>
  <w:font w:name="Liberation Mono">
    <w:altName w:val="Courier New"/>
    <w:charset w:val="01"/>
    <w:family w:val="roman"/>
    <w:pitch w:val="default"/>
  </w:font>
  <w:font w:name="PT Astra Serif">
    <w:charset w:val="01"/>
    <w:family w:val="roman"/>
    <w:pitch w:val="default"/>
  </w:font>
  <w:font w:name="Calibri">
    <w:charset w:val="01"/>
    <w:family w:val="swiss"/>
    <w:pitch w:val="default"/>
  </w:font>
  <w:font w:name="Liberation Serif">
    <w:altName w:val="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rPr/>
    </w:pPr>
    <w:r>
      <w:rPr/>
      <mc:AlternateContent>
        <mc:Choice Requires="wps">
          <w:drawing>
            <wp:anchor behindDoc="1" distT="0" distB="0" distL="0" distR="0" simplePos="0" locked="0" layoutInCell="0" allowOverlap="1" relativeHeight="16">
              <wp:simplePos x="0" y="0"/>
              <wp:positionH relativeFrom="page">
                <wp:posOffset>6723380</wp:posOffset>
              </wp:positionH>
              <wp:positionV relativeFrom="page">
                <wp:posOffset>10306050</wp:posOffset>
              </wp:positionV>
              <wp:extent cx="152400" cy="175260"/>
              <wp:effectExtent l="0" t="0" r="0" b="0"/>
              <wp:wrapNone/>
              <wp:docPr id="2" name="Врезка2"/>
              <a:graphic xmlns:a="http://schemas.openxmlformats.org/drawingml/2006/main">
                <a:graphicData uri="http://schemas.microsoft.com/office/word/2010/wordprocessingShape">
                  <wps:wsp>
                    <wps:cNvSpPr/>
                    <wps:spPr>
                      <a:xfrm>
                        <a:off x="0" y="0"/>
                        <a:ext cx="152280" cy="175320"/>
                      </a:xfrm>
                      <a:prstGeom prst="rect">
                        <a:avLst/>
                      </a:prstGeom>
                      <a:noFill/>
                      <a:ln w="0">
                        <a:noFill/>
                      </a:ln>
                    </wps:spPr>
                    <wps:style>
                      <a:lnRef idx="0"/>
                      <a:fillRef idx="0"/>
                      <a:effectRef idx="0"/>
                      <a:fontRef idx="minor"/>
                    </wps:style>
                    <wps:txbx>
                      <w:txbxContent>
                        <w:p>
                          <w:pPr>
                            <w:pStyle w:val="22"/>
                            <w:shd w:val="clear" w:color="auto" w:fill="auto"/>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9</w:t>
                          </w:r>
                          <w:r>
                            <w:rPr>
                              <w:sz w:val="24"/>
                              <w:szCs w:val="24"/>
                            </w:rPr>
                            <w:fldChar w:fldCharType="end"/>
                          </w:r>
                        </w:p>
                      </w:txbxContent>
                    </wps:txbx>
                    <wps:bodyPr lIns="0" rIns="0" tIns="0" bIns="0" anchor="t">
                      <a:noAutofit/>
                    </wps:bodyPr>
                  </wps:wsp>
                </a:graphicData>
              </a:graphic>
            </wp:anchor>
          </w:drawing>
        </mc:Choice>
        <mc:Fallback>
          <w:pict>
            <v:rect id="shape_0" ID="Врезка2" path="m0,0l-2147483645,0l-2147483645,-2147483646l0,-2147483646xe" stroked="f" o:allowincell="f" style="position:absolute;margin-left:529.4pt;margin-top:811.5pt;width:11.95pt;height:13.75pt;mso-wrap-style:square;v-text-anchor:top;mso-position-horizontal-relative:page;mso-position-vertical-relative:page">
              <v:fill o:detectmouseclick="t" on="false"/>
              <v:stroke color="#3465a4" joinstyle="round" endcap="flat"/>
              <v:textbox>
                <w:txbxContent>
                  <w:p>
                    <w:pPr>
                      <w:pStyle w:val="22"/>
                      <w:shd w:val="clear" w:color="auto" w:fill="auto"/>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9</w:t>
                    </w:r>
                    <w:r>
                      <w:rPr>
                        <w:sz w:val="24"/>
                        <w:szCs w:val="24"/>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rPr/>
    </w:pPr>
    <w:r>
      <w:rPr/>
      <mc:AlternateContent>
        <mc:Choice Requires="wps">
          <w:drawing>
            <wp:anchor behindDoc="1" distT="0" distB="0" distL="0" distR="0" simplePos="0" locked="0" layoutInCell="0" allowOverlap="1" relativeHeight="20">
              <wp:simplePos x="0" y="0"/>
              <wp:positionH relativeFrom="page">
                <wp:posOffset>0</wp:posOffset>
              </wp:positionH>
              <wp:positionV relativeFrom="page">
                <wp:posOffset>0</wp:posOffset>
              </wp:positionV>
              <wp:extent cx="152400" cy="175260"/>
              <wp:effectExtent l="0" t="0" r="0" b="0"/>
              <wp:wrapNone/>
              <wp:docPr id="3" name="Врезка3"/>
              <a:graphic xmlns:a="http://schemas.openxmlformats.org/drawingml/2006/main">
                <a:graphicData uri="http://schemas.microsoft.com/office/word/2010/wordprocessingShape">
                  <wps:wsp>
                    <wps:cNvSpPr/>
                    <wps:spPr>
                      <a:xfrm>
                        <a:off x="0" y="0"/>
                        <a:ext cx="152280" cy="175320"/>
                      </a:xfrm>
                      <a:prstGeom prst="rect">
                        <a:avLst/>
                      </a:prstGeom>
                      <a:noFill/>
                      <a:ln w="0">
                        <a:noFill/>
                      </a:ln>
                    </wps:spPr>
                    <wps:style>
                      <a:lnRef idx="0"/>
                      <a:fillRef idx="0"/>
                      <a:effectRef idx="0"/>
                      <a:fontRef idx="minor"/>
                    </wps:style>
                    <wps:txbx>
                      <w:txbxContent>
                        <w:p>
                          <w:pPr>
                            <w:pStyle w:val="22"/>
                            <w:shd w:val="clear" w:color="auto" w:fill="auto"/>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3</w:t>
                          </w:r>
                          <w:r>
                            <w:rPr>
                              <w:sz w:val="24"/>
                              <w:szCs w:val="24"/>
                            </w:rPr>
                            <w:fldChar w:fldCharType="end"/>
                          </w:r>
                        </w:p>
                      </w:txbxContent>
                    </wps:txbx>
                    <wps:bodyPr lIns="0" rIns="0" tIns="0" bIns="0" anchor="t">
                      <a:noAutofit/>
                    </wps:bodyPr>
                  </wps:wsp>
                </a:graphicData>
              </a:graphic>
            </wp:anchor>
          </w:drawing>
        </mc:Choice>
        <mc:Fallback>
          <w:pict>
            <v:rect id="shape_0" ID="Врезка3" path="m0,0l-2147483645,0l-2147483645,-2147483646l0,-2147483646xe" stroked="f" o:allowincell="f" style="position:absolute;margin-left:0pt;margin-top:0pt;width:11.95pt;height:13.75pt;mso-wrap-style:square;v-text-anchor:top;mso-position-horizontal-relative:page;mso-position-vertical-relative:page">
              <v:fill o:detectmouseclick="t" on="false"/>
              <v:stroke color="#3465a4" joinstyle="round" endcap="flat"/>
              <v:textbox>
                <w:txbxContent>
                  <w:p>
                    <w:pPr>
                      <w:pStyle w:val="22"/>
                      <w:shd w:val="clear" w:color="auto" w:fill="auto"/>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3</w:t>
                    </w:r>
                    <w:r>
                      <w:rPr>
                        <w:sz w:val="24"/>
                        <w:szCs w:val="24"/>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rPr/>
    </w:pPr>
    <w:r>
      <w:rPr/>
      <mc:AlternateContent>
        <mc:Choice Requires="wps">
          <w:drawing>
            <wp:anchor behindDoc="1" distT="0" distB="0" distL="0" distR="0" simplePos="0" locked="0" layoutInCell="0" allowOverlap="1" relativeHeight="23">
              <wp:simplePos x="0" y="0"/>
              <wp:positionH relativeFrom="page">
                <wp:posOffset>6723380</wp:posOffset>
              </wp:positionH>
              <wp:positionV relativeFrom="page">
                <wp:posOffset>10306050</wp:posOffset>
              </wp:positionV>
              <wp:extent cx="152400" cy="175260"/>
              <wp:effectExtent l="0" t="0" r="0" b="0"/>
              <wp:wrapNone/>
              <wp:docPr id="4" name="Врезка4"/>
              <a:graphic xmlns:a="http://schemas.openxmlformats.org/drawingml/2006/main">
                <a:graphicData uri="http://schemas.microsoft.com/office/word/2010/wordprocessingShape">
                  <wps:wsp>
                    <wps:cNvSpPr/>
                    <wps:spPr>
                      <a:xfrm>
                        <a:off x="0" y="0"/>
                        <a:ext cx="152280" cy="175320"/>
                      </a:xfrm>
                      <a:prstGeom prst="rect">
                        <a:avLst/>
                      </a:prstGeom>
                      <a:noFill/>
                      <a:ln w="0">
                        <a:noFill/>
                      </a:ln>
                    </wps:spPr>
                    <wps:style>
                      <a:lnRef idx="0"/>
                      <a:fillRef idx="0"/>
                      <a:effectRef idx="0"/>
                      <a:fontRef idx="minor"/>
                    </wps:style>
                    <wps:txbx>
                      <w:txbxContent>
                        <w:p>
                          <w:pPr>
                            <w:pStyle w:val="22"/>
                            <w:shd w:val="clear" w:color="auto" w:fill="auto"/>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3</w:t>
                          </w:r>
                          <w:r>
                            <w:rPr>
                              <w:sz w:val="24"/>
                              <w:szCs w:val="24"/>
                            </w:rPr>
                            <w:fldChar w:fldCharType="end"/>
                          </w:r>
                        </w:p>
                      </w:txbxContent>
                    </wps:txbx>
                    <wps:bodyPr lIns="0" rIns="0" tIns="0" bIns="0" anchor="t">
                      <a:noAutofit/>
                    </wps:bodyPr>
                  </wps:wsp>
                </a:graphicData>
              </a:graphic>
            </wp:anchor>
          </w:drawing>
        </mc:Choice>
        <mc:Fallback>
          <w:pict>
            <v:rect id="shape_0" ID="Врезка4" path="m0,0l-2147483645,0l-2147483645,-2147483646l0,-2147483646xe" stroked="f" o:allowincell="f" style="position:absolute;margin-left:529.4pt;margin-top:811.5pt;width:11.95pt;height:13.75pt;mso-wrap-style:square;v-text-anchor:top;mso-position-horizontal-relative:page;mso-position-vertical-relative:page">
              <v:fill o:detectmouseclick="t" on="false"/>
              <v:stroke color="#3465a4" joinstyle="round" endcap="flat"/>
              <v:textbox>
                <w:txbxContent>
                  <w:p>
                    <w:pPr>
                      <w:pStyle w:val="22"/>
                      <w:shd w:val="clear" w:color="auto" w:fill="auto"/>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3</w:t>
                    </w:r>
                    <w:r>
                      <w:rPr>
                        <w:sz w:val="24"/>
                        <w:szCs w:val="24"/>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rPr>
        <w:smallCaps w:val="false"/>
        <w:caps w:val="false"/>
        <w:dstrike w:val="false"/>
        <w:strike w:val="false"/>
        <w:sz w:val="24"/>
        <w:spacing w:val="0"/>
        <w:i w:val="false"/>
        <w:u w:val="none"/>
        <w:b/>
        <w:shd w:fill="auto" w:val="clear"/>
        <w:szCs w:val="24"/>
        <w:iCs w:val="false"/>
        <w:bCs/>
        <w:w w:val="100"/>
        <w:rFonts w:ascii="Times New Roman" w:hAnsi="Times New Roman" w:eastAsia="Times New Roman" w:cs="Times New Roman"/>
        <w:color w:val="000000"/>
        <w:lang w:val="ru-RU" w:eastAsia="ru-RU" w:bidi="ru-RU"/>
      </w:rPr>
    </w:lvl>
    <w:lvl w:ilvl="1">
      <w:start w:val="1"/>
      <w:numFmt w:val="decimal"/>
      <w:lvlText w:val="%1.%2."/>
      <w:lvlJc w:val="left"/>
      <w:pPr>
        <w:tabs>
          <w:tab w:val="num" w:pos="0"/>
        </w:tabs>
        <w:ind w:left="0" w:hanging="0"/>
      </w:pPr>
      <w:rPr>
        <w:smallCaps w:val="false"/>
        <w:caps w:val="false"/>
        <w:dstrike w:val="false"/>
        <w:strike w:val="false"/>
        <w:sz w:val="24"/>
        <w:spacing w:val="0"/>
        <w:i w:val="false"/>
        <w:u w:val="none"/>
        <w:b w:val="false"/>
        <w:shd w:fill="auto" w:val="clear"/>
        <w:szCs w:val="24"/>
        <w:iCs w:val="false"/>
        <w:bCs w:val="false"/>
        <w:w w:val="100"/>
        <w:rFonts w:ascii="Times New Roman" w:hAnsi="Times New Roman" w:eastAsia="Times New Roman" w:cs="Times New Roman"/>
        <w:color w:val="000000"/>
        <w:lang w:val="ru-RU" w:eastAsia="ru-RU" w:bidi="ru-RU"/>
      </w:rPr>
    </w:lvl>
    <w:lvl w:ilvl="2">
      <w:start w:val="1"/>
      <w:numFmt w:val="decimal"/>
      <w:lvlText w:val="%1.%2.%3."/>
      <w:lvlJc w:val="left"/>
      <w:pPr>
        <w:tabs>
          <w:tab w:val="num" w:pos="0"/>
        </w:tabs>
        <w:ind w:left="0" w:hanging="0"/>
      </w:pPr>
      <w:rPr>
        <w:smallCaps w:val="false"/>
        <w:caps w:val="false"/>
        <w:dstrike w:val="false"/>
        <w:strike w:val="false"/>
        <w:sz w:val="24"/>
        <w:spacing w:val="0"/>
        <w:i w:val="false"/>
        <w:u w:val="none"/>
        <w:b w:val="false"/>
        <w:shd w:fill="auto" w:val="clear"/>
        <w:szCs w:val="24"/>
        <w:iCs w:val="false"/>
        <w:bCs w:val="false"/>
        <w:w w:val="100"/>
        <w:rFonts w:ascii="Times New Roman" w:hAnsi="Times New Roman" w:eastAsia="Times New Roman" w:cs="Times New Roman"/>
        <w:color w:val="000000"/>
        <w:lang w:val="ru-RU" w:eastAsia="ru-RU" w:bidi="ru-RU"/>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2"/>
      <w:numFmt w:val="decimal"/>
      <w:lvlText w:val="12.%1."/>
      <w:lvlJc w:val="left"/>
      <w:pPr>
        <w:tabs>
          <w:tab w:val="num" w:pos="0"/>
        </w:tabs>
        <w:ind w:left="0" w:hanging="0"/>
      </w:pPr>
      <w:rPr>
        <w:smallCaps w:val="false"/>
        <w:caps w:val="false"/>
        <w:dstrike w:val="false"/>
        <w:strike w:val="false"/>
        <w:sz w:val="24"/>
        <w:spacing w:val="0"/>
        <w:i w:val="false"/>
        <w:u w:val="none"/>
        <w:b w:val="false"/>
        <w:shd w:fill="auto" w:val="clear"/>
        <w:szCs w:val="24"/>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360"/>
  <w:compat>
    <w:doNotExpandShiftReturn/>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urier New" w:hAnsi="Courier New" w:eastAsia="Courier New" w:cs="Courier New"/>
        <w:sz w:val="24"/>
        <w:szCs w:val="24"/>
        <w:lang w:val="ru-RU" w:eastAsia="ru-RU" w:bidi="ru-RU"/>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91eb6"/>
    <w:pPr>
      <w:widowControl w:val="false"/>
      <w:suppressAutoHyphens w:val="false"/>
      <w:bidi w:val="0"/>
      <w:spacing w:before="0" w:after="0"/>
      <w:jc w:val="left"/>
    </w:pPr>
    <w:rPr>
      <w:rFonts w:ascii="Courier New" w:hAnsi="Courier New" w:eastAsia="Courier New" w:cs="Courier New"/>
      <w:color w:val="000000"/>
      <w:kern w:val="0"/>
      <w:sz w:val="24"/>
      <w:szCs w:val="24"/>
      <w:lang w:val="ru-RU" w:eastAsia="ru-RU" w:bidi="ru-RU"/>
    </w:rPr>
  </w:style>
  <w:style w:type="paragraph" w:styleId="Heading1">
    <w:name w:val="heading 1"/>
    <w:basedOn w:val="Normal"/>
    <w:link w:val="11"/>
    <w:uiPriority w:val="9"/>
    <w:qFormat/>
    <w:rsid w:val="007b7114"/>
    <w:pPr>
      <w:widowControl/>
      <w:spacing w:beforeAutospacing="1" w:afterAutospacing="1"/>
      <w:outlineLvl w:val="0"/>
    </w:pPr>
    <w:rPr>
      <w:rFonts w:ascii="Times New Roman" w:hAnsi="Times New Roman" w:eastAsia="Times New Roman" w:cs="Times New Roman"/>
      <w:b/>
      <w:bCs/>
      <w:color w:val="auto"/>
      <w:kern w:val="2"/>
      <w:sz w:val="48"/>
      <w:szCs w:val="48"/>
      <w:lang w:bidi="ar-SA"/>
    </w:rPr>
  </w:style>
  <w:style w:type="paragraph" w:styleId="Heading2">
    <w:name w:val="heading 2"/>
    <w:basedOn w:val="Normal"/>
    <w:next w:val="Normal"/>
    <w:link w:val="21"/>
    <w:uiPriority w:val="9"/>
    <w:semiHidden/>
    <w:unhideWhenUsed/>
    <w:qFormat/>
    <w:rsid w:val="00eb0be8"/>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E74B5"/>
      <w:sz w:val="26"/>
      <w:szCs w:val="26"/>
    </w:rPr>
  </w:style>
  <w:style w:type="character" w:styleId="DefaultParagraphFont" w:default="1">
    <w:name w:val="Default Paragraph Font"/>
    <w:uiPriority w:val="1"/>
    <w:semiHidden/>
    <w:unhideWhenUsed/>
    <w:qFormat/>
    <w:rPr/>
  </w:style>
  <w:style w:type="character" w:styleId="Style12" w:customStyle="1">
    <w:name w:val="Сноска_"/>
    <w:basedOn w:val="DefaultParagraphFont"/>
    <w:link w:val="13"/>
    <w:qFormat/>
    <w:rsid w:val="00c91eb6"/>
    <w:rPr>
      <w:rFonts w:ascii="Times New Roman" w:hAnsi="Times New Roman" w:eastAsia="Times New Roman" w:cs="Times New Roman"/>
      <w:b w:val="false"/>
      <w:bCs w:val="false"/>
      <w:i/>
      <w:iCs/>
      <w:caps w:val="false"/>
      <w:smallCaps w:val="false"/>
      <w:strike w:val="false"/>
      <w:dstrike w:val="false"/>
      <w:u w:val="none"/>
    </w:rPr>
  </w:style>
  <w:style w:type="character" w:styleId="Style13" w:customStyle="1">
    <w:name w:val="Основной текст_"/>
    <w:basedOn w:val="DefaultParagraphFont"/>
    <w:link w:val="14"/>
    <w:qFormat/>
    <w:rsid w:val="00c91eb6"/>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1" w:customStyle="1">
    <w:name w:val="Заголовок №1_"/>
    <w:basedOn w:val="DefaultParagraphFont"/>
    <w:link w:val="15"/>
    <w:qFormat/>
    <w:rsid w:val="00c91eb6"/>
    <w:rPr>
      <w:rFonts w:ascii="Times New Roman" w:hAnsi="Times New Roman" w:eastAsia="Times New Roman" w:cs="Times New Roman"/>
      <w:b/>
      <w:bCs/>
      <w:i w:val="false"/>
      <w:iCs w:val="false"/>
      <w:caps w:val="false"/>
      <w:smallCaps w:val="false"/>
      <w:strike w:val="false"/>
      <w:dstrike w:val="false"/>
      <w:u w:val="none"/>
    </w:rPr>
  </w:style>
  <w:style w:type="character" w:styleId="2" w:customStyle="1">
    <w:name w:val="Колонтитул (2)_"/>
    <w:basedOn w:val="DefaultParagraphFont"/>
    <w:link w:val="22"/>
    <w:qFormat/>
    <w:rsid w:val="00c91eb6"/>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Style14" w:customStyle="1">
    <w:name w:val="Другое_"/>
    <w:basedOn w:val="DefaultParagraphFont"/>
    <w:link w:val="Style22"/>
    <w:qFormat/>
    <w:rsid w:val="00c91eb6"/>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Style15" w:customStyle="1">
    <w:name w:val="Основной текст с отступом Знак"/>
    <w:basedOn w:val="DefaultParagraphFont"/>
    <w:qFormat/>
    <w:rsid w:val="00e62fa9"/>
    <w:rPr>
      <w:rFonts w:ascii="Times New Roman" w:hAnsi="Times New Roman" w:eastAsia="Times New Roman" w:cs="Times New Roman"/>
      <w:sz w:val="20"/>
      <w:szCs w:val="20"/>
      <w:lang w:eastAsia="en-US" w:bidi="ar-SA"/>
    </w:rPr>
  </w:style>
  <w:style w:type="character" w:styleId="Style16" w:customStyle="1">
    <w:name w:val="Основной текст Знак"/>
    <w:uiPriority w:val="1"/>
    <w:qFormat/>
    <w:rsid w:val="00e62fa9"/>
    <w:rPr>
      <w:rFonts w:ascii="Kudrashov" w:hAnsi="Kudrashov"/>
      <w:color w:val="000000"/>
      <w:sz w:val="24"/>
      <w:lang w:val="ru-RU" w:eastAsia="en-US" w:bidi="ar-SA"/>
    </w:rPr>
  </w:style>
  <w:style w:type="character" w:styleId="11" w:customStyle="1">
    <w:name w:val="Заголовок 1 Знак"/>
    <w:basedOn w:val="DefaultParagraphFont"/>
    <w:uiPriority w:val="9"/>
    <w:qFormat/>
    <w:rsid w:val="007b7114"/>
    <w:rPr>
      <w:rFonts w:ascii="Times New Roman" w:hAnsi="Times New Roman" w:eastAsia="Times New Roman" w:cs="Times New Roman"/>
      <w:b/>
      <w:bCs/>
      <w:kern w:val="2"/>
      <w:sz w:val="48"/>
      <w:szCs w:val="48"/>
      <w:lang w:bidi="ar-SA"/>
    </w:rPr>
  </w:style>
  <w:style w:type="character" w:styleId="Style17" w:customStyle="1">
    <w:name w:val="Текст выноски Знак"/>
    <w:basedOn w:val="DefaultParagraphFont"/>
    <w:link w:val="BalloonText"/>
    <w:uiPriority w:val="99"/>
    <w:semiHidden/>
    <w:qFormat/>
    <w:rsid w:val="00253956"/>
    <w:rPr>
      <w:rFonts w:ascii="Segoe UI" w:hAnsi="Segoe UI" w:cs="Segoe UI"/>
      <w:color w:val="000000"/>
      <w:sz w:val="18"/>
      <w:szCs w:val="18"/>
    </w:rPr>
  </w:style>
  <w:style w:type="character" w:styleId="21" w:customStyle="1">
    <w:name w:val="Заголовок 2 Знак"/>
    <w:basedOn w:val="DefaultParagraphFont"/>
    <w:uiPriority w:val="9"/>
    <w:semiHidden/>
    <w:qFormat/>
    <w:rsid w:val="00eb0be8"/>
    <w:rPr>
      <w:rFonts w:ascii="Calibri Light" w:hAnsi="Calibri Light" w:eastAsia="" w:cs="" w:asciiTheme="majorHAnsi" w:cstheme="majorBidi" w:eastAsiaTheme="majorEastAsia" w:hAnsiTheme="majorHAnsi"/>
      <w:color w:themeColor="accent1" w:themeShade="bf" w:val="2E74B5"/>
      <w:sz w:val="26"/>
      <w:szCs w:val="26"/>
    </w:rPr>
  </w:style>
  <w:style w:type="character" w:styleId="Style18" w:customStyle="1">
    <w:name w:val="Без интервала Знак"/>
    <w:link w:val="NoSpacing"/>
    <w:uiPriority w:val="1"/>
    <w:qFormat/>
    <w:rsid w:val="009122f2"/>
    <w:rPr>
      <w:color w:val="000000"/>
    </w:rPr>
  </w:style>
  <w:style w:type="character" w:styleId="12" w:customStyle="1">
    <w:name w:val="Основной текст Знак1"/>
    <w:basedOn w:val="DefaultParagraphFont"/>
    <w:uiPriority w:val="99"/>
    <w:qFormat/>
    <w:rsid w:val="005a4760"/>
    <w:rPr>
      <w:color w:val="000000"/>
    </w:rPr>
  </w:style>
  <w:style w:type="character" w:styleId="Hyperlink">
    <w:name w:val="Hyperlink"/>
    <w:basedOn w:val="DefaultParagraphFont"/>
    <w:uiPriority w:val="99"/>
    <w:semiHidden/>
    <w:unhideWhenUsed/>
    <w:rsid w:val="00e57d46"/>
    <w:rPr>
      <w:color w:val="0000FF"/>
      <w:u w:val="single"/>
    </w:rPr>
  </w:style>
  <w:style w:type="character" w:styleId="FollowedHyperlink">
    <w:name w:val="FollowedHyperlink"/>
    <w:basedOn w:val="DefaultParagraphFont"/>
    <w:uiPriority w:val="99"/>
    <w:semiHidden/>
    <w:unhideWhenUsed/>
    <w:rsid w:val="00e57d46"/>
    <w:rPr>
      <w:color w:val="800080"/>
      <w:u w:val="single"/>
    </w:rPr>
  </w:style>
  <w:style w:type="character" w:styleId="t12nw7s2pdp" w:customStyle="1">
    <w:name w:val="t12nw7s2_pdp"/>
    <w:basedOn w:val="DefaultParagraphFont"/>
    <w:qFormat/>
    <w:rsid w:val="00817e2a"/>
    <w:rPr/>
  </w:style>
  <w:style w:type="character" w:styleId="Style19" w:customStyle="1">
    <w:name w:val="Символ сноски"/>
    <w:qFormat/>
    <w:rPr/>
  </w:style>
  <w:style w:type="character" w:styleId="Strong">
    <w:name w:val="Strong"/>
    <w:qFormat/>
    <w:rPr>
      <w:b/>
      <w:bCs/>
    </w:rPr>
  </w:style>
  <w:style w:type="character" w:styleId="WW8Num1z0" w:customStyle="1">
    <w:name w:val="WW8Num1z0"/>
    <w:qFormat/>
    <w:rPr>
      <w:b/>
    </w:rPr>
  </w:style>
  <w:style w:type="character" w:styleId="Emphasis">
    <w:name w:val="Emphasis"/>
    <w:qFormat/>
    <w:rPr>
      <w:i/>
      <w:iCs/>
    </w:rPr>
  </w:style>
  <w:style w:type="character" w:styleId="user" w:customStyle="1">
    <w:name w:val="Маркеры (user)"/>
    <w:qFormat/>
    <w:rPr>
      <w:rFonts w:ascii="OpenSymbol" w:hAnsi="OpenSymbol" w:eastAsia="OpenSymbol" w:cs="OpenSymbol"/>
    </w:rPr>
  </w:style>
  <w:style w:type="character" w:styleId="user1">
    <w:name w:val="Непропорциональный текст (user)"/>
    <w:qFormat/>
    <w:rPr>
      <w:rFonts w:ascii="Liberation Mono" w:hAnsi="Liberation Mono" w:eastAsia="Liberation Mono" w:cs="Liberation Mono"/>
    </w:rPr>
  </w:style>
  <w:style w:type="character" w:styleId="user2">
    <w:name w:val="Определение (user)"/>
    <w:qFormat/>
    <w:rPr/>
  </w:style>
  <w:style w:type="character" w:styleId="user3">
    <w:name w:val="Переменная (user)"/>
    <w:qFormat/>
    <w:rPr>
      <w:i/>
      <w:iCs/>
    </w:rPr>
  </w:style>
  <w:style w:type="character" w:styleId="user4">
    <w:name w:val="Ввод пользователя (user)"/>
    <w:qFormat/>
    <w:rPr>
      <w:rFonts w:ascii="Liberation Mono" w:hAnsi="Liberation Mono" w:eastAsia="Liberation Mono" w:cs="Liberation Mono"/>
    </w:rPr>
  </w:style>
  <w:style w:type="character" w:styleId="user5">
    <w:name w:val="Пример (user)"/>
    <w:qFormat/>
    <w:rPr>
      <w:rFonts w:ascii="Liberation Mono" w:hAnsi="Liberation Mono" w:eastAsia="Liberation Mono" w:cs="Liberation Mono"/>
    </w:rPr>
  </w:style>
  <w:style w:type="character" w:styleId="user6">
    <w:name w:val="Исходный текст (user)"/>
    <w:qFormat/>
    <w:rPr>
      <w:rFonts w:ascii="Liberation Mono" w:hAnsi="Liberation Mono" w:eastAsia="Liberation Mono" w:cs="Liberation Mono"/>
    </w:rPr>
  </w:style>
  <w:style w:type="character" w:styleId="user7">
    <w:name w:val="Цитата (user)"/>
    <w:qFormat/>
    <w:rPr>
      <w:i/>
      <w:iCs/>
    </w:rPr>
  </w:style>
  <w:style w:type="character" w:styleId="user8">
    <w:name w:val="Вертикальное направление символов (user)"/>
    <w:qFormat/>
    <w:rPr>
      <w:eastAsianLayout w:vert="true"/>
    </w:rPr>
  </w:style>
  <w:style w:type="character" w:styleId="user9">
    <w:name w:val="Фуригана (user)"/>
    <w:qFormat/>
    <w:rPr>
      <w:sz w:val="12"/>
      <w:szCs w:val="12"/>
      <w:u w:val="none"/>
      <w:em w:val="none"/>
    </w:rPr>
  </w:style>
  <w:style w:type="character" w:styleId="user10">
    <w:name w:val="Основной элемент указателя (user)"/>
    <w:qFormat/>
    <w:rPr>
      <w:b/>
      <w:bCs/>
    </w:rPr>
  </w:style>
  <w:style w:type="character" w:styleId="user11">
    <w:name w:val="Символ концевой сноски (user)"/>
    <w:qFormat/>
    <w:rPr>
      <w:vertAlign w:val="superscript"/>
    </w:rPr>
  </w:style>
  <w:style w:type="character" w:styleId="user12">
    <w:name w:val="Ссылка указателя (user)"/>
    <w:qFormat/>
    <w:rPr/>
  </w:style>
  <w:style w:type="character" w:styleId="user13">
    <w:name w:val="Заполнитель (user)"/>
    <w:qFormat/>
    <w:rPr>
      <w:smallCaps/>
      <w:color w:val="008080"/>
      <w:u w:val="dotted"/>
    </w:rPr>
  </w:style>
  <w:style w:type="character" w:styleId="user14">
    <w:name w:val="Буквица (user)"/>
    <w:qFormat/>
    <w:rPr/>
  </w:style>
  <w:style w:type="character" w:styleId="user15">
    <w:name w:val="Символы названия (user)"/>
    <w:qFormat/>
    <w:rPr/>
  </w:style>
  <w:style w:type="character" w:styleId="user16">
    <w:name w:val="Символ сноски (user)"/>
    <w:qFormat/>
    <w:rPr>
      <w:vertAlign w:val="superscript"/>
    </w:rPr>
  </w:style>
  <w:style w:type="character" w:styleId="user17">
    <w:name w:val="Символ нумерации (user)"/>
    <w:qFormat/>
    <w:rPr/>
  </w:style>
  <w:style w:type="paragraph" w:styleId="Style20">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12"/>
    <w:uiPriority w:val="99"/>
    <w:unhideWhenUsed/>
    <w:rsid w:val="005a4760"/>
    <w:pPr>
      <w:spacing w:before="0" w:after="12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rPr>
  </w:style>
  <w:style w:type="paragraph" w:styleId="Style21">
    <w:name w:val="Указатель"/>
    <w:basedOn w:val="Normal"/>
    <w:qFormat/>
    <w:pPr>
      <w:suppressLineNumbers/>
    </w:pPr>
    <w:rPr>
      <w:rFonts w:ascii="PT Astra Serif" w:hAnsi="PT Astra Serif" w:cs="Noto Sans Devanagari"/>
    </w:rPr>
  </w:style>
  <w:style w:type="paragraph" w:styleId="user18" w:customStyle="1">
    <w:name w:val="Заголовок (user)"/>
    <w:basedOn w:val="Normal"/>
    <w:next w:val="BodyText"/>
    <w:qFormat/>
    <w:pPr>
      <w:keepNext w:val="true"/>
      <w:spacing w:before="240" w:after="120"/>
    </w:pPr>
    <w:rPr>
      <w:rFonts w:ascii="PT Astra Serif" w:hAnsi="PT Astra Serif" w:eastAsia="Tahoma" w:cs="Noto Sans Devanagari"/>
      <w:sz w:val="28"/>
      <w:szCs w:val="28"/>
    </w:rPr>
  </w:style>
  <w:style w:type="paragraph" w:styleId="user19" w:customStyle="1">
    <w:name w:val="Указатель (user)"/>
    <w:basedOn w:val="Normal"/>
    <w:qFormat/>
    <w:pPr>
      <w:suppressLineNumbers/>
    </w:pPr>
    <w:rPr>
      <w:rFonts w:ascii="PT Astra Serif" w:hAnsi="PT Astra Serif" w:cs="Noto Sans Devanagari"/>
    </w:rPr>
  </w:style>
  <w:style w:type="paragraph" w:styleId="Title">
    <w:name w:val="Title"/>
    <w:basedOn w:val="Normal"/>
    <w:next w:val="BodyText"/>
    <w:qFormat/>
    <w:pPr>
      <w:keepNext w:val="true"/>
      <w:spacing w:before="240" w:after="120"/>
    </w:pPr>
    <w:rPr>
      <w:rFonts w:ascii="PT Astra Serif" w:hAnsi="PT Astra Serif" w:eastAsia="Tahoma" w:cs="Noto Sans Devanagari"/>
      <w:sz w:val="28"/>
      <w:szCs w:val="28"/>
    </w:rPr>
  </w:style>
  <w:style w:type="paragraph" w:styleId="IndexHeading">
    <w:name w:val="index heading"/>
    <w:basedOn w:val="Normal"/>
    <w:qFormat/>
    <w:pPr>
      <w:suppressLineNumbers/>
    </w:pPr>
    <w:rPr>
      <w:rFonts w:ascii="PT Astra Serif" w:hAnsi="PT Astra Serif" w:cs="Noto Sans Devanagari"/>
    </w:rPr>
  </w:style>
  <w:style w:type="paragraph" w:styleId="13" w:customStyle="1">
    <w:name w:val="Текст сноски1"/>
    <w:basedOn w:val="Normal"/>
    <w:link w:val="Style12"/>
    <w:qFormat/>
    <w:rsid w:val="00c91eb6"/>
    <w:pPr/>
    <w:rPr/>
  </w:style>
  <w:style w:type="paragraph" w:styleId="14" w:customStyle="1">
    <w:name w:val="Основной текст1"/>
    <w:basedOn w:val="Normal"/>
    <w:link w:val="Style13"/>
    <w:qFormat/>
    <w:rsid w:val="00c91eb6"/>
    <w:pPr>
      <w:shd w:val="clear" w:color="auto" w:fill="FFFFFF"/>
      <w:ind w:firstLine="400"/>
    </w:pPr>
    <w:rPr>
      <w:rFonts w:ascii="Times New Roman" w:hAnsi="Times New Roman" w:eastAsia="Times New Roman" w:cs="Times New Roman"/>
    </w:rPr>
  </w:style>
  <w:style w:type="paragraph" w:styleId="15" w:customStyle="1">
    <w:name w:val="Заголовок №1"/>
    <w:basedOn w:val="Normal"/>
    <w:link w:val="1"/>
    <w:qFormat/>
    <w:rsid w:val="00c91eb6"/>
    <w:pPr>
      <w:shd w:val="clear" w:color="auto" w:fill="FFFFFF"/>
      <w:spacing w:before="0" w:after="260"/>
      <w:jc w:val="center"/>
      <w:outlineLvl w:val="0"/>
    </w:pPr>
    <w:rPr>
      <w:rFonts w:ascii="Times New Roman" w:hAnsi="Times New Roman" w:eastAsia="Times New Roman" w:cs="Times New Roman"/>
      <w:b/>
      <w:bCs/>
    </w:rPr>
  </w:style>
  <w:style w:type="paragraph" w:styleId="22" w:customStyle="1">
    <w:name w:val="Колонтитул (2)"/>
    <w:basedOn w:val="Normal"/>
    <w:link w:val="2"/>
    <w:qFormat/>
    <w:rsid w:val="00c91eb6"/>
    <w:pPr>
      <w:shd w:val="clear" w:color="auto" w:fill="FFFFFF"/>
    </w:pPr>
    <w:rPr>
      <w:rFonts w:ascii="Times New Roman" w:hAnsi="Times New Roman" w:eastAsia="Times New Roman" w:cs="Times New Roman"/>
      <w:sz w:val="20"/>
      <w:szCs w:val="20"/>
    </w:rPr>
  </w:style>
  <w:style w:type="paragraph" w:styleId="Style22" w:customStyle="1">
    <w:name w:val="Другое"/>
    <w:basedOn w:val="Normal"/>
    <w:link w:val="Style14"/>
    <w:qFormat/>
    <w:rsid w:val="00c91eb6"/>
    <w:pPr>
      <w:shd w:val="clear" w:color="auto" w:fill="FFFFFF"/>
      <w:ind w:firstLine="400"/>
    </w:pPr>
    <w:rPr>
      <w:rFonts w:ascii="Times New Roman" w:hAnsi="Times New Roman" w:eastAsia="Times New Roman" w:cs="Times New Roman"/>
    </w:rPr>
  </w:style>
  <w:style w:type="paragraph" w:styleId="BodyTextIndent">
    <w:name w:val="Body Text Indent"/>
    <w:basedOn w:val="Normal"/>
    <w:link w:val="Style15"/>
    <w:rsid w:val="00e62fa9"/>
    <w:pPr>
      <w:widowControl/>
      <w:ind w:firstLine="567"/>
      <w:jc w:val="center"/>
    </w:pPr>
    <w:rPr>
      <w:rFonts w:ascii="Times New Roman" w:hAnsi="Times New Roman" w:eastAsia="Times New Roman" w:cs="Times New Roman"/>
      <w:color w:val="auto"/>
      <w:sz w:val="20"/>
      <w:szCs w:val="20"/>
      <w:lang w:eastAsia="en-US" w:bidi="ar-SA"/>
    </w:rPr>
  </w:style>
  <w:style w:type="paragraph" w:styleId="16" w:customStyle="1">
    <w:name w:val="Без интервала1"/>
    <w:qFormat/>
    <w:rsid w:val="00ba751a"/>
    <w:pPr>
      <w:widowControl/>
      <w:suppressAutoHyphens w:val="true"/>
      <w:bidi w:val="0"/>
      <w:spacing w:before="0" w:after="0"/>
      <w:contextualSpacing/>
      <w:jc w:val="left"/>
    </w:pPr>
    <w:rPr>
      <w:rFonts w:ascii="Calibri" w:hAnsi="Calibri" w:eastAsia="Times New Roman" w:cs="Times New Roman"/>
      <w:color w:val="auto"/>
      <w:kern w:val="0"/>
      <w:sz w:val="22"/>
      <w:szCs w:val="22"/>
      <w:lang w:val="ru-RU" w:eastAsia="ru-RU" w:bidi="ar-SA"/>
    </w:rPr>
  </w:style>
  <w:style w:type="paragraph" w:styleId="NoSpacing">
    <w:name w:val="No Spacing"/>
    <w:link w:val="Style18"/>
    <w:uiPriority w:val="1"/>
    <w:qFormat/>
    <w:rsid w:val="007b7114"/>
    <w:pPr>
      <w:widowControl w:val="false"/>
      <w:suppressAutoHyphens w:val="true"/>
      <w:bidi w:val="0"/>
      <w:spacing w:before="0" w:after="0"/>
      <w:jc w:val="left"/>
    </w:pPr>
    <w:rPr>
      <w:rFonts w:ascii="Courier New" w:hAnsi="Courier New" w:eastAsia="Courier New" w:cs="Courier New"/>
      <w:color w:val="000000"/>
      <w:kern w:val="0"/>
      <w:sz w:val="24"/>
      <w:szCs w:val="24"/>
      <w:lang w:val="ru-RU" w:eastAsia="ru-RU" w:bidi="ru-RU"/>
    </w:rPr>
  </w:style>
  <w:style w:type="paragraph" w:styleId="BalloonText">
    <w:name w:val="Balloon Text"/>
    <w:basedOn w:val="Normal"/>
    <w:link w:val="Style17"/>
    <w:uiPriority w:val="99"/>
    <w:semiHidden/>
    <w:unhideWhenUsed/>
    <w:qFormat/>
    <w:rsid w:val="00253956"/>
    <w:pPr/>
    <w:rPr>
      <w:rFonts w:ascii="Segoe UI" w:hAnsi="Segoe UI" w:cs="Segoe UI"/>
      <w:sz w:val="18"/>
      <w:szCs w:val="18"/>
    </w:rPr>
  </w:style>
  <w:style w:type="paragraph" w:styleId="17" w:customStyle="1">
    <w:name w:val="Знак Знак Знак Знак Знак Знак Знак1 Знак Знак"/>
    <w:basedOn w:val="Normal"/>
    <w:next w:val="Heading2"/>
    <w:autoRedefine/>
    <w:qFormat/>
    <w:rsid w:val="00eb0be8"/>
    <w:pPr>
      <w:widowControl/>
      <w:spacing w:lineRule="exact" w:line="240" w:before="0" w:after="160"/>
    </w:pPr>
    <w:rPr>
      <w:rFonts w:ascii="Times New Roman" w:hAnsi="Times New Roman" w:eastAsia="Times New Roman" w:cs="Times New Roman"/>
      <w:color w:val="auto"/>
      <w:szCs w:val="20"/>
      <w:lang w:val="en-US" w:eastAsia="en-US" w:bidi="ar-SA"/>
    </w:rPr>
  </w:style>
  <w:style w:type="paragraph" w:styleId="23" w:customStyle="1">
    <w:name w:val="Без интервала2"/>
    <w:qFormat/>
    <w:rsid w:val="009122f2"/>
    <w:pPr>
      <w:widowControl/>
      <w:suppressAutoHyphens w:val="true"/>
      <w:bidi w:val="0"/>
      <w:spacing w:before="0" w:after="0"/>
      <w:jc w:val="left"/>
    </w:pPr>
    <w:rPr>
      <w:rFonts w:ascii="Calibri" w:hAnsi="Calibri" w:eastAsia="Times New Roman" w:cs="Times New Roman"/>
      <w:color w:val="auto"/>
      <w:kern w:val="0"/>
      <w:sz w:val="22"/>
      <w:szCs w:val="22"/>
      <w:lang w:val="ru-RU" w:eastAsia="en-US" w:bidi="ar-SA"/>
    </w:rPr>
  </w:style>
  <w:style w:type="paragraph" w:styleId="msonormal" w:customStyle="1">
    <w:name w:val="msonormal"/>
    <w:basedOn w:val="Normal"/>
    <w:qFormat/>
    <w:rsid w:val="00e57d46"/>
    <w:pPr>
      <w:widowControl/>
      <w:spacing w:beforeAutospacing="1" w:afterAutospacing="1"/>
    </w:pPr>
    <w:rPr>
      <w:rFonts w:ascii="Times New Roman" w:hAnsi="Times New Roman" w:eastAsia="Times New Roman" w:cs="Times New Roman"/>
      <w:color w:val="auto"/>
      <w:lang w:bidi="ar-SA"/>
    </w:rPr>
  </w:style>
  <w:style w:type="paragraph" w:styleId="xl65" w:customStyle="1">
    <w:name w:val="xl65"/>
    <w:basedOn w:val="Normal"/>
    <w:qFormat/>
    <w:rsid w:val="00e57d46"/>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eastAsia="Times New Roman" w:cs="Times New Roman"/>
      <w:lang w:bidi="ar-SA"/>
    </w:rPr>
  </w:style>
  <w:style w:type="paragraph" w:styleId="xl66" w:customStyle="1">
    <w:name w:val="xl66"/>
    <w:basedOn w:val="Normal"/>
    <w:qFormat/>
    <w:rsid w:val="00e57d46"/>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eastAsia="Times New Roman" w:cs="Times New Roman"/>
      <w:color w:val="auto"/>
      <w:lang w:bidi="ar-SA"/>
    </w:rPr>
  </w:style>
  <w:style w:type="paragraph" w:styleId="xl67" w:customStyle="1">
    <w:name w:val="xl67"/>
    <w:basedOn w:val="Normal"/>
    <w:qFormat/>
    <w:rsid w:val="00e57d46"/>
    <w:pPr>
      <w:widowControl/>
      <w:pBdr>
        <w:top w:val="single" w:sz="4" w:space="0" w:color="000000"/>
        <w:left w:val="single" w:sz="4" w:space="0" w:color="000000"/>
        <w:bottom w:val="single" w:sz="4" w:space="0" w:color="000000"/>
        <w:right w:val="single" w:sz="4" w:space="0" w:color="000000"/>
      </w:pBdr>
      <w:spacing w:beforeAutospacing="1" w:afterAutospacing="1"/>
    </w:pPr>
    <w:rPr>
      <w:rFonts w:ascii="Times New Roman" w:hAnsi="Times New Roman" w:eastAsia="Times New Roman" w:cs="Times New Roman"/>
      <w:color w:val="auto"/>
      <w:lang w:bidi="ar-SA"/>
    </w:rPr>
  </w:style>
  <w:style w:type="paragraph" w:styleId="xl68" w:customStyle="1">
    <w:name w:val="xl68"/>
    <w:basedOn w:val="Normal"/>
    <w:qFormat/>
    <w:rsid w:val="00e57d46"/>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eastAsia="Times New Roman" w:cs="Times New Roman"/>
      <w:color w:val="auto"/>
      <w:lang w:bidi="ar-SA"/>
    </w:rPr>
  </w:style>
  <w:style w:type="paragraph" w:styleId="xl69" w:customStyle="1">
    <w:name w:val="xl69"/>
    <w:basedOn w:val="Normal"/>
    <w:qFormat/>
    <w:rsid w:val="00e57d46"/>
    <w:pPr>
      <w:widowControl/>
      <w:pBdr>
        <w:top w:val="single" w:sz="4" w:space="0" w:color="000000"/>
        <w:left w:val="single" w:sz="4" w:space="0" w:color="000000"/>
        <w:bottom w:val="single" w:sz="4" w:space="0" w:color="000000"/>
        <w:right w:val="single" w:sz="4" w:space="0" w:color="000000"/>
      </w:pBdr>
      <w:spacing w:beforeAutospacing="1" w:afterAutospacing="1"/>
    </w:pPr>
    <w:rPr>
      <w:rFonts w:ascii="Times New Roman" w:hAnsi="Times New Roman" w:eastAsia="Times New Roman" w:cs="Times New Roman"/>
      <w:color w:val="auto"/>
      <w:lang w:bidi="ar-SA"/>
    </w:rPr>
  </w:style>
  <w:style w:type="paragraph" w:styleId="xl70" w:customStyle="1">
    <w:name w:val="xl70"/>
    <w:basedOn w:val="Normal"/>
    <w:qFormat/>
    <w:rsid w:val="00e57d46"/>
    <w:pPr>
      <w:widowControl/>
      <w:pBdr>
        <w:top w:val="single" w:sz="4" w:space="0" w:color="000000"/>
        <w:left w:val="single" w:sz="4" w:space="0" w:color="000000"/>
        <w:right w:val="single" w:sz="4" w:space="0" w:color="000000"/>
      </w:pBdr>
      <w:spacing w:beforeAutospacing="1" w:afterAutospacing="1"/>
      <w:jc w:val="center"/>
      <w:textAlignment w:val="top"/>
    </w:pPr>
    <w:rPr>
      <w:rFonts w:ascii="Times New Roman" w:hAnsi="Times New Roman" w:eastAsia="Times New Roman" w:cs="Times New Roman"/>
      <w:color w:val="auto"/>
      <w:lang w:bidi="ar-SA"/>
    </w:rPr>
  </w:style>
  <w:style w:type="paragraph" w:styleId="xl71" w:customStyle="1">
    <w:name w:val="xl71"/>
    <w:basedOn w:val="Normal"/>
    <w:qFormat/>
    <w:rsid w:val="00e57d46"/>
    <w:pPr>
      <w:widowControl/>
      <w:pBdr>
        <w:left w:val="single" w:sz="4" w:space="0" w:color="000000"/>
        <w:right w:val="single" w:sz="4" w:space="0" w:color="000000"/>
      </w:pBdr>
      <w:spacing w:beforeAutospacing="1" w:afterAutospacing="1"/>
      <w:jc w:val="center"/>
      <w:textAlignment w:val="top"/>
    </w:pPr>
    <w:rPr>
      <w:rFonts w:ascii="Times New Roman" w:hAnsi="Times New Roman" w:eastAsia="Times New Roman" w:cs="Times New Roman"/>
      <w:color w:val="auto"/>
      <w:lang w:bidi="ar-SA"/>
    </w:rPr>
  </w:style>
  <w:style w:type="paragraph" w:styleId="xl72" w:customStyle="1">
    <w:name w:val="xl72"/>
    <w:basedOn w:val="Normal"/>
    <w:qFormat/>
    <w:rsid w:val="00e57d46"/>
    <w:pPr>
      <w:widowControl/>
      <w:pBdr>
        <w:left w:val="single" w:sz="4" w:space="0" w:color="000000"/>
        <w:bottom w:val="single" w:sz="4" w:space="0" w:color="000000"/>
        <w:right w:val="single" w:sz="4" w:space="0" w:color="000000"/>
      </w:pBdr>
      <w:spacing w:beforeAutospacing="1" w:afterAutospacing="1"/>
      <w:jc w:val="center"/>
      <w:textAlignment w:val="top"/>
    </w:pPr>
    <w:rPr>
      <w:rFonts w:ascii="Times New Roman" w:hAnsi="Times New Roman" w:eastAsia="Times New Roman" w:cs="Times New Roman"/>
      <w:color w:val="auto"/>
      <w:lang w:bidi="ar-SA"/>
    </w:rPr>
  </w:style>
  <w:style w:type="paragraph" w:styleId="xl73" w:customStyle="1">
    <w:name w:val="xl73"/>
    <w:basedOn w:val="Normal"/>
    <w:qFormat/>
    <w:rsid w:val="00e57d46"/>
    <w:pPr>
      <w:widowControl/>
      <w:pBdr>
        <w:top w:val="single" w:sz="4" w:space="0" w:color="000000"/>
        <w:left w:val="single" w:sz="4" w:space="0" w:color="000000"/>
        <w:right w:val="single" w:sz="4" w:space="0" w:color="000000"/>
      </w:pBdr>
      <w:spacing w:beforeAutospacing="1" w:afterAutospacing="1"/>
      <w:jc w:val="center"/>
      <w:textAlignment w:val="top"/>
    </w:pPr>
    <w:rPr>
      <w:rFonts w:ascii="Times New Roman" w:hAnsi="Times New Roman" w:eastAsia="Times New Roman" w:cs="Times New Roman"/>
      <w:color w:val="auto"/>
      <w:lang w:bidi="ar-SA"/>
    </w:rPr>
  </w:style>
  <w:style w:type="paragraph" w:styleId="xl74" w:customStyle="1">
    <w:name w:val="xl74"/>
    <w:basedOn w:val="Normal"/>
    <w:qFormat/>
    <w:rsid w:val="00e57d46"/>
    <w:pPr>
      <w:widowControl/>
      <w:pBdr>
        <w:left w:val="single" w:sz="4" w:space="0" w:color="000000"/>
        <w:right w:val="single" w:sz="4" w:space="0" w:color="000000"/>
      </w:pBdr>
      <w:spacing w:beforeAutospacing="1" w:afterAutospacing="1"/>
      <w:jc w:val="center"/>
      <w:textAlignment w:val="top"/>
    </w:pPr>
    <w:rPr>
      <w:rFonts w:ascii="Times New Roman" w:hAnsi="Times New Roman" w:eastAsia="Times New Roman" w:cs="Times New Roman"/>
      <w:color w:val="auto"/>
      <w:lang w:bidi="ar-SA"/>
    </w:rPr>
  </w:style>
  <w:style w:type="paragraph" w:styleId="xl75" w:customStyle="1">
    <w:name w:val="xl75"/>
    <w:basedOn w:val="Normal"/>
    <w:qFormat/>
    <w:rsid w:val="00e57d46"/>
    <w:pPr>
      <w:widowControl/>
      <w:pBdr>
        <w:left w:val="single" w:sz="4" w:space="0" w:color="000000"/>
        <w:bottom w:val="single" w:sz="4" w:space="0" w:color="000000"/>
        <w:right w:val="single" w:sz="4" w:space="0" w:color="000000"/>
      </w:pBdr>
      <w:spacing w:beforeAutospacing="1" w:afterAutospacing="1"/>
      <w:jc w:val="center"/>
      <w:textAlignment w:val="top"/>
    </w:pPr>
    <w:rPr>
      <w:rFonts w:ascii="Times New Roman" w:hAnsi="Times New Roman" w:eastAsia="Times New Roman" w:cs="Times New Roman"/>
      <w:color w:val="auto"/>
      <w:lang w:bidi="ar-SA"/>
    </w:rPr>
  </w:style>
  <w:style w:type="paragraph" w:styleId="ListParagraph">
    <w:name w:val="List Paragraph"/>
    <w:basedOn w:val="Normal"/>
    <w:uiPriority w:val="34"/>
    <w:qFormat/>
    <w:rsid w:val="00c703f0"/>
    <w:pPr>
      <w:spacing w:before="0" w:after="0"/>
      <w:ind w:left="720"/>
      <w:contextualSpacing/>
    </w:pPr>
    <w:rPr/>
  </w:style>
  <w:style w:type="paragraph" w:styleId="Style23" w:customStyle="1">
    <w:name w:val="Содержимое врезки"/>
    <w:basedOn w:val="Normal"/>
    <w:qFormat/>
    <w:pPr/>
    <w:rPr/>
  </w:style>
  <w:style w:type="paragraph" w:styleId="user20" w:customStyle="1">
    <w:name w:val="Колонтитулы (user)"/>
    <w:basedOn w:val="Normal"/>
    <w:qFormat/>
    <w:pPr/>
    <w:rPr/>
  </w:style>
  <w:style w:type="paragraph" w:styleId="Style24">
    <w:name w:val="Колонтитулы"/>
    <w:basedOn w:val="Normal"/>
    <w:qFormat/>
    <w:pPr/>
    <w:rPr/>
  </w:style>
  <w:style w:type="paragraph" w:styleId="Footer">
    <w:name w:val="footer"/>
    <w:basedOn w:val="user20"/>
    <w:pPr/>
    <w:rPr/>
  </w:style>
  <w:style w:type="paragraph" w:styleId="Style25" w:customStyle="1">
    <w:name w:val="Содержимое таблицы"/>
    <w:basedOn w:val="Normal"/>
    <w:qFormat/>
    <w:pPr>
      <w:suppressLineNumbers/>
    </w:pPr>
    <w:rPr/>
  </w:style>
  <w:style w:type="paragraph" w:styleId="Style26" w:customStyle="1">
    <w:name w:val="Заголовок таблицы"/>
    <w:basedOn w:val="Style25"/>
    <w:qFormat/>
    <w:pPr>
      <w:jc w:val="center"/>
    </w:pPr>
    <w:rPr>
      <w:b/>
      <w:bCs/>
    </w:rPr>
  </w:style>
  <w:style w:type="paragraph" w:styleId="user21" w:customStyle="1">
    <w:name w:val="Содержимое врезки (user)"/>
    <w:basedOn w:val="Normal"/>
    <w:qFormat/>
    <w:pPr/>
    <w:rPr/>
  </w:style>
  <w:style w:type="paragraph" w:styleId="user22" w:customStyle="1">
    <w:name w:val="Содержимое таблицы (user)"/>
    <w:basedOn w:val="Normal"/>
    <w:qFormat/>
    <w:pPr>
      <w:suppressLineNumbers/>
    </w:pPr>
    <w:rPr/>
  </w:style>
  <w:style w:type="paragraph" w:styleId="user23" w:customStyle="1">
    <w:name w:val="Заголовок таблицы (user)"/>
    <w:basedOn w:val="user22"/>
    <w:qFormat/>
    <w:pPr>
      <w:jc w:val="center"/>
    </w:pPr>
    <w:rPr>
      <w:b/>
      <w:bCs/>
    </w:rPr>
  </w:style>
  <w:style w:type="paragraph" w:styleId="Style27">
    <w:name w:val="Без интервала"/>
    <w:qFormat/>
    <w:pPr>
      <w:widowControl/>
      <w:suppressAutoHyphens w:val="true"/>
      <w:bidi w:val="0"/>
      <w:spacing w:before="0" w:after="0"/>
      <w:jc w:val="left"/>
    </w:pPr>
    <w:rPr>
      <w:rFonts w:ascii="Times New Roman" w:hAnsi="Times New Roman" w:eastAsia="Times New Roman" w:cs="Times New Roman"/>
      <w:color w:val="auto"/>
      <w:kern w:val="0"/>
      <w:sz w:val="24"/>
      <w:szCs w:val="20"/>
      <w:lang w:val="ru-RU" w:eastAsia="zh-CN" w:bidi="ar-SA"/>
    </w:rPr>
  </w:style>
  <w:style w:type="paragraph" w:styleId="ListBullet5">
    <w:name w:val="List Bullet 5"/>
    <w:basedOn w:val="List"/>
    <w:pPr>
      <w:spacing w:before="0" w:after="120"/>
      <w:ind w:hanging="360" w:left="1800"/>
    </w:pPr>
    <w:rPr/>
  </w:style>
  <w:style w:type="paragraph" w:styleId="ListBullet4">
    <w:name w:val="List Bullet 4"/>
    <w:basedOn w:val="List"/>
    <w:pPr>
      <w:spacing w:before="0" w:after="120"/>
      <w:ind w:hanging="360" w:left="1440"/>
    </w:pPr>
    <w:rPr/>
  </w:style>
  <w:style w:type="paragraph" w:styleId="ListBullet3">
    <w:name w:val="List Bullet 3"/>
    <w:basedOn w:val="List"/>
    <w:pPr>
      <w:spacing w:before="0" w:after="120"/>
      <w:ind w:hanging="360" w:left="1080"/>
    </w:pPr>
    <w:rPr/>
  </w:style>
  <w:style w:type="paragraph" w:styleId="ListBullet2">
    <w:name w:val="List Bullet 2"/>
    <w:basedOn w:val="List"/>
    <w:pPr>
      <w:spacing w:before="0" w:after="120"/>
      <w:ind w:hanging="360" w:left="720"/>
    </w:pPr>
    <w:rPr/>
  </w:style>
  <w:style w:type="paragraph" w:styleId="ListBullet">
    <w:name w:val="List Bullet"/>
    <w:basedOn w:val="List"/>
    <w:pPr>
      <w:spacing w:before="0" w:after="120"/>
      <w:ind w:hanging="360" w:left="360"/>
    </w:pPr>
    <w:rPr/>
  </w:style>
  <w:style w:type="paragraph" w:styleId="ListNumber5">
    <w:name w:val="List Number 5"/>
    <w:basedOn w:val="List"/>
    <w:pPr>
      <w:spacing w:before="0" w:after="120"/>
      <w:ind w:hanging="360" w:left="1800"/>
    </w:pPr>
    <w:rPr/>
  </w:style>
  <w:style w:type="paragraph" w:styleId="ListNumber4">
    <w:name w:val="List Number 4"/>
    <w:basedOn w:val="List"/>
    <w:pPr>
      <w:spacing w:before="0" w:after="120"/>
      <w:ind w:hanging="360" w:left="1440"/>
    </w:pPr>
    <w:rPr/>
  </w:style>
  <w:style w:type="paragraph" w:styleId="ListNumber3">
    <w:name w:val="List Number 3"/>
    <w:basedOn w:val="List"/>
    <w:pPr>
      <w:spacing w:before="0" w:after="120"/>
      <w:ind w:hanging="360" w:left="1080"/>
    </w:pPr>
    <w:rPr/>
  </w:style>
  <w:style w:type="paragraph" w:styleId="ListNumber2">
    <w:name w:val="List Number 2"/>
    <w:basedOn w:val="List"/>
    <w:pPr>
      <w:spacing w:before="0" w:after="120"/>
      <w:ind w:hanging="360" w:left="720"/>
    </w:pPr>
    <w:rPr/>
  </w:style>
  <w:style w:type="paragraph" w:styleId="ListNumber">
    <w:name w:val="List Number"/>
    <w:basedOn w:val="List"/>
    <w:pPr>
      <w:spacing w:before="0" w:after="120"/>
      <w:ind w:hanging="360" w:left="360"/>
    </w:pPr>
    <w:rPr/>
  </w:style>
  <w:style w:type="paragraph" w:styleId="BodyTextFirstIndent">
    <w:name w:val="Body Text First Indent"/>
    <w:basedOn w:val="BodyText"/>
    <w:pPr>
      <w:ind w:firstLine="283" w:left="0"/>
    </w:pPr>
    <w:rPr/>
  </w:style>
  <w:style w:type="numbering" w:styleId="user24" w:default="1">
    <w:name w:val="Без списка (user)"/>
    <w:uiPriority w:val="99"/>
    <w:semiHidden/>
    <w:unhideWhenUsed/>
    <w:qFormat/>
  </w:style>
  <w:style w:type="numbering" w:styleId="Style28" w:customStyle="1">
    <w:name w:val="Без списка"/>
    <w:uiPriority w:val="99"/>
    <w:semiHidden/>
    <w:unhideWhenUsed/>
    <w:qFormat/>
  </w:style>
  <w:style w:type="numbering" w:styleId="WW8Num1" w:customStyle="1">
    <w:name w:val="WW8Num1"/>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e">
    <w:name w:val="Table Grid"/>
    <w:basedOn w:val="a1"/>
    <w:rsid w:val="009f6d6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akupkimsemo@yandex.ru"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footer" Target="footer8.xml"/><Relationship Id="rId11" Type="http://schemas.openxmlformats.org/officeDocument/2006/relationships/footer" Target="footer9.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B3F56-BF9E-4B0F-A327-0F5930BC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1784</TotalTime>
  <Application>LibreOffice/25.2.6.2$Linux_X86_64 LibreOffice_project/520$Build-2</Application>
  <AppVersion>15.0000</AppVersion>
  <Pages>17</Pages>
  <Words>4217</Words>
  <Characters>29839</Characters>
  <CharactersWithSpaces>34424</CharactersWithSpaces>
  <Paragraphs>314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Багирова Тамилла Карамовна</dc:creator>
  <dc:description/>
  <dc:language>ru-RU</dc:language>
  <cp:lastModifiedBy/>
  <dcterms:modified xsi:type="dcterms:W3CDTF">2026-07-08T11:57:07Z</dcterms:modified>
  <cp:revision>187</cp:revision>
  <dc:subject/>
  <dc:title/>
</cp:coreProperties>
</file>

<file path=docProps/custom.xml><?xml version="1.0" encoding="utf-8"?>
<Properties xmlns="http://schemas.openxmlformats.org/officeDocument/2006/custom-properties" xmlns:vt="http://schemas.openxmlformats.org/officeDocument/2006/docPropsVTypes"/>
</file>