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__» августа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Трубы полимерные жесткие прочие</w:t>
      </w:r>
      <w:bookmarkStart w:id="2" w:name="_Hlk174882135"/>
      <w:r>
        <w:rPr/>
        <w:t xml:space="preserve"> </w:t>
      </w:r>
      <w:bookmarkEnd w:id="2"/>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3"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3"/>
    </w:p>
    <w:p>
      <w:pPr>
        <w:pStyle w:val="Normal"/>
        <w:jc w:val="both"/>
        <w:rPr/>
      </w:pPr>
      <w:r>
        <w:rPr/>
        <w:t>2.5. Источник финансирования:</w:t>
      </w:r>
      <w:bookmarkStart w:id="4" w:name="_Hlk174882174"/>
      <w:r>
        <w:rPr/>
        <w:t xml:space="preserve"> </w:t>
      </w:r>
      <w:bookmarkEnd w:id="4"/>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5"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5"/>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течении </w:t>
      </w:r>
      <w:r>
        <w:rPr/>
        <w:t xml:space="preserve">14 </w:t>
      </w:r>
      <w:r>
        <w:rPr/>
        <w:t>календарных 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6"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6"/>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30.10.2026г.,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29"/>
        <w:gridCol w:w="4827"/>
      </w:tblGrid>
      <w:tr>
        <w:trPr>
          <w:trHeight w:val="7882" w:hRule="atLeast"/>
        </w:trPr>
        <w:tc>
          <w:tcPr>
            <w:tcW w:w="5629"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Normal"/>
              <w:rPr/>
            </w:pPr>
            <w:r>
              <w:rPr/>
              <w:t>УФК по Новосибирской области (НИИ КПССЗ л/с 20396Х66880)</w:t>
            </w:r>
          </w:p>
          <w:p>
            <w:pPr>
              <w:pStyle w:val="Normal"/>
              <w:rPr/>
            </w:pPr>
            <w:r>
              <w:rPr/>
              <w:t>УФК по Новосибирской области (НИИ КПССЗ л/с 21396Х66880)</w:t>
            </w:r>
          </w:p>
          <w:p>
            <w:pPr>
              <w:pStyle w:val="Normal"/>
              <w:rPr/>
            </w:pPr>
            <w:r>
              <w:rPr/>
              <w:t>УФК по Новосибирской области (НИИ КПССЗ л/с 22396Х66880)</w:t>
            </w:r>
          </w:p>
          <w:p>
            <w:pPr>
              <w:pStyle w:val="Normal"/>
              <w:rPr/>
            </w:pPr>
            <w:r>
              <w:rPr/>
              <w:t>ИНН 4205012290 КПП 420501001</w:t>
            </w:r>
          </w:p>
          <w:p>
            <w:pPr>
              <w:pStyle w:val="Normal"/>
              <w:rPr/>
            </w:pPr>
            <w:r>
              <w:rPr/>
              <w:t>р/с 03214643000000015106</w:t>
            </w:r>
          </w:p>
          <w:p>
            <w:pPr>
              <w:pStyle w:val="Normal"/>
              <w:rPr/>
            </w:pPr>
            <w:r>
              <w:rPr/>
              <w:t>ОКЦ № 1 СибГУ Банка России/УФК по Новосибирской области, г. Новосибирск</w:t>
            </w:r>
          </w:p>
          <w:p>
            <w:pPr>
              <w:pStyle w:val="Normal"/>
              <w:rPr/>
            </w:pPr>
            <w:r>
              <w:rPr/>
              <w:t>БИК 015004950</w:t>
            </w:r>
          </w:p>
          <w:p>
            <w:pPr>
              <w:pStyle w:val="Normal"/>
              <w:rPr/>
            </w:pPr>
            <w:r>
              <w:rPr/>
              <w:t>к/с 40102810445370000043</w:t>
            </w:r>
          </w:p>
          <w:p>
            <w:pPr>
              <w:pStyle w:val="Normal"/>
              <w:rPr/>
            </w:pPr>
            <w:r>
              <w:rPr/>
              <w:t>КБК 00000000000000000130</w:t>
            </w:r>
          </w:p>
          <w:p>
            <w:pPr>
              <w:pStyle w:val="Normal"/>
              <w:rPr/>
            </w:pPr>
            <w:r>
              <w:rPr/>
              <w:t>ОГРН 1034205024479</w:t>
            </w:r>
          </w:p>
          <w:p>
            <w:pPr>
              <w:pStyle w:val="Normal"/>
              <w:rPr/>
            </w:pPr>
            <w:r>
              <w:rPr/>
              <w:t>ОКПО 55608705 ОКАТО 32401000000</w:t>
            </w:r>
          </w:p>
          <w:p>
            <w:pPr>
              <w:pStyle w:val="Normal"/>
              <w:rPr/>
            </w:pPr>
            <w:r>
              <w:rPr/>
              <w:t>ОКТМО 32701000 ОКФС 12</w:t>
            </w:r>
          </w:p>
          <w:p>
            <w:pPr>
              <w:pStyle w:val="Normal"/>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rFonts w:cs="Times New Roman"/>
                <w:sz w:val="20"/>
                <w:szCs w:val="20"/>
              </w:rPr>
            </w:pPr>
            <w:r>
              <w:rPr>
                <w:rFonts w:cs="Times New Roman"/>
                <w:sz w:val="20"/>
                <w:szCs w:val="20"/>
              </w:rPr>
              <w:t>___________________ А.Е. Кузнецова</w:t>
            </w:r>
          </w:p>
          <w:p>
            <w:pPr>
              <w:pStyle w:val="Normal"/>
              <w:rPr>
                <w:rFonts w:cs="Times New Roman"/>
                <w:sz w:val="20"/>
                <w:szCs w:val="20"/>
              </w:rPr>
            </w:pPr>
            <w:r>
              <w:rPr>
                <w:rFonts w:cs="Times New Roman"/>
                <w:sz w:val="20"/>
                <w:szCs w:val="20"/>
              </w:rPr>
              <w:t>м.п.</w:t>
            </w:r>
          </w:p>
        </w:tc>
        <w:tc>
          <w:tcPr>
            <w:tcW w:w="4827"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«_____» августа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791"/>
        <w:gridCol w:w="5582"/>
        <w:gridCol w:w="400"/>
        <w:gridCol w:w="1134"/>
        <w:gridCol w:w="25"/>
        <w:gridCol w:w="210"/>
        <w:gridCol w:w="1067"/>
        <w:gridCol w:w="1559"/>
        <w:gridCol w:w="1764"/>
        <w:gridCol w:w="1212"/>
        <w:gridCol w:w="1277"/>
        <w:gridCol w:w="3090"/>
      </w:tblGrid>
      <w:tr>
        <w:trPr>
          <w:trHeight w:val="572" w:hRule="atLeast"/>
        </w:trPr>
        <w:tc>
          <w:tcPr>
            <w:tcW w:w="7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558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 xml:space="preserve">Стоимость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НДС, рублей</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Общая стоимость с НДС, рублей</w:t>
            </w:r>
          </w:p>
        </w:tc>
        <w:tc>
          <w:tcPr>
            <w:tcW w:w="3090" w:type="dxa"/>
            <w:tcBorders/>
          </w:tcPr>
          <w:p>
            <w:pPr>
              <w:pStyle w:val="Normal"/>
              <w:rPr>
                <w:sz w:val="16"/>
                <w:szCs w:val="16"/>
              </w:rPr>
            </w:pPr>
            <w:r>
              <w:rPr>
                <w:sz w:val="16"/>
                <w:szCs w:val="16"/>
              </w:rPr>
            </w:r>
          </w:p>
        </w:tc>
      </w:tr>
      <w:tr>
        <w:trPr>
          <w:trHeight w:val="405" w:hRule="atLeast"/>
        </w:trPr>
        <w:tc>
          <w:tcPr>
            <w:tcW w:w="791"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1</w:t>
            </w:r>
          </w:p>
        </w:tc>
        <w:tc>
          <w:tcPr>
            <w:tcW w:w="5582" w:type="dxa"/>
            <w:tcBorders>
              <w:top w:val="single" w:sz="4" w:space="0" w:color="000001"/>
              <w:start w:val="single" w:sz="4" w:space="0" w:color="000001"/>
              <w:bottom w:val="single" w:sz="4" w:space="0" w:color="000000"/>
              <w:end w:val="single" w:sz="4" w:space="0" w:color="000000"/>
            </w:tcBorders>
          </w:tcPr>
          <w:p>
            <w:pPr>
              <w:pStyle w:val="Normal"/>
              <w:rPr>
                <w:b/>
                <w:bCs/>
                <w:sz w:val="16"/>
                <w:szCs w:val="16"/>
              </w:rPr>
            </w:pPr>
            <w:r>
              <w:rPr>
                <w:b/>
                <w:bCs/>
                <w:sz w:val="16"/>
                <w:szCs w:val="16"/>
              </w:rPr>
              <w:t>Отвод из НПВХ для систем канализации</w:t>
            </w:r>
          </w:p>
          <w:p>
            <w:pPr>
              <w:pStyle w:val="Normal"/>
              <w:rPr>
                <w:b/>
                <w:bCs/>
                <w:sz w:val="16"/>
                <w:szCs w:val="16"/>
              </w:rPr>
            </w:pPr>
            <w:r>
              <w:rPr>
                <w:b/>
                <w:bCs/>
                <w:sz w:val="16"/>
                <w:szCs w:val="16"/>
              </w:rPr>
            </w:r>
          </w:p>
          <w:p>
            <w:pPr>
              <w:pStyle w:val="Normal"/>
              <w:rPr>
                <w:b w:val="false"/>
                <w:bCs w:val="false"/>
                <w:sz w:val="16"/>
                <w:szCs w:val="16"/>
              </w:rPr>
            </w:pPr>
            <w:r>
              <w:rPr>
                <w:b w:val="false"/>
                <w:bCs w:val="false"/>
                <w:sz w:val="16"/>
                <w:szCs w:val="16"/>
              </w:rPr>
              <w:t>В зависимости от места размещения элементов канализационной системы Внутренняя</w:t>
              <w:tab/>
            </w:r>
          </w:p>
          <w:p>
            <w:pPr>
              <w:pStyle w:val="Normal"/>
              <w:rPr>
                <w:b w:val="false"/>
                <w:bCs w:val="false"/>
                <w:sz w:val="16"/>
                <w:szCs w:val="16"/>
              </w:rPr>
            </w:pPr>
            <w:r>
              <w:rPr>
                <w:b w:val="false"/>
                <w:bCs w:val="false"/>
                <w:sz w:val="16"/>
                <w:szCs w:val="16"/>
              </w:rPr>
              <w:t>Вид отвода</w:t>
              <w:tab/>
              <w:t>Изогнутый (с радиусом R)</w:t>
              <w:tab/>
            </w:r>
          </w:p>
          <w:p>
            <w:pPr>
              <w:pStyle w:val="Normal"/>
              <w:rPr>
                <w:b w:val="false"/>
                <w:bCs w:val="false"/>
                <w:sz w:val="16"/>
                <w:szCs w:val="16"/>
              </w:rPr>
            </w:pPr>
            <w:r>
              <w:rPr>
                <w:b w:val="false"/>
                <w:bCs w:val="false"/>
                <w:sz w:val="16"/>
                <w:szCs w:val="16"/>
              </w:rPr>
              <w:t>Номинальный наружный диаметр</w:t>
              <w:tab/>
              <w:t>110</w:t>
              <w:tab/>
              <w:t>миллиметр</w:t>
            </w:r>
          </w:p>
          <w:p>
            <w:pPr>
              <w:pStyle w:val="Normal"/>
              <w:rPr>
                <w:b w:val="false"/>
                <w:bCs w:val="false"/>
                <w:sz w:val="16"/>
                <w:szCs w:val="16"/>
              </w:rPr>
            </w:pPr>
            <w:r>
              <w:rPr>
                <w:b w:val="false"/>
                <w:bCs w:val="false"/>
                <w:sz w:val="16"/>
                <w:szCs w:val="16"/>
              </w:rPr>
              <w:t>Номинальный угол отвода в градусах</w:t>
              <w:tab/>
              <w:t>45°</w:t>
              <w:tab/>
            </w:r>
          </w:p>
          <w:p>
            <w:pPr>
              <w:pStyle w:val="Normal"/>
              <w:rPr>
                <w:b w:val="false"/>
                <w:bCs w:val="false"/>
                <w:sz w:val="16"/>
                <w:szCs w:val="16"/>
              </w:rPr>
            </w:pPr>
            <w:r>
              <w:rPr>
                <w:b w:val="false"/>
                <w:bCs w:val="false"/>
                <w:sz w:val="16"/>
                <w:szCs w:val="16"/>
              </w:rPr>
              <w:t>Тип соединения</w:t>
              <w:tab/>
              <w:t>С уплотнительным кольцом</w:t>
              <w:tab/>
            </w:r>
          </w:p>
          <w:p>
            <w:pPr>
              <w:pStyle w:val="Normal"/>
              <w:rPr>
                <w:b w:val="false"/>
                <w:bCs w:val="false"/>
                <w:sz w:val="16"/>
                <w:szCs w:val="16"/>
              </w:rPr>
            </w:pPr>
            <w:r>
              <w:rPr>
                <w:b w:val="false"/>
                <w:bCs w:val="false"/>
                <w:sz w:val="16"/>
                <w:szCs w:val="16"/>
              </w:rPr>
            </w:r>
          </w:p>
          <w:p>
            <w:pPr>
              <w:pStyle w:val="Normal"/>
              <w:rPr>
                <w:b w:val="false"/>
                <w:bCs w:val="false"/>
                <w:sz w:val="16"/>
                <w:szCs w:val="16"/>
              </w:rPr>
            </w:pPr>
            <w:r>
              <w:rPr>
                <w:b w:val="false"/>
                <w:bCs w:val="false"/>
                <w:sz w:val="16"/>
                <w:szCs w:val="16"/>
              </w:rPr>
              <w:t xml:space="preserve">ОКПД2 22.21.21.129 </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top w:val="single" w:sz="4" w:space="0" w:color="000001"/>
              <w:start w:val="single" w:sz="4" w:space="0" w:color="000001"/>
              <w:bottom w:val="single" w:sz="4" w:space="0" w:color="000000"/>
            </w:tcBorders>
          </w:tcPr>
          <w:p>
            <w:pPr>
              <w:pStyle w:val="Normal"/>
              <w:jc w:val="center"/>
              <w:rPr>
                <w:sz w:val="16"/>
                <w:szCs w:val="16"/>
              </w:rPr>
            </w:pPr>
            <w:r>
              <w:rPr>
                <w:sz w:val="16"/>
                <w:szCs w:val="16"/>
              </w:rPr>
              <w:t>30</w:t>
            </w:r>
          </w:p>
        </w:tc>
        <w:tc>
          <w:tcPr>
            <w:tcW w:w="1559" w:type="dxa"/>
            <w:tcBorders>
              <w:top w:val="single" w:sz="4" w:space="0" w:color="000001"/>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405" w:hRule="atLeast"/>
        </w:trPr>
        <w:tc>
          <w:tcPr>
            <w:tcW w:w="791"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2</w:t>
            </w:r>
          </w:p>
        </w:tc>
        <w:tc>
          <w:tcPr>
            <w:tcW w:w="5582"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Труба</w:t>
            </w:r>
          </w:p>
          <w:p>
            <w:pPr>
              <w:pStyle w:val="Normal"/>
              <w:rPr>
                <w:b/>
                <w:bCs/>
                <w:sz w:val="16"/>
                <w:szCs w:val="16"/>
              </w:rPr>
            </w:pPr>
            <w:r>
              <w:rPr>
                <w:b/>
                <w:bCs/>
                <w:sz w:val="16"/>
                <w:szCs w:val="16"/>
              </w:rPr>
            </w:r>
          </w:p>
          <w:p>
            <w:pPr>
              <w:pStyle w:val="Normal"/>
              <w:rPr>
                <w:b w:val="false"/>
                <w:bCs w:val="false"/>
                <w:sz w:val="16"/>
                <w:szCs w:val="16"/>
              </w:rPr>
            </w:pPr>
            <w:r>
              <w:rPr>
                <w:b w:val="false"/>
                <w:bCs w:val="false"/>
                <w:sz w:val="16"/>
                <w:szCs w:val="16"/>
              </w:rPr>
              <w:t>Область применения</w:t>
              <w:tab/>
              <w:t>Внутренняя канализация</w:t>
              <w:tab/>
            </w:r>
          </w:p>
          <w:p>
            <w:pPr>
              <w:pStyle w:val="Normal"/>
              <w:rPr>
                <w:b w:val="false"/>
                <w:bCs w:val="false"/>
                <w:sz w:val="16"/>
                <w:szCs w:val="16"/>
              </w:rPr>
            </w:pPr>
            <w:r>
              <w:rPr>
                <w:b w:val="false"/>
                <w:bCs w:val="false"/>
                <w:sz w:val="16"/>
                <w:szCs w:val="16"/>
              </w:rPr>
              <w:t>Материал</w:t>
              <w:tab/>
              <w:t>Полипропилен</w:t>
              <w:tab/>
            </w:r>
          </w:p>
          <w:p>
            <w:pPr>
              <w:pStyle w:val="Normal"/>
              <w:rPr>
                <w:b w:val="false"/>
                <w:bCs w:val="false"/>
                <w:sz w:val="16"/>
                <w:szCs w:val="16"/>
              </w:rPr>
            </w:pPr>
            <w:r>
              <w:rPr>
                <w:b w:val="false"/>
                <w:bCs w:val="false"/>
                <w:sz w:val="16"/>
                <w:szCs w:val="16"/>
              </w:rPr>
              <w:t>Цвет</w:t>
              <w:tab/>
              <w:t>RAL 7000</w:t>
              <w:tab/>
            </w:r>
          </w:p>
          <w:p>
            <w:pPr>
              <w:pStyle w:val="Normal"/>
              <w:rPr>
                <w:b w:val="false"/>
                <w:bCs w:val="false"/>
                <w:sz w:val="16"/>
                <w:szCs w:val="16"/>
              </w:rPr>
            </w:pPr>
            <w:r>
              <w:rPr>
                <w:b w:val="false"/>
                <w:bCs w:val="false"/>
                <w:sz w:val="16"/>
                <w:szCs w:val="16"/>
              </w:rPr>
              <w:t>Длина</w:t>
              <w:tab/>
              <w:t>Не менее 980 и не более 1000</w:t>
              <w:tab/>
              <w:t>миллиметр</w:t>
            </w:r>
          </w:p>
          <w:p>
            <w:pPr>
              <w:pStyle w:val="Normal"/>
              <w:rPr>
                <w:b w:val="false"/>
                <w:bCs w:val="false"/>
                <w:sz w:val="16"/>
                <w:szCs w:val="16"/>
              </w:rPr>
            </w:pPr>
            <w:r>
              <w:rPr>
                <w:b w:val="false"/>
                <w:bCs w:val="false"/>
                <w:sz w:val="16"/>
                <w:szCs w:val="16"/>
              </w:rPr>
              <w:t>Толщина</w:t>
              <w:tab/>
              <w:t>Не менее 1,8</w:t>
              <w:tab/>
              <w:t>миллиметр</w:t>
            </w:r>
          </w:p>
          <w:p>
            <w:pPr>
              <w:pStyle w:val="Normal"/>
              <w:rPr>
                <w:b w:val="false"/>
                <w:bCs w:val="false"/>
                <w:sz w:val="16"/>
                <w:szCs w:val="16"/>
              </w:rPr>
            </w:pPr>
            <w:r>
              <w:rPr>
                <w:b w:val="false"/>
                <w:bCs w:val="false"/>
                <w:sz w:val="16"/>
                <w:szCs w:val="16"/>
              </w:rPr>
              <w:t>Диаметр</w:t>
              <w:tab/>
              <w:t>Не менее 48 и не более 50</w:t>
              <w:tab/>
              <w:t>миллиметр</w:t>
            </w:r>
          </w:p>
          <w:p>
            <w:pPr>
              <w:pStyle w:val="Normal"/>
              <w:rPr>
                <w:b w:val="false"/>
                <w:bCs w:val="false"/>
                <w:sz w:val="16"/>
                <w:szCs w:val="16"/>
              </w:rPr>
            </w:pPr>
            <w:r>
              <w:rPr>
                <w:b w:val="false"/>
                <w:bCs w:val="false"/>
                <w:sz w:val="16"/>
                <w:szCs w:val="16"/>
              </w:rPr>
            </w:r>
          </w:p>
          <w:p>
            <w:pPr>
              <w:pStyle w:val="Normal"/>
              <w:rPr>
                <w:b w:val="false"/>
                <w:bCs w:val="false"/>
                <w:sz w:val="16"/>
                <w:szCs w:val="16"/>
              </w:rPr>
            </w:pPr>
            <w:r>
              <w:rPr>
                <w:b w:val="false"/>
                <w:bCs w:val="false"/>
                <w:sz w:val="16"/>
                <w:szCs w:val="16"/>
              </w:rPr>
              <w:t xml:space="preserve">ОКПД2 22.21.21.129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tcPr>
          <w:p>
            <w:pPr>
              <w:pStyle w:val="Normal"/>
              <w:jc w:val="center"/>
              <w:rPr>
                <w:sz w:val="16"/>
                <w:szCs w:val="16"/>
              </w:rPr>
            </w:pPr>
            <w:r>
              <w:rPr>
                <w:sz w:val="16"/>
                <w:szCs w:val="16"/>
              </w:rPr>
              <w:t>20</w:t>
            </w:r>
          </w:p>
        </w:tc>
        <w:tc>
          <w:tcPr>
            <w:tcW w:w="1559" w:type="dxa"/>
            <w:tcBorders>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405" w:hRule="atLeast"/>
        </w:trPr>
        <w:tc>
          <w:tcPr>
            <w:tcW w:w="791"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3</w:t>
            </w:r>
          </w:p>
        </w:tc>
        <w:tc>
          <w:tcPr>
            <w:tcW w:w="5582"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Труба</w:t>
            </w:r>
          </w:p>
          <w:p>
            <w:pPr>
              <w:pStyle w:val="Normal"/>
              <w:rPr>
                <w:b/>
                <w:bCs/>
                <w:sz w:val="16"/>
                <w:szCs w:val="16"/>
              </w:rPr>
            </w:pPr>
            <w:r>
              <w:rPr>
                <w:b/>
                <w:bCs/>
                <w:sz w:val="16"/>
                <w:szCs w:val="16"/>
              </w:rPr>
            </w:r>
          </w:p>
          <w:p>
            <w:pPr>
              <w:pStyle w:val="Normal"/>
              <w:rPr>
                <w:b w:val="false"/>
                <w:bCs w:val="false"/>
                <w:sz w:val="16"/>
                <w:szCs w:val="16"/>
              </w:rPr>
            </w:pPr>
            <w:r>
              <w:rPr>
                <w:b w:val="false"/>
                <w:bCs w:val="false"/>
                <w:sz w:val="16"/>
                <w:szCs w:val="16"/>
              </w:rPr>
              <w:t>Область применения</w:t>
              <w:tab/>
              <w:t>Внутренняя канализация</w:t>
              <w:tab/>
            </w:r>
          </w:p>
          <w:p>
            <w:pPr>
              <w:pStyle w:val="Normal"/>
              <w:rPr>
                <w:b w:val="false"/>
                <w:bCs w:val="false"/>
                <w:sz w:val="16"/>
                <w:szCs w:val="16"/>
              </w:rPr>
            </w:pPr>
            <w:r>
              <w:rPr>
                <w:b w:val="false"/>
                <w:bCs w:val="false"/>
                <w:sz w:val="16"/>
                <w:szCs w:val="16"/>
              </w:rPr>
              <w:t>Материал</w:t>
              <w:tab/>
              <w:t>Полипропилен</w:t>
              <w:tab/>
            </w:r>
          </w:p>
          <w:p>
            <w:pPr>
              <w:pStyle w:val="Normal"/>
              <w:rPr>
                <w:b w:val="false"/>
                <w:bCs w:val="false"/>
                <w:sz w:val="16"/>
                <w:szCs w:val="16"/>
              </w:rPr>
            </w:pPr>
            <w:r>
              <w:rPr>
                <w:b w:val="false"/>
                <w:bCs w:val="false"/>
                <w:sz w:val="16"/>
                <w:szCs w:val="16"/>
              </w:rPr>
              <w:t>Цвет</w:t>
              <w:tab/>
              <w:t>RAL 7000</w:t>
              <w:tab/>
            </w:r>
          </w:p>
          <w:p>
            <w:pPr>
              <w:pStyle w:val="Normal"/>
              <w:rPr>
                <w:b w:val="false"/>
                <w:bCs w:val="false"/>
                <w:sz w:val="16"/>
                <w:szCs w:val="16"/>
              </w:rPr>
            </w:pPr>
            <w:r>
              <w:rPr>
                <w:b w:val="false"/>
                <w:bCs w:val="false"/>
                <w:sz w:val="16"/>
                <w:szCs w:val="16"/>
              </w:rPr>
              <w:t>Длина</w:t>
              <w:tab/>
              <w:t>Не менее 480 и не более 500</w:t>
              <w:tab/>
              <w:t>миллиметр</w:t>
            </w:r>
          </w:p>
          <w:p>
            <w:pPr>
              <w:pStyle w:val="Normal"/>
              <w:rPr>
                <w:b w:val="false"/>
                <w:bCs w:val="false"/>
                <w:sz w:val="16"/>
                <w:szCs w:val="16"/>
              </w:rPr>
            </w:pPr>
            <w:r>
              <w:rPr>
                <w:b w:val="false"/>
                <w:bCs w:val="false"/>
                <w:sz w:val="16"/>
                <w:szCs w:val="16"/>
              </w:rPr>
              <w:t>Толщина</w:t>
              <w:tab/>
              <w:t>Не менее 1,8</w:t>
              <w:tab/>
              <w:t>миллиметр</w:t>
            </w:r>
          </w:p>
          <w:p>
            <w:pPr>
              <w:pStyle w:val="Normal"/>
              <w:rPr>
                <w:b w:val="false"/>
                <w:bCs w:val="false"/>
                <w:sz w:val="16"/>
                <w:szCs w:val="16"/>
              </w:rPr>
            </w:pPr>
            <w:r>
              <w:rPr>
                <w:b w:val="false"/>
                <w:bCs w:val="false"/>
                <w:sz w:val="16"/>
                <w:szCs w:val="16"/>
              </w:rPr>
              <w:t>Диаметр</w:t>
              <w:tab/>
              <w:t>Не менее 48 и не более 50</w:t>
              <w:tab/>
              <w:t>миллиметр</w:t>
            </w:r>
          </w:p>
          <w:p>
            <w:pPr>
              <w:pStyle w:val="Normal"/>
              <w:rPr>
                <w:b w:val="false"/>
                <w:bCs w:val="false"/>
                <w:sz w:val="16"/>
                <w:szCs w:val="16"/>
              </w:rPr>
            </w:pPr>
            <w:r>
              <w:rPr>
                <w:b w:val="false"/>
                <w:bCs w:val="false"/>
                <w:sz w:val="16"/>
                <w:szCs w:val="16"/>
              </w:rPr>
            </w:r>
          </w:p>
          <w:p>
            <w:pPr>
              <w:pStyle w:val="Normal"/>
              <w:rPr>
                <w:b w:val="false"/>
                <w:bCs w:val="false"/>
                <w:sz w:val="16"/>
                <w:szCs w:val="16"/>
              </w:rPr>
            </w:pPr>
            <w:r>
              <w:rPr>
                <w:b w:val="false"/>
                <w:bCs w:val="false"/>
                <w:sz w:val="16"/>
                <w:szCs w:val="16"/>
              </w:rPr>
              <w:t xml:space="preserve">ОКПД2 22.21.21.129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tcPr>
          <w:p>
            <w:pPr>
              <w:pStyle w:val="Normal"/>
              <w:jc w:val="center"/>
              <w:rPr>
                <w:sz w:val="16"/>
                <w:szCs w:val="16"/>
              </w:rPr>
            </w:pPr>
            <w:r>
              <w:rPr>
                <w:sz w:val="16"/>
                <w:szCs w:val="16"/>
              </w:rPr>
              <w:t>20</w:t>
            </w:r>
          </w:p>
        </w:tc>
        <w:tc>
          <w:tcPr>
            <w:tcW w:w="1559" w:type="dxa"/>
            <w:tcBorders>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405" w:hRule="atLeast"/>
        </w:trPr>
        <w:tc>
          <w:tcPr>
            <w:tcW w:w="791"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4</w:t>
            </w:r>
          </w:p>
        </w:tc>
        <w:tc>
          <w:tcPr>
            <w:tcW w:w="5582" w:type="dxa"/>
            <w:tcBorders>
              <w:start w:val="single" w:sz="4" w:space="0" w:color="000001"/>
              <w:bottom w:val="single" w:sz="4" w:space="0" w:color="000000"/>
              <w:end w:val="single" w:sz="4" w:space="0" w:color="000000"/>
            </w:tcBorders>
          </w:tcPr>
          <w:p>
            <w:pPr>
              <w:pStyle w:val="NoSpacing"/>
              <w:rPr>
                <w:rFonts w:ascii="Times New Roman" w:hAnsi="Times New Roman" w:eastAsia="Calibri"/>
                <w:b/>
                <w:bCs/>
                <w:sz w:val="16"/>
                <w:szCs w:val="16"/>
              </w:rPr>
            </w:pPr>
            <w:r>
              <w:rPr>
                <w:rFonts w:eastAsia="Calibri" w:ascii="Times New Roman" w:hAnsi="Times New Roman"/>
                <w:b/>
                <w:bCs/>
                <w:sz w:val="16"/>
                <w:szCs w:val="16"/>
              </w:rPr>
              <w:t>Заглушка</w:t>
            </w:r>
          </w:p>
          <w:p>
            <w:pPr>
              <w:pStyle w:val="NoSpacing"/>
              <w:rPr>
                <w:rFonts w:ascii="Times New Roman" w:hAnsi="Times New Roman" w:eastAsia="Calibri"/>
                <w:b/>
                <w:bCs/>
                <w:sz w:val="16"/>
                <w:szCs w:val="16"/>
              </w:rPr>
            </w:pPr>
            <w:r>
              <w:rPr>
                <w:rFonts w:eastAsia="Calibri" w:ascii="Times New Roman" w:hAnsi="Times New Roman"/>
                <w:b/>
                <w:bCs/>
                <w:sz w:val="16"/>
                <w:szCs w:val="16"/>
              </w:rPr>
            </w:r>
          </w:p>
          <w:p>
            <w:pPr>
              <w:pStyle w:val="NoSpacing"/>
              <w:rPr>
                <w:rFonts w:ascii="Times New Roman" w:hAnsi="Times New Roman" w:eastAsia="Calibri"/>
                <w:b w:val="false"/>
                <w:bCs w:val="false"/>
                <w:sz w:val="16"/>
                <w:szCs w:val="16"/>
              </w:rPr>
            </w:pPr>
            <w:r>
              <w:rPr>
                <w:rFonts w:eastAsia="Calibri" w:ascii="Times New Roman" w:hAnsi="Times New Roman"/>
                <w:b w:val="false"/>
                <w:bCs w:val="false"/>
                <w:sz w:val="16"/>
                <w:szCs w:val="16"/>
              </w:rPr>
              <w:t>Область применения</w:t>
              <w:tab/>
              <w:t>Внутренняя канализация</w:t>
              <w:tab/>
            </w:r>
          </w:p>
          <w:p>
            <w:pPr>
              <w:pStyle w:val="NoSpacing"/>
              <w:rPr>
                <w:rFonts w:ascii="Times New Roman" w:hAnsi="Times New Roman" w:eastAsia="Calibri"/>
                <w:b w:val="false"/>
                <w:bCs w:val="false"/>
                <w:sz w:val="16"/>
                <w:szCs w:val="16"/>
              </w:rPr>
            </w:pPr>
            <w:r>
              <w:rPr>
                <w:rFonts w:eastAsia="Calibri" w:ascii="Times New Roman" w:hAnsi="Times New Roman"/>
                <w:b w:val="false"/>
                <w:bCs w:val="false"/>
                <w:sz w:val="16"/>
                <w:szCs w:val="16"/>
              </w:rPr>
              <w:t>Толщина стенки</w:t>
              <w:tab/>
              <w:t>Не менее 1,8</w:t>
              <w:tab/>
              <w:t>миллиметр</w:t>
            </w:r>
          </w:p>
          <w:p>
            <w:pPr>
              <w:pStyle w:val="NoSpacing"/>
              <w:rPr>
                <w:rFonts w:ascii="Times New Roman" w:hAnsi="Times New Roman" w:eastAsia="Calibri"/>
                <w:b w:val="false"/>
                <w:bCs w:val="false"/>
                <w:sz w:val="16"/>
                <w:szCs w:val="16"/>
              </w:rPr>
            </w:pPr>
            <w:r>
              <w:rPr>
                <w:rFonts w:eastAsia="Calibri" w:ascii="Times New Roman" w:hAnsi="Times New Roman"/>
                <w:b w:val="false"/>
                <w:bCs w:val="false"/>
                <w:sz w:val="16"/>
                <w:szCs w:val="16"/>
              </w:rPr>
              <w:t>Размер</w:t>
              <w:tab/>
              <w:t>Не менее 48 и не более 50</w:t>
              <w:tab/>
              <w:t>миллиметр</w:t>
            </w:r>
          </w:p>
          <w:p>
            <w:pPr>
              <w:pStyle w:val="NoSpacing"/>
              <w:rPr>
                <w:rFonts w:ascii="Times New Roman" w:hAnsi="Times New Roman" w:eastAsia="Calibri"/>
                <w:b/>
                <w:bCs/>
                <w:sz w:val="16"/>
                <w:szCs w:val="16"/>
              </w:rPr>
            </w:pPr>
            <w:r>
              <w:rPr>
                <w:rFonts w:eastAsia="Calibri" w:ascii="Times New Roman" w:hAnsi="Times New Roman"/>
                <w:b/>
                <w:bCs/>
                <w:sz w:val="16"/>
                <w:szCs w:val="16"/>
              </w:rPr>
            </w:r>
          </w:p>
          <w:p>
            <w:pPr>
              <w:pStyle w:val="Normal"/>
              <w:rPr>
                <w:b w:val="false"/>
                <w:bCs w:val="false"/>
                <w:sz w:val="16"/>
                <w:szCs w:val="16"/>
              </w:rPr>
            </w:pPr>
            <w:r>
              <w:rPr>
                <w:b w:val="false"/>
                <w:bCs w:val="false"/>
                <w:sz w:val="16"/>
                <w:szCs w:val="16"/>
              </w:rPr>
              <w:t xml:space="preserve">ОКПД2 22.21.21.129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tcPr>
          <w:p>
            <w:pPr>
              <w:pStyle w:val="Normal"/>
              <w:jc w:val="center"/>
              <w:rPr>
                <w:sz w:val="16"/>
                <w:szCs w:val="16"/>
              </w:rPr>
            </w:pPr>
            <w:r>
              <w:rPr>
                <w:sz w:val="16"/>
                <w:szCs w:val="16"/>
              </w:rPr>
              <w:t>30</w:t>
            </w:r>
          </w:p>
        </w:tc>
        <w:tc>
          <w:tcPr>
            <w:tcW w:w="1559" w:type="dxa"/>
            <w:tcBorders>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405" w:hRule="atLeast"/>
        </w:trPr>
        <w:tc>
          <w:tcPr>
            <w:tcW w:w="791"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5</w:t>
            </w:r>
          </w:p>
        </w:tc>
        <w:tc>
          <w:tcPr>
            <w:tcW w:w="5582"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Заглушка</w:t>
            </w:r>
          </w:p>
          <w:p>
            <w:pPr>
              <w:pStyle w:val="Normal"/>
              <w:rPr>
                <w:b/>
                <w:bCs/>
                <w:sz w:val="16"/>
                <w:szCs w:val="16"/>
              </w:rPr>
            </w:pPr>
            <w:r>
              <w:rPr>
                <w:b/>
                <w:bCs/>
                <w:sz w:val="16"/>
                <w:szCs w:val="16"/>
              </w:rPr>
            </w:r>
          </w:p>
          <w:p>
            <w:pPr>
              <w:pStyle w:val="Normal"/>
              <w:rPr>
                <w:b w:val="false"/>
                <w:bCs w:val="false"/>
                <w:sz w:val="16"/>
                <w:szCs w:val="16"/>
              </w:rPr>
            </w:pPr>
            <w:r>
              <w:rPr>
                <w:b w:val="false"/>
                <w:bCs w:val="false"/>
                <w:sz w:val="16"/>
                <w:szCs w:val="16"/>
              </w:rPr>
              <w:t>Область применения</w:t>
              <w:tab/>
              <w:t>Внутренняя канализация</w:t>
              <w:tab/>
            </w:r>
          </w:p>
          <w:p>
            <w:pPr>
              <w:pStyle w:val="Normal"/>
              <w:rPr>
                <w:b w:val="false"/>
                <w:bCs w:val="false"/>
                <w:sz w:val="16"/>
                <w:szCs w:val="16"/>
              </w:rPr>
            </w:pPr>
            <w:r>
              <w:rPr>
                <w:b w:val="false"/>
                <w:bCs w:val="false"/>
                <w:sz w:val="16"/>
                <w:szCs w:val="16"/>
              </w:rPr>
              <w:t>Толщина стенки</w:t>
              <w:tab/>
              <w:t>Не менее 2,7</w:t>
              <w:tab/>
              <w:t>миллиметр</w:t>
            </w:r>
          </w:p>
          <w:p>
            <w:pPr>
              <w:pStyle w:val="Normal"/>
              <w:rPr>
                <w:b w:val="false"/>
                <w:bCs w:val="false"/>
                <w:sz w:val="16"/>
                <w:szCs w:val="16"/>
              </w:rPr>
            </w:pPr>
            <w:r>
              <w:rPr>
                <w:b w:val="false"/>
                <w:bCs w:val="false"/>
                <w:sz w:val="16"/>
                <w:szCs w:val="16"/>
              </w:rPr>
              <w:t>Размер</w:t>
              <w:tab/>
              <w:t>Не менее 100 и не более 110</w:t>
              <w:tab/>
              <w:t>миллиметр</w:t>
            </w:r>
          </w:p>
          <w:p>
            <w:pPr>
              <w:pStyle w:val="Normal"/>
              <w:rPr>
                <w:b w:val="false"/>
                <w:bCs w:val="false"/>
                <w:sz w:val="16"/>
                <w:szCs w:val="16"/>
              </w:rPr>
            </w:pPr>
            <w:r>
              <w:rPr>
                <w:b w:val="false"/>
                <w:bCs w:val="false"/>
                <w:sz w:val="16"/>
                <w:szCs w:val="16"/>
              </w:rPr>
            </w:r>
          </w:p>
          <w:p>
            <w:pPr>
              <w:pStyle w:val="Normal"/>
              <w:rPr>
                <w:b w:val="false"/>
                <w:bCs w:val="false"/>
                <w:sz w:val="16"/>
                <w:szCs w:val="16"/>
              </w:rPr>
            </w:pPr>
            <w:r>
              <w:rPr>
                <w:b w:val="false"/>
                <w:bCs w:val="false"/>
                <w:sz w:val="16"/>
                <w:szCs w:val="16"/>
              </w:rPr>
              <w:t xml:space="preserve">ОКПД2 22.21.21.129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tcPr>
          <w:p>
            <w:pPr>
              <w:pStyle w:val="Normal"/>
              <w:jc w:val="center"/>
              <w:rPr>
                <w:sz w:val="16"/>
                <w:szCs w:val="16"/>
              </w:rPr>
            </w:pPr>
            <w:r>
              <w:rPr>
                <w:sz w:val="16"/>
                <w:szCs w:val="16"/>
              </w:rPr>
              <w:t>20</w:t>
            </w:r>
          </w:p>
        </w:tc>
        <w:tc>
          <w:tcPr>
            <w:tcW w:w="1559" w:type="dxa"/>
            <w:tcBorders>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405" w:hRule="atLeast"/>
        </w:trPr>
        <w:tc>
          <w:tcPr>
            <w:tcW w:w="791"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6</w:t>
            </w:r>
          </w:p>
        </w:tc>
        <w:tc>
          <w:tcPr>
            <w:tcW w:w="5582"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Клапан вакуумный</w:t>
            </w:r>
          </w:p>
          <w:p>
            <w:pPr>
              <w:pStyle w:val="Normal"/>
              <w:rPr>
                <w:b/>
                <w:bCs/>
                <w:sz w:val="16"/>
                <w:szCs w:val="16"/>
              </w:rPr>
            </w:pPr>
            <w:r>
              <w:rPr>
                <w:b/>
                <w:bCs/>
                <w:sz w:val="16"/>
                <w:szCs w:val="16"/>
              </w:rPr>
            </w:r>
          </w:p>
          <w:p>
            <w:pPr>
              <w:pStyle w:val="Normal"/>
              <w:rPr>
                <w:b/>
                <w:bCs/>
                <w:sz w:val="16"/>
                <w:szCs w:val="16"/>
              </w:rPr>
            </w:pPr>
            <w:r>
              <w:rPr>
                <w:b/>
                <w:bCs/>
                <w:sz w:val="16"/>
                <w:szCs w:val="16"/>
              </w:rPr>
            </w:r>
          </w:p>
          <w:p>
            <w:pPr>
              <w:pStyle w:val="Normal"/>
              <w:rPr>
                <w:b w:val="false"/>
                <w:bCs w:val="false"/>
                <w:sz w:val="16"/>
                <w:szCs w:val="16"/>
              </w:rPr>
            </w:pPr>
            <w:r>
              <w:rPr>
                <w:b w:val="false"/>
                <w:bCs w:val="false"/>
                <w:sz w:val="16"/>
                <w:szCs w:val="16"/>
              </w:rPr>
              <w:t>Область применения</w:t>
              <w:tab/>
              <w:t>Внутренняя канализация</w:t>
              <w:tab/>
            </w:r>
          </w:p>
          <w:p>
            <w:pPr>
              <w:pStyle w:val="Normal"/>
              <w:rPr>
                <w:b w:val="false"/>
                <w:bCs w:val="false"/>
                <w:sz w:val="16"/>
                <w:szCs w:val="16"/>
              </w:rPr>
            </w:pPr>
            <w:r>
              <w:rPr>
                <w:b w:val="false"/>
                <w:bCs w:val="false"/>
                <w:sz w:val="16"/>
                <w:szCs w:val="16"/>
              </w:rPr>
              <w:t>Назначение</w:t>
              <w:tab/>
              <w:t>для воспрепятствия выхода из труб в помещение неприятных запахов и вредных газов, а также для разряжения давления в системе</w:t>
              <w:tab/>
            </w:r>
          </w:p>
          <w:p>
            <w:pPr>
              <w:pStyle w:val="Normal"/>
              <w:rPr>
                <w:b w:val="false"/>
                <w:bCs w:val="false"/>
                <w:sz w:val="16"/>
                <w:szCs w:val="16"/>
              </w:rPr>
            </w:pPr>
            <w:r>
              <w:rPr>
                <w:b w:val="false"/>
                <w:bCs w:val="false"/>
                <w:sz w:val="16"/>
                <w:szCs w:val="16"/>
              </w:rPr>
              <w:t>Размер</w:t>
              <w:tab/>
              <w:t>Не менее 100 и не более 110</w:t>
              <w:tab/>
              <w:t>миллиметр</w:t>
            </w:r>
          </w:p>
          <w:p>
            <w:pPr>
              <w:pStyle w:val="Normal"/>
              <w:rPr>
                <w:b/>
                <w:bCs/>
                <w:sz w:val="16"/>
                <w:szCs w:val="16"/>
              </w:rPr>
            </w:pPr>
            <w:r>
              <w:rPr>
                <w:b w:val="false"/>
                <w:bCs w:val="false"/>
                <w:sz w:val="16"/>
                <w:szCs w:val="16"/>
              </w:rPr>
              <w:t>Материал</w:t>
              <w:tab/>
              <w:t>Полипропилен</w:t>
            </w:r>
            <w:r>
              <w:rPr>
                <w:b w:val="false"/>
                <w:bCs w:val="false"/>
                <w:sz w:val="16"/>
                <w:szCs w:val="16"/>
              </w:rPr>
              <w:t>\</w:t>
            </w:r>
          </w:p>
          <w:p>
            <w:pPr>
              <w:pStyle w:val="Normal"/>
              <w:rPr>
                <w:b/>
                <w:bCs/>
                <w:sz w:val="16"/>
                <w:szCs w:val="16"/>
              </w:rPr>
            </w:pPr>
            <w:r>
              <w:rPr>
                <w:b/>
                <w:bCs/>
                <w:sz w:val="16"/>
                <w:szCs w:val="16"/>
              </w:rPr>
              <w:tab/>
            </w:r>
          </w:p>
          <w:p>
            <w:pPr>
              <w:pStyle w:val="Normal"/>
              <w:rPr>
                <w:b/>
                <w:bCs/>
                <w:sz w:val="16"/>
                <w:szCs w:val="16"/>
              </w:rPr>
            </w:pPr>
            <w:r>
              <w:rPr>
                <w:b/>
                <w:bCs/>
                <w:sz w:val="16"/>
                <w:szCs w:val="16"/>
              </w:rPr>
              <w:t>ОКПД2 22.21.21.129</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tcPr>
          <w:p>
            <w:pPr>
              <w:pStyle w:val="Normal"/>
              <w:jc w:val="center"/>
              <w:rPr>
                <w:sz w:val="16"/>
                <w:szCs w:val="16"/>
              </w:rPr>
            </w:pPr>
            <w:r>
              <w:rPr>
                <w:sz w:val="16"/>
                <w:szCs w:val="16"/>
              </w:rPr>
              <w:t>30</w:t>
            </w:r>
          </w:p>
        </w:tc>
        <w:tc>
          <w:tcPr>
            <w:tcW w:w="1559" w:type="dxa"/>
            <w:tcBorders>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center"/>
              <w:rPr>
                <w:sz w:val="16"/>
                <w:szCs w:val="16"/>
              </w:rPr>
            </w:pPr>
            <w:r>
              <w:rPr>
                <w:b/>
                <w:bCs/>
                <w:sz w:val="16"/>
                <w:szCs w:val="16"/>
                <w:highlight w:val="yellow"/>
              </w:rPr>
              <w:t>ИТОГО:</w:t>
            </w:r>
          </w:p>
        </w:tc>
        <w:tc>
          <w:tcPr>
            <w:tcW w:w="1277" w:type="dxa"/>
            <w:tcBorders>
              <w:top w:val="single" w:sz="4" w:space="0" w:color="000000"/>
              <w:start w:val="single" w:sz="4" w:space="0" w:color="000000"/>
              <w:bottom w:val="single" w:sz="4" w:space="0" w:color="000000"/>
              <w:end w:val="single" w:sz="4" w:space="0" w:color="000000"/>
            </w:tcBorders>
          </w:tcPr>
          <w:p>
            <w:pPr>
              <w:pStyle w:val="Normal"/>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1827"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b w:val="false"/>
                <w:bCs w:val="false"/>
                <w:color w:val="000000"/>
                <w:sz w:val="20"/>
                <w:szCs w:val="20"/>
              </w:rPr>
            </w:pPr>
            <w:r>
              <w:rPr>
                <w:b w:val="false"/>
                <w:bCs w:val="false"/>
                <w:color w:val="000000"/>
                <w:sz w:val="20"/>
                <w:szCs w:val="20"/>
              </w:rPr>
              <w:t>___________________ А.Е. Кузнецова</w:t>
            </w:r>
          </w:p>
          <w:p>
            <w:pPr>
              <w:pStyle w:val="Normal"/>
              <w:rPr>
                <w:b w:val="false"/>
                <w:bCs w:val="false"/>
                <w:color w:val="000000"/>
                <w:sz w:val="20"/>
                <w:szCs w:val="20"/>
              </w:rPr>
            </w:pPr>
            <w:r>
              <w:rPr>
                <w:b w:val="false"/>
                <w:bCs w:val="false"/>
                <w:color w:val="000000"/>
                <w:sz w:val="20"/>
                <w:szCs w:val="20"/>
              </w:rPr>
              <w:t xml:space="preserve">м.п.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2">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Style23">
    <w:name w:val="Содержимое врезки"/>
    <w:basedOn w:val="Normal"/>
    <w:qFormat/>
    <w:pPr/>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user6" w:default="1">
    <w:name w:val="Без списка (user)"/>
    <w:uiPriority w:val="99"/>
    <w:semiHidden/>
    <w:unhideWhenUsed/>
    <w:qFormat/>
  </w:style>
  <w:style w:type="numbering" w:styleId="123">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63</TotalTime>
  <Application>LibreOffice/25.8.3.2$Linux_X86_64 LibreOffice_project/580$Build-2</Application>
  <AppVersion>15.0000</AppVersion>
  <Pages>7</Pages>
  <Words>3187</Words>
  <Characters>22738</Characters>
  <CharactersWithSpaces>26251</CharactersWithSpaces>
  <Paragraphs>215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2026-08-24T08:15:42Z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