
<file path=[Content_Types].xml><?xml version="1.0" encoding="utf-8"?>
<Types xmlns="http://schemas.openxmlformats.org/package/2006/content-types">
  <Default Extension="svg" ContentType="image/svg+xml"/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u w:val="single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u w:val="single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u w:val="single"/>
          <w:lang w:eastAsia="ru-RU"/>
        </w:rPr>
      </w:r>
    </w:p>
    <w:p>
      <w:pPr>
        <w:ind w:left="-709" w:right="0" w:firstLine="567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u w:val="single"/>
          <w:lang w:eastAsia="ru-RU"/>
        </w:rPr>
        <w:t xml:space="preserve">Обоснование начальной (максимальной ) цены государственного контракта. </w:t>
      </w:r>
      <w:r>
        <w:rPr>
          <w:rFonts w:ascii="Times New Roman" w:hAnsi="Times New Roman" w:eastAsia="Times New Roman" w:cs="Times New Roman"/>
          <w:b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b/>
          <w:sz w:val="24"/>
          <w:szCs w:val="24"/>
          <w:u w:val="single"/>
        </w:rPr>
      </w:r>
    </w:p>
    <w:p>
      <w:pPr>
        <w:ind w:left="-709" w:right="0" w:firstLine="567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-709" w:right="0" w:firstLine="567"/>
        <w:jc w:val="both"/>
        <w:spacing w:after="0" w:line="276" w:lineRule="auto"/>
        <w:rPr>
          <w:rFonts w:ascii="Times New Roman" w:hAnsi="Times New Roman" w:eastAsia="Times New Roman" w:cs="Times New Roman"/>
          <w:sz w:val="22"/>
          <w:szCs w:val="22"/>
        </w:rPr>
        <w:outlineLvl w:val="0"/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В целях обоснования стоимости услуг, которая будет использоваться при формировании начальной цены подлежащих к заключению государственных контрактов, ТУ Росимущества в Самарской области руководствовалось Методическими рекомендациями по применению методов о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 г.        № 567 (далее – Методические рекомендации).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</w:r>
    </w:p>
    <w:p>
      <w:pPr>
        <w:ind w:left="-709" w:right="0" w:firstLine="567"/>
        <w:jc w:val="both"/>
        <w:spacing w:after="0" w:line="276" w:lineRule="auto"/>
        <w:rPr>
          <w:rFonts w:ascii="Times New Roman" w:hAnsi="Times New Roman" w:eastAsia="Times New Roman" w:cs="Times New Roman"/>
          <w:sz w:val="22"/>
          <w:szCs w:val="22"/>
        </w:rPr>
        <w:outlineLvl w:val="0"/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В со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ответствии с п. 3.1 раздела </w:t>
      </w:r>
      <w:r>
        <w:rPr>
          <w:rFonts w:ascii="Times New Roman" w:hAnsi="Times New Roman" w:eastAsia="Times New Roman" w:cs="Times New Roman"/>
          <w:sz w:val="22"/>
          <w:szCs w:val="22"/>
          <w:lang w:val="en-US" w:eastAsia="ru-RU"/>
        </w:rPr>
        <w:t xml:space="preserve">III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 Методических рекомендаций метод сопоставимых рыночных цен (анализа рынка) заключается в установлении начальной максимальной цены контракта (далее – НМЦК) на основании информации о рыночных ценах (далее - ценовая информация) 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идентичных товаров, работ, услуг, планируемых к закупкам, или при их отсутствии однородных товаров, работ, услуг.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</w:r>
    </w:p>
    <w:p>
      <w:pPr>
        <w:ind w:left="-709" w:right="0" w:firstLine="567"/>
        <w:jc w:val="both"/>
        <w:spacing w:after="0" w:line="276" w:lineRule="auto"/>
        <w:rPr>
          <w:rFonts w:ascii="Times New Roman" w:hAnsi="Times New Roman" w:eastAsia="Times New Roman" w:cs="Times New Roman"/>
          <w:sz w:val="22"/>
          <w:szCs w:val="22"/>
        </w:rPr>
        <w:outlineLvl w:val="0"/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В соответствии с п. 3.2 раздела </w:t>
      </w:r>
      <w:r>
        <w:rPr>
          <w:rFonts w:ascii="Times New Roman" w:hAnsi="Times New Roman" w:eastAsia="Times New Roman" w:cs="Times New Roman"/>
          <w:sz w:val="22"/>
          <w:szCs w:val="22"/>
          <w:lang w:val="en-US" w:eastAsia="ru-RU"/>
        </w:rPr>
        <w:t xml:space="preserve">III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 Методических рекомендаций метод сопоставимых рыночных цен (анализа рынка) является приоритетным для опреде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ления и обоснования НМЦК.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</w:r>
    </w:p>
    <w:p>
      <w:pPr>
        <w:ind w:left="-709" w:right="0" w:firstLine="567"/>
        <w:jc w:val="both"/>
        <w:spacing w:after="0" w:line="276" w:lineRule="auto"/>
        <w:rPr>
          <w:rFonts w:ascii="Times New Roman" w:hAnsi="Times New Roman" w:eastAsia="Times New Roman" w:cs="Times New Roman"/>
          <w:bCs/>
          <w:sz w:val="22"/>
          <w:szCs w:val="22"/>
        </w:rPr>
        <w:outlineLvl w:val="0"/>
      </w:pPr>
      <w:r>
        <w:rPr>
          <w:rFonts w:ascii="Times New Roman" w:hAnsi="Times New Roman" w:eastAsia="Times New Roman" w:cs="Times New Roman"/>
          <w:bCs/>
          <w:sz w:val="22"/>
          <w:szCs w:val="22"/>
          <w:lang w:eastAsia="ru-RU"/>
        </w:rPr>
        <w:t xml:space="preserve">В целях получения ценовой информации в отношении услуги д</w:t>
      </w:r>
      <w:r>
        <w:rPr>
          <w:rFonts w:ascii="Times New Roman" w:hAnsi="Times New Roman" w:eastAsia="Times New Roman" w:cs="Times New Roman"/>
          <w:bCs/>
          <w:sz w:val="22"/>
          <w:szCs w:val="22"/>
          <w:lang w:eastAsia="ru-RU"/>
        </w:rPr>
        <w:t xml:space="preserve">ля определения НМЦК направлены запросы о предоставлении ценовой информации шести потенциальным исполнителям, обладающим опытом поставок соответствующих услуг.</w:t>
      </w:r>
      <w:r>
        <w:rPr>
          <w:rFonts w:ascii="Times New Roman" w:hAnsi="Times New Roman" w:eastAsia="Times New Roman" w:cs="Times New Roman"/>
          <w:bCs/>
          <w:sz w:val="22"/>
          <w:szCs w:val="22"/>
        </w:rPr>
      </w:r>
      <w:r>
        <w:rPr>
          <w:rFonts w:ascii="Times New Roman" w:hAnsi="Times New Roman" w:eastAsia="Times New Roman" w:cs="Times New Roman"/>
          <w:bCs/>
          <w:sz w:val="22"/>
          <w:szCs w:val="22"/>
        </w:rPr>
      </w:r>
    </w:p>
    <w:p>
      <w:pPr>
        <w:ind w:left="-709" w:right="0" w:firstLine="567"/>
        <w:jc w:val="both"/>
        <w:spacing w:after="0" w:line="276" w:lineRule="auto"/>
        <w:rPr>
          <w:rFonts w:ascii="Times New Roman" w:hAnsi="Times New Roman" w:eastAsia="Times New Roman" w:cs="Times New Roman"/>
          <w:bCs/>
          <w:sz w:val="22"/>
          <w:szCs w:val="22"/>
        </w:rPr>
        <w:outlineLvl w:val="0"/>
      </w:pPr>
      <w:r>
        <w:rPr>
          <w:rFonts w:ascii="Times New Roman" w:hAnsi="Times New Roman" w:eastAsia="Times New Roman" w:cs="Times New Roman"/>
          <w:bCs/>
          <w:sz w:val="22"/>
          <w:szCs w:val="22"/>
          <w:lang w:eastAsia="ru-RU"/>
        </w:rPr>
        <w:t xml:space="preserve">В результате анализа представленной по запросам информации с учетом рекомендаций, изложенных в п.</w:t>
      </w:r>
      <w:r>
        <w:rPr>
          <w:rFonts w:ascii="Times New Roman" w:hAnsi="Times New Roman" w:eastAsia="Times New Roman" w:cs="Times New Roman"/>
          <w:bCs/>
          <w:sz w:val="22"/>
          <w:szCs w:val="22"/>
          <w:lang w:eastAsia="ru-RU"/>
        </w:rPr>
        <w:t xml:space="preserve"> 3.19, п. 3.20.2 раздела </w:t>
      </w:r>
      <w:r>
        <w:rPr>
          <w:rFonts w:ascii="Times New Roman" w:hAnsi="Times New Roman" w:eastAsia="Times New Roman" w:cs="Times New Roman"/>
          <w:bCs/>
          <w:sz w:val="22"/>
          <w:szCs w:val="22"/>
          <w:lang w:val="en-US" w:eastAsia="ru-RU"/>
        </w:rPr>
        <w:t xml:space="preserve">III</w:t>
      </w:r>
      <w:r>
        <w:rPr>
          <w:rFonts w:ascii="Times New Roman" w:hAnsi="Times New Roman" w:eastAsia="Times New Roman" w:cs="Times New Roman"/>
          <w:bCs/>
          <w:sz w:val="22"/>
          <w:szCs w:val="22"/>
          <w:lang w:eastAsia="ru-RU"/>
        </w:rPr>
        <w:t xml:space="preserve"> Методических рекомендаций для расчетов единицы услуги использовались предложения четырех потенциальных исполнителей.</w:t>
      </w:r>
      <w:r>
        <w:rPr>
          <w:rFonts w:ascii="Times New Roman" w:hAnsi="Times New Roman" w:eastAsia="Times New Roman" w:cs="Times New Roman"/>
          <w:bCs/>
          <w:sz w:val="22"/>
          <w:szCs w:val="22"/>
        </w:rPr>
      </w:r>
      <w:r>
        <w:rPr>
          <w:rFonts w:ascii="Times New Roman" w:hAnsi="Times New Roman" w:eastAsia="Times New Roman" w:cs="Times New Roman"/>
          <w:bCs/>
          <w:sz w:val="22"/>
          <w:szCs w:val="22"/>
        </w:rPr>
      </w:r>
    </w:p>
    <w:p>
      <w:pPr>
        <w:ind w:left="-709" w:right="0" w:firstLine="567"/>
        <w:jc w:val="both"/>
        <w:spacing w:after="0" w:line="276" w:lineRule="auto"/>
        <w:rPr>
          <w:rFonts w:ascii="Times New Roman" w:hAnsi="Times New Roman" w:eastAsia="Times New Roman" w:cs="Times New Roman"/>
          <w:sz w:val="22"/>
          <w:szCs w:val="22"/>
        </w:rPr>
        <w:outlineLvl w:val="0"/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Заказчиком на основании полученных ответов на ЗЦИ был произведен расчет цены единицы услуги (отчета об оценке). 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</w:r>
    </w:p>
    <w:p>
      <w:pPr>
        <w:ind w:left="-709" w:right="0" w:firstLine="567"/>
        <w:jc w:val="both"/>
        <w:spacing w:after="0" w:line="276" w:lineRule="auto"/>
        <w:rPr>
          <w:rFonts w:ascii="Times New Roman" w:hAnsi="Times New Roman" w:eastAsia="Times New Roman" w:cs="Times New Roman"/>
          <w:bCs/>
          <w:sz w:val="22"/>
          <w:szCs w:val="22"/>
        </w:rPr>
        <w:outlineLvl w:val="0"/>
      </w:pPr>
      <w:r>
        <w:rPr>
          <w:rFonts w:ascii="Times New Roman" w:hAnsi="Times New Roman" w:eastAsia="Times New Roman" w:cs="Times New Roman"/>
          <w:bCs/>
          <w:sz w:val="22"/>
          <w:szCs w:val="22"/>
          <w:lang w:eastAsia="ru-RU"/>
        </w:rPr>
        <w:t xml:space="preserve">На основании полученных результатов был произведен расчет НМЦК государственного контракта по оказанию услуг по оценке 6 объектов, оценка которых планируется в рамках заключаемого государственного контракта.</w:t>
      </w:r>
      <w:r>
        <w:rPr>
          <w:rFonts w:ascii="Times New Roman" w:hAnsi="Times New Roman" w:eastAsia="Times New Roman" w:cs="Times New Roman"/>
          <w:bCs/>
          <w:sz w:val="22"/>
          <w:szCs w:val="22"/>
        </w:rPr>
      </w:r>
      <w:r>
        <w:rPr>
          <w:rFonts w:ascii="Times New Roman" w:hAnsi="Times New Roman" w:eastAsia="Times New Roman" w:cs="Times New Roman"/>
          <w:bCs/>
          <w:sz w:val="22"/>
          <w:szCs w:val="22"/>
        </w:rPr>
      </w:r>
    </w:p>
    <w:p>
      <w:pPr>
        <w:ind w:left="-709" w:right="0" w:firstLine="567"/>
        <w:jc w:val="both"/>
        <w:spacing w:after="0" w:line="276" w:lineRule="auto"/>
        <w:rPr>
          <w:rFonts w:ascii="Times New Roman" w:hAnsi="Times New Roman" w:eastAsia="Times New Roman" w:cs="Times New Roman"/>
          <w:bCs/>
          <w:sz w:val="22"/>
          <w:szCs w:val="22"/>
        </w:rPr>
        <w:outlineLvl w:val="0"/>
      </w:pPr>
      <w:r>
        <w:rPr>
          <w:rFonts w:ascii="Times New Roman" w:hAnsi="Times New Roman" w:eastAsia="Times New Roman" w:cs="Times New Roman"/>
          <w:bCs/>
          <w:sz w:val="22"/>
          <w:szCs w:val="22"/>
          <w:lang w:eastAsia="ru-RU"/>
        </w:rPr>
      </w:r>
      <w:r>
        <w:rPr>
          <w:rFonts w:ascii="Times New Roman" w:hAnsi="Times New Roman" w:eastAsia="Times New Roman" w:cs="Times New Roman"/>
          <w:bCs/>
          <w:sz w:val="22"/>
          <w:szCs w:val="22"/>
        </w:rPr>
      </w:r>
      <w:r>
        <w:rPr>
          <w:rFonts w:ascii="Times New Roman" w:hAnsi="Times New Roman" w:eastAsia="Times New Roman" w:cs="Times New Roman"/>
          <w:bCs/>
          <w:sz w:val="22"/>
          <w:szCs w:val="22"/>
        </w:rPr>
      </w:r>
    </w:p>
    <w:p>
      <w:pPr>
        <w:ind w:left="-709" w:right="0" w:firstLine="567"/>
        <w:jc w:val="both"/>
        <w:spacing w:after="0" w:line="276" w:lineRule="auto"/>
        <w:rPr>
          <w:rFonts w:ascii="Times New Roman" w:hAnsi="Times New Roman" w:eastAsia="Times New Roman" w:cs="Times New Roman"/>
          <w:bCs/>
          <w:sz w:val="22"/>
          <w:szCs w:val="22"/>
        </w:rPr>
        <w:outlineLvl w:val="0"/>
      </w:pPr>
      <w:r>
        <w:rPr>
          <w:rFonts w:ascii="Times New Roman" w:hAnsi="Times New Roman" w:eastAsia="Times New Roman" w:cs="Times New Roman"/>
          <w:bCs/>
          <w:sz w:val="22"/>
          <w:szCs w:val="22"/>
          <w:lang w:eastAsia="ru-RU"/>
        </w:rPr>
        <w:t xml:space="preserve">Таким образом, стоимость 1 отчета об оценке в соответствии с приведенным обоснованием составляет:</w:t>
      </w:r>
      <w:r>
        <w:rPr>
          <w:rFonts w:ascii="Times New Roman" w:hAnsi="Times New Roman" w:eastAsia="Times New Roman" w:cs="Times New Roman"/>
          <w:bCs/>
          <w:sz w:val="22"/>
          <w:szCs w:val="22"/>
        </w:rPr>
      </w:r>
      <w:r>
        <w:rPr>
          <w:rFonts w:ascii="Times New Roman" w:hAnsi="Times New Roman" w:eastAsia="Times New Roman" w:cs="Times New Roman"/>
          <w:bCs/>
          <w:sz w:val="22"/>
          <w:szCs w:val="22"/>
        </w:rPr>
      </w:r>
    </w:p>
    <w:tbl>
      <w:tblPr>
        <w:tblW w:w="5385" w:type="pct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707"/>
        <w:gridCol w:w="694"/>
        <w:gridCol w:w="662"/>
        <w:gridCol w:w="766"/>
        <w:gridCol w:w="708"/>
        <w:gridCol w:w="849"/>
        <w:gridCol w:w="1157"/>
        <w:gridCol w:w="1111"/>
        <w:gridCol w:w="1019"/>
        <w:gridCol w:w="1392"/>
      </w:tblGrid>
      <w:tr>
        <w:tblPrEx/>
        <w:trPr>
          <w:trHeight w:val="792"/>
          <w:tblHeader/>
        </w:trPr>
        <w:tc>
          <w:tcPr>
            <w:shd w:val="clear" w:color="auto" w:fill="auto"/>
            <w:tcW w:w="1707" w:type="dxa"/>
            <w:textDirection w:val="lrTb"/>
            <w:noWrap w:val="false"/>
          </w:tcPr>
          <w:p>
            <w:pPr>
              <w:ind w:left="-12" w:right="-108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gridSpan w:val="4"/>
            <w:tcW w:w="283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Коммерческие предложения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gridSpan w:val="3"/>
            <w:shd w:val="clear" w:color="auto" w:fill="auto"/>
            <w:tcW w:w="31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Однородность совокупности значений выявленных цен, используемых в расчете НМЦК, ЦКЕП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gridSpan w:val="2"/>
            <w:shd w:val="clear" w:color="auto" w:fill="auto"/>
            <w:tcW w:w="24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НМЦК, ЦКЕП, определяемая методом сопоставимых рыночных цен (анализа рынка)*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73"/>
        </w:trPr>
        <w:tc>
          <w:tcPr>
            <w:shd w:val="clear" w:color="auto" w:fill="auto"/>
            <w:tcW w:w="1707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Тип объекта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ООО "Территориальное агентство оценки"     от 09.02.2026   № 30 (вх. № 63-2936от 09.02.2026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2" w:type="dxa"/>
            <w:vAlign w:val="center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ИП Новиков А.В.  от09.02.2026г. № 08  (вх. № 63-2890 от 09.02.2026 г.)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6" w:type="dxa"/>
            <w:vAlign w:val="center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ООО "С.Э.Р." от 09.02.2026г. (вх. № 63-3174 от 11.02.2026)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ООО "Независимый кадастровый центр"от 09.02.2026 г.  № 18 (вх. № 63-2887  от 09.02.2026 г.)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shd w:val="clear" w:color="auto" w:fill="auto"/>
            <w:tcW w:w="84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ind w:left="3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ind w:left="3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ind w:left="3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ind w:left="3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Среднее квадратичное отклоне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ind w:left="3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ние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266700</wp:posOffset>
                      </wp:positionV>
                      <wp:extent cx="494665" cy="175895"/>
                      <wp:effectExtent l="0" t="0" r="635" b="0"/>
                      <wp:wrapNone/>
                      <wp:docPr id="1" name="Рисунок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Picture 2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8">
                                <a:extLst>
                                  <a:ext uri="{96DAC541-7B7A-43D3-8B79-37D633B846F1}">
                                    <asvg:svgBlip xmlns:asvg="http://schemas.microsoft.com/office/drawing/2016/SVG/main" r:embed="rId9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494665" cy="1758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251664384;o:allowoverlap:true;o:allowincell:true;mso-position-horizontal-relative:text;margin-left:-4.65pt;mso-position-horizontal:absolute;mso-position-vertical-relative:text;margin-top:21.00pt;mso-position-vertical:absolute;width:38.95pt;height:13.85pt;mso-wrap-distance-left:9.00pt;mso-wrap-distance-top:0.00pt;mso-wrap-distance-right:9.00pt;mso-wrap-distance-bottom:0.00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shd w:val="clear" w:color="auto" w:fill="auto"/>
            <w:tcW w:w="115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Средняя арифметическая цена за единицу     &lt;ц&gt;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shd w:val="clear" w:color="auto" w:fill="auto"/>
            <w:tcW w:w="1111" w:type="dxa"/>
            <w:vAlign w:val="center"/>
            <w:textDirection w:val="lrTb"/>
            <w:noWrap w:val="false"/>
          </w:tcPr>
          <w:p>
            <w:pPr>
              <w:ind w:left="-88" w:right="-10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ind w:left="-88" w:right="-10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ind w:left="-88" w:right="-10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ind w:left="-88" w:right="-10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ind w:left="-88" w:right="-10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ind w:left="-88" w:right="-10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ind w:left="-88" w:right="-10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ind w:left="-88" w:right="-10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ind w:left="-88" w:right="-10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ind w:left="-88" w:right="-10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ind w:left="-88" w:right="-10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Коэффициент вариации цен V (%) </w:t>
            </w:r>
            <w:r>
              <w:rPr>
                <w:rFonts w:ascii="Times New Roman" w:hAnsi="Times New Roman"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(не должен превышать 33%)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ind w:left="-88" w:right="-10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67310</wp:posOffset>
                      </wp:positionV>
                      <wp:extent cx="607695" cy="288290"/>
                      <wp:effectExtent l="0" t="0" r="1905" b="0"/>
                      <wp:wrapNone/>
                      <wp:docPr id="2" name="Рисунок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" name="Picture 1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>
                                <a:extLst>
                                  <a:ext uri="{96DAC541-7B7A-43D3-8B79-37D633B846F1}">
                                    <asvg:svgBlip xmlns:asvg="http://schemas.microsoft.com/office/drawing/2016/SVG/main" r:embed="rId11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607695" cy="2882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position:absolute;z-index:251665408;o:allowoverlap:true;o:allowincell:true;mso-position-horizontal-relative:text;margin-left:-0.80pt;mso-position-horizontal:absolute;mso-position-vertical-relative:text;margin-top:5.30pt;mso-position-vertical:absolute;width:47.85pt;height:22.70pt;mso-wrap-distance-left:9.00pt;mso-wrap-distance-top:0.00pt;mso-wrap-distance-right:9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shd w:val="clear" w:color="auto" w:fill="auto"/>
            <w:tcW w:w="10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179070</wp:posOffset>
                      </wp:positionH>
                      <wp:positionV relativeFrom="paragraph">
                        <wp:posOffset>1892300</wp:posOffset>
                      </wp:positionV>
                      <wp:extent cx="88900" cy="130810"/>
                      <wp:effectExtent l="0" t="0" r="6350" b="2540"/>
                      <wp:wrapNone/>
                      <wp:docPr id="3" name="Рисунок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" name="Picture 6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2">
                                <a:extLst>
                                  <a:ext uri="{96DAC541-7B7A-43D3-8B79-37D633B846F1}">
                                    <asvg:svgBlip xmlns:asvg="http://schemas.microsoft.com/office/drawing/2016/SVG/main" r:embed="rId13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160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position:absolute;z-index:251667456;o:allowoverlap:true;o:allowincell:true;mso-position-horizontal-relative:text;margin-left:14.10pt;mso-position-horizontal:absolute;mso-position-vertical-relative:text;margin-top:149.00pt;mso-position-vertical:absolute;width:7.00pt;height:10.30pt;mso-wrap-distance-left:9.00pt;mso-wrap-distance-top:0.00pt;mso-wrap-distance-right:9.00pt;mso-wrap-distance-bottom:0.0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Расчет ЦКЕП по формуле                             v - количество (объем) закупаемого товара (работы, услуги);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br/>
              <w:t xml:space="preserve">n - количество значений, используемых в расчете;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br/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i - номер источника ценовой информации;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br/>
              <w:t xml:space="preserve">     - цена единицы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-115316</wp:posOffset>
                      </wp:positionH>
                      <wp:positionV relativeFrom="paragraph">
                        <wp:posOffset>74382</wp:posOffset>
                      </wp:positionV>
                      <wp:extent cx="709419" cy="303399"/>
                      <wp:effectExtent l="6350" t="6350" r="6350" b="6350"/>
                      <wp:wrapNone/>
                      <wp:docPr id="4" name="Рисунок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" name="Picture 5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4">
                                <a:extLst>
                                  <a:ext uri="{96DAC541-7B7A-43D3-8B79-37D633B846F1}">
                                    <asvg:svgBlip xmlns:asvg="http://schemas.microsoft.com/office/drawing/2016/SVG/main" r:embed="rId15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709418" cy="30339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position:absolute;z-index:251666432;o:allowoverlap:true;o:allowincell:true;mso-position-horizontal-relative:text;margin-left:-9.08pt;mso-position-horizontal:absolute;mso-position-vertical-relative:text;margin-top:5.86pt;mso-position-vertical:absolute;width:55.86pt;height:23.89pt;mso-wrap-distance-left:9.00pt;mso-wrap-distance-top:0.00pt;mso-wrap-distance-right:9.00pt;mso-wrap-distance-bottom:0.0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shd w:val="clear" w:color="auto" w:fill="auto"/>
            <w:tcW w:w="13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Цена за единицу (отчет об оцен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ке) (руб.)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>
          <w:trHeight w:val="32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7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  <w:lang w:eastAsia="ru-RU"/>
              </w:rPr>
              <w:t xml:space="preserve">Доля РФ в праве общей долевой собственности в квартире</w:t>
            </w: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5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2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7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1/2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5600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5000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8500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7000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1560,72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5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6525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23,92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1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6 525,00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6 525,00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32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7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1/3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5600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5000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8500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3500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2095,23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5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5650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37,08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1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5 650,00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5 650,00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32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7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2/3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5600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5000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8500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3500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2095,23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5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5650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37,08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1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5 650,00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5 650,00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328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7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7000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5000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8500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7000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1436,14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5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6875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20,89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1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6 875,00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6 875,00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32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7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  <w:lang w:eastAsia="ru-RU"/>
              </w:rPr>
              <w:t xml:space="preserve">Земли промышленности, энергетики,    </w:t>
            </w: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  <w:lang w:eastAsia="ru-RU"/>
              </w:rPr>
              <w:br/>
              <w:t xml:space="preserve">транспорта, связи, радиовещания,     </w:t>
            </w: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  <w:lang w:eastAsia="ru-RU"/>
              </w:rPr>
              <w:br/>
              <w:t xml:space="preserve">телевидения, информатики, земли для  </w:t>
            </w: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  <w:lang w:eastAsia="ru-RU"/>
              </w:rPr>
              <w:br/>
            </w: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  <w:lang w:eastAsia="ru-RU"/>
              </w:rPr>
              <w:t xml:space="preserve">обеспечения космической              </w:t>
            </w: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  <w:lang w:eastAsia="ru-RU"/>
              </w:rPr>
              <w:br/>
              <w:t xml:space="preserve">деятельности, земли обороны,         </w:t>
            </w: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  <w:lang w:eastAsia="ru-RU"/>
              </w:rPr>
              <w:br/>
              <w:t xml:space="preserve">безопасности и земли иного           </w:t>
            </w: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  <w:lang w:eastAsia="ru-RU"/>
              </w:rPr>
              <w:br/>
              <w:t xml:space="preserve">специального назначения:</w:t>
            </w: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2" w:type="dxa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6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57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11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19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92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32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7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- до 0,5 га (включительно)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22500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20000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22500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31500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5055,94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5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24125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20,96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1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24 125,00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24 125,00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32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7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- от 0,51 га до 1,0 га (включительно)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22500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30000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22500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31500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4802,34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5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26625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18,04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1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26 625,00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26 625,00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32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7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- от 1,01 га до 5,0 га (включительно)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56100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40000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56100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73500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13681,47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5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56425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24,25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1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56 425,00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56 425,00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32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7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- от 5,01 га до 10,0 га (включительно)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56100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50000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81600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105000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25248,42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5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73175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34,50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1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73 175,00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73 175,00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32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7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- свыше 10,0 га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56100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64000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113900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147000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42954,12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5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95250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45,10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1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95 250,00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95 250,00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32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7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  <w:lang w:eastAsia="ru-RU"/>
              </w:rPr>
              <w:t xml:space="preserve">Земли особо охраняемых территорий и  объектов:</w:t>
            </w: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2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6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57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1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19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92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>
          <w:trHeight w:val="32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7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- до 0,5 га (включительно)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22500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30000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22500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31500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4802,34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5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26625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18,04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1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26 625,00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26 625,00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32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7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- от 0,51 га до 1,0 га (включительно)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22500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40000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22500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31500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8400,15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5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29125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28,84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1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29 125,00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29 125,00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32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7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- от 1,01 га до 5,0 га (включительно)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56100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50000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56100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73500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10133,24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5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58925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17,20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1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58 925,00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58 925,00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32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7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- от 5,01 га до 10,0 га (включительно)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56100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60000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81600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105000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22538,47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5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75675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29,78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1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75 675,00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75 675,00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32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7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- свыше 10,0 га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56100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70000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113900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147000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41581,93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5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96750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42,98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1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96 750,00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96 750,00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32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7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  <w:lang w:eastAsia="ru-RU"/>
              </w:rPr>
              <w:t xml:space="preserve">Земли населенных пунктов:</w:t>
            </w: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2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6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57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1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19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92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>
          <w:trHeight w:val="32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7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- до 0,5 га (включительно)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22500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20000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22500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31500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5055,94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5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24125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20,96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1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24 125,00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24 125,00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32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7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- от 0,51 га до 1,0 га (включительно)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22500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30000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22500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31500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4802,34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5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26625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18,04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1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26 625,00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26 625,00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32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7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- от 1,01 га до 5,0 га (включительно)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56100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40000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56100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73500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13681,47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5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56425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24,25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1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56 425,00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56 425,00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32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7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- от 5,01 га до 10,0 га (включительно)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56100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50000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81600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10500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29412,07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5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49550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59,36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1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49 550,00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49 550,00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32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7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- свыше 10,0 га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56100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64000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113900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147000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42954,12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5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95250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45,10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1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95 250,00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95 250,00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32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7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  <w:lang w:eastAsia="ru-RU"/>
              </w:rPr>
              <w:t xml:space="preserve">Земли сельскохозяйственного назначения:</w:t>
            </w: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2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6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57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1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19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92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>
          <w:trHeight w:val="32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7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- до 0,5 га (включительно)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22500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20000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22500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147000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62677,75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5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53000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118,26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1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53 000,00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53 000,00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32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7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- от 0,51 га до 1,0 га (включительно)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22500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30000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22500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21000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4062,02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5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24000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16,93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1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24 000,00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24 000,00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32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7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- от 1,01 га до 5,0 га (включительно)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56100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40000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56100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42000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8756,14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5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48550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18,04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1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48 550,00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48 550,00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32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7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- от 5,01 га до 20,0 га (включительно)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66300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50000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66300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84000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13886,32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5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66650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20,83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1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66 650,00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66 650,00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32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7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- от 20,1 га до 50,0 га (включительно)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81600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60000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81600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105000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18378,52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5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82050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22,40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1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82 050,00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82 050,00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32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7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- от 50,1 га до 100,0 га (включительно)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81600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80000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88400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115000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16246,74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5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91250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17,80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1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91 250,00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91 250,00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32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7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- свыше 100,0 га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  <w:lang w:eastAsia="ru-RU"/>
              </w:rPr>
            </w:r>
          </w:p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81600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90000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113900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147000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29307,04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5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108125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27,10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1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108 125,00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108 125,00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32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7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  <w:lang w:eastAsia="ru-RU"/>
              </w:rPr>
              <w:t xml:space="preserve">Нежилое здание и помещение (торговое, административное, производственное, складское и иного назначения):</w:t>
            </w: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2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6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57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1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19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92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>
          <w:trHeight w:val="32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7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17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- до 100 кв. м (включительно)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22500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2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25000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6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22500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31500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4250,00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57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25375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1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16,75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19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25 375,00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92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25 375,00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32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7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17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- от 101 до 500 кв. м (включительно)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22500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2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25000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6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22500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31500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4250,00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57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25375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1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16,75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19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25 375,00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92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25 375,00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32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7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17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- от 501 до 1 000 кв. м (включительно)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39100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2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25000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6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39100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52500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11228,65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57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38925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1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28,85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19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38 925,00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92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38 925,00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32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7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17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- от 1 001 до 5 000 кв. 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39100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2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40000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6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51000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63000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11208,74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57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48275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1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23,22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19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48 275,00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92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48 275,00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32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7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17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- от 5 001 до 10 000 кв. м (включительно)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51000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2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40000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6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61200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84000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18751,27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57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59050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1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31,75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19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59 050,00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92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59 050,00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177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7" w:type="dxa"/>
            <w:vAlign w:val="center"/>
            <w:textDirection w:val="lrTb"/>
            <w:noWrap w:val="false"/>
          </w:tcPr>
          <w:p>
            <w:pPr>
              <w:ind w:left="0" w:right="-108"/>
              <w:jc w:val="left"/>
              <w:spacing w:after="0" w:line="17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- свыше 10 000 кв. 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51000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2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50000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6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69700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94500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20869,28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57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66300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1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31,48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19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66 300,00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92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66 300,00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32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7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17" w:lineRule="atLeast"/>
              <w:rPr>
                <w:rFonts w:ascii="Times New Roman" w:hAnsi="Times New Roman" w:eastAsia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  <w:lang w:eastAsia="ru-RU"/>
              </w:rPr>
              <w:t xml:space="preserve">Сооружение </w:t>
            </w: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17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2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17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6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17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17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17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57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17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1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17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19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17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92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17" w:lineRule="atLeas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>
          <w:trHeight w:val="32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7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17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- до 100 кв. м (включительно)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22500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2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25000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6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22500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31500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4250,00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57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25375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1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16,75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19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25 375,00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92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25 375,00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32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7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17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- от 101 до 500 кв. м (включительно)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22500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2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25000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6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22500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31500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4250,00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57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25375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1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16,75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19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25 375,00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92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25 375,00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32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7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17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- от 501 до 1 000 кв. м (включительно)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39100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2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25000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6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39100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52500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11228,65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57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38925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1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28,85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19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38 925,00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92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38 925,00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32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7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17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- от 1 001 до 5 000 кв.м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51000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2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40000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6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51000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63000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9394,15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57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51250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1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18,33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19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51 250,00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92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51 250,00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32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7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17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- от 5 001 до 10 000 кв. м (включительно)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51000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2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40000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6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61200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84000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18751,27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57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59050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1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31,75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19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59 050,00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92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59 050,00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32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7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17" w:lineRule="atLeas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- свыше 10 000 кв. 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1200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2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0000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6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9700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4500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8907,58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57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8850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1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7,46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19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8 850,00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92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  <w:t xml:space="preserve">8 850,00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</w:tbl>
    <w:p>
      <w:pPr>
        <w:ind w:firstLine="0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16"/>
          <w:szCs w:val="16"/>
        </w:rPr>
      </w:pPr>
      <w:r>
        <w:rPr>
          <w:rFonts w:ascii="Times New Roman" w:hAnsi="Times New Roman" w:eastAsia="Times New Roman" w:cs="Times New Roman"/>
          <w:bCs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bCs/>
          <w:sz w:val="16"/>
          <w:szCs w:val="16"/>
        </w:rPr>
      </w:r>
      <w:r>
        <w:rPr>
          <w:rFonts w:ascii="Times New Roman" w:hAnsi="Times New Roman" w:eastAsia="Times New Roman" w:cs="Times New Roman"/>
          <w:bCs/>
          <w:sz w:val="16"/>
          <w:szCs w:val="16"/>
        </w:rPr>
      </w:r>
    </w:p>
    <w:tbl>
      <w:tblPr>
        <w:tblStyle w:val="711"/>
        <w:tblW w:w="0" w:type="auto"/>
        <w:tblInd w:w="-709" w:type="dxa"/>
        <w:tblLayout w:type="fixed"/>
        <w:tblLook w:val="04A0" w:firstRow="1" w:lastRow="0" w:firstColumn="1" w:lastColumn="0" w:noHBand="0" w:noVBand="1"/>
      </w:tblPr>
      <w:tblGrid>
        <w:gridCol w:w="992"/>
        <w:gridCol w:w="2998"/>
        <w:gridCol w:w="1993"/>
        <w:gridCol w:w="2112"/>
        <w:gridCol w:w="1969"/>
      </w:tblGrid>
      <w:tr>
        <w:tblPrEx/>
        <w:trPr/>
        <w:tc>
          <w:tcPr>
            <w:tcW w:w="992" w:type="dxa"/>
            <w:vAlign w:val="center"/>
            <w:textDirection w:val="lrTb"/>
            <w:noWrap w:val="false"/>
          </w:tcPr>
          <w:p>
            <w:pPr>
              <w:ind w:right="-108"/>
              <w:jc w:val="center"/>
              <w:spacing w:line="17" w:lineRule="atLeast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</w:p>
        </w:tc>
        <w:tc>
          <w:tcPr>
            <w:tcW w:w="2998" w:type="dxa"/>
            <w:vAlign w:val="center"/>
            <w:textDirection w:val="lrTb"/>
            <w:noWrap w:val="false"/>
          </w:tcPr>
          <w:p>
            <w:pPr>
              <w:ind w:right="-108"/>
              <w:jc w:val="center"/>
              <w:spacing w:line="17" w:lineRule="atLeast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Тип объекта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</w:p>
        </w:tc>
        <w:tc>
          <w:tcPr>
            <w:tcW w:w="1993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Площадь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</w:p>
        </w:tc>
        <w:tc>
          <w:tcPr>
            <w:tcW w:w="2112" w:type="dxa"/>
            <w:vAlign w:val="center"/>
            <w:textDirection w:val="lrTb"/>
            <w:noWrap w:val="false"/>
          </w:tcPr>
          <w:p>
            <w:pPr>
              <w:jc w:val="center"/>
              <w:spacing w:line="17" w:lineRule="atLeast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Категория объекта оценки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</w:p>
        </w:tc>
        <w:tc>
          <w:tcPr>
            <w:tcW w:w="1969" w:type="dxa"/>
            <w:vAlign w:val="center"/>
            <w:textDirection w:val="lrTb"/>
            <w:noWrap w:val="false"/>
          </w:tcPr>
          <w:p>
            <w:pPr>
              <w:jc w:val="both"/>
              <w:spacing w:line="17" w:lineRule="atLeast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Цена за единицу (отчет об оценке) (руб.)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tcW w:w="992" w:type="dxa"/>
            <w:textDirection w:val="lrTb"/>
            <w:noWrap w:val="false"/>
          </w:tcPr>
          <w:p>
            <w:pPr>
              <w:ind w:right="-108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tcW w:w="2998" w:type="dxa"/>
            <w:vAlign w:val="center"/>
            <w:textDirection w:val="lrTb"/>
            <w:noWrap w:val="false"/>
          </w:tcPr>
          <w:p>
            <w:pPr>
              <w:ind w:right="-108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нежилое здание (Ангар деревообрабатывающего цеха (пилорама)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tcW w:w="1993" w:type="dxa"/>
            <w:vAlign w:val="center"/>
            <w:textDirection w:val="lrTb"/>
            <w:noWrap w:val="false"/>
          </w:tcPr>
          <w:p>
            <w:pPr>
              <w:ind w:right="-108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481,8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tcW w:w="2112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- от 101 до 500 кв. м (включительно)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tcW w:w="1969" w:type="dxa"/>
            <w:vAlign w:val="center"/>
            <w:textDirection w:val="lrTb"/>
            <w:noWrap w:val="false"/>
          </w:tcPr>
          <w:p>
            <w:pPr>
              <w:ind w:right="-108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25 375,00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/>
        <w:tc>
          <w:tcPr>
            <w:tcW w:w="992" w:type="dxa"/>
            <w:textDirection w:val="lrTb"/>
            <w:noWrap w:val="false"/>
          </w:tcPr>
          <w:p>
            <w:pPr>
              <w:ind w:right="-108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tcW w:w="2998" w:type="dxa"/>
            <w:vAlign w:val="center"/>
            <w:textDirection w:val="lrTb"/>
            <w:noWrap w:val="false"/>
          </w:tcPr>
          <w:p>
            <w:pPr>
              <w:ind w:right="-108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сооружение (Топливно-заправочный пункт порта с 4 шт. резервуаров)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tcW w:w="1993" w:type="dxa"/>
            <w:vAlign w:val="center"/>
            <w:textDirection w:val="lrTb"/>
            <w:noWrap w:val="false"/>
          </w:tcPr>
          <w:p>
            <w:pPr>
              <w:ind w:right="-108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tcW w:w="2112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- до 100 кв. м (включительно)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tcW w:w="1969" w:type="dxa"/>
            <w:vAlign w:val="center"/>
            <w:textDirection w:val="lrTb"/>
            <w:noWrap w:val="false"/>
          </w:tcPr>
          <w:p>
            <w:pPr>
              <w:ind w:right="-108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25 375,00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/>
        <w:tc>
          <w:tcPr>
            <w:tcW w:w="992" w:type="dxa"/>
            <w:textDirection w:val="lrTb"/>
            <w:noWrap w:val="false"/>
          </w:tcPr>
          <w:p>
            <w:pPr>
              <w:ind w:right="-108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tcW w:w="2998" w:type="dxa"/>
            <w:vAlign w:val="center"/>
            <w:textDirection w:val="lrTb"/>
            <w:noWrap w:val="false"/>
          </w:tcPr>
          <w:p>
            <w:pPr>
              <w:ind w:right="-108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нежилое здание (Мастерская порта)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tcW w:w="1993" w:type="dxa"/>
            <w:vAlign w:val="center"/>
            <w:textDirection w:val="lrTb"/>
            <w:noWrap w:val="false"/>
          </w:tcPr>
          <w:p>
            <w:pPr>
              <w:ind w:right="-108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158,2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tcW w:w="21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от 101 до 500 кв. м (включительно)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tcW w:w="1969" w:type="dxa"/>
            <w:vAlign w:val="center"/>
            <w:textDirection w:val="lrTb"/>
            <w:noWrap w:val="false"/>
          </w:tcPr>
          <w:p>
            <w:pPr>
              <w:ind w:right="-108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25 375,00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/>
        <w:tc>
          <w:tcPr>
            <w:tcW w:w="992" w:type="dxa"/>
            <w:textDirection w:val="lrTb"/>
            <w:noWrap w:val="false"/>
          </w:tcPr>
          <w:p>
            <w:pPr>
              <w:ind w:right="-108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tcW w:w="2998" w:type="dxa"/>
            <w:vAlign w:val="center"/>
            <w:textDirection w:val="lrTb"/>
            <w:noWrap w:val="false"/>
          </w:tcPr>
          <w:p>
            <w:pPr>
              <w:ind w:right="-108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сооружение (Причал порта)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tcW w:w="1993" w:type="dxa"/>
            <w:vAlign w:val="center"/>
            <w:textDirection w:val="lrTb"/>
            <w:noWrap w:val="false"/>
          </w:tcPr>
          <w:p>
            <w:pPr>
              <w:ind w:right="-108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1045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tcW w:w="21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от 1 001 до 5 000 кв. 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tcW w:w="1969" w:type="dxa"/>
            <w:vAlign w:val="center"/>
            <w:textDirection w:val="lrTb"/>
            <w:noWrap w:val="false"/>
          </w:tcPr>
          <w:p>
            <w:pPr>
              <w:ind w:right="-108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51 250,00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/>
        <w:tc>
          <w:tcPr>
            <w:tcW w:w="992" w:type="dxa"/>
            <w:textDirection w:val="lrTb"/>
            <w:noWrap w:val="false"/>
          </w:tcPr>
          <w:p>
            <w:pPr>
              <w:ind w:right="-108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tcW w:w="2998" w:type="dxa"/>
            <w:vAlign w:val="center"/>
            <w:textDirection w:val="lrTb"/>
            <w:noWrap w:val="false"/>
          </w:tcPr>
          <w:p>
            <w:pPr>
              <w:ind w:right="-108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нежилое здание (Блок служебных и бытовых помещений порта)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tcW w:w="1993" w:type="dxa"/>
            <w:vAlign w:val="center"/>
            <w:textDirection w:val="lrTb"/>
            <w:noWrap w:val="false"/>
          </w:tcPr>
          <w:p>
            <w:pPr>
              <w:ind w:right="-108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327,6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tcW w:w="21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от 101 до 500 кв. м (включительно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tcW w:w="1969" w:type="dxa"/>
            <w:vAlign w:val="center"/>
            <w:textDirection w:val="lrTb"/>
            <w:noWrap w:val="false"/>
          </w:tcPr>
          <w:p>
            <w:pPr>
              <w:ind w:right="-108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25 375,00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/>
        <w:tc>
          <w:tcPr>
            <w:tcW w:w="992" w:type="dxa"/>
            <w:textDirection w:val="lrTb"/>
            <w:noWrap w:val="false"/>
          </w:tcPr>
          <w:p>
            <w:pPr>
              <w:ind w:right="-108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tcW w:w="2998" w:type="dxa"/>
            <w:vAlign w:val="center"/>
            <w:textDirection w:val="lrTb"/>
            <w:noWrap w:val="false"/>
          </w:tcPr>
          <w:p>
            <w:pPr>
              <w:ind w:right="-108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нежилое здание (Здание трансформаторной подстанции порта № 303)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tcW w:w="1993" w:type="dxa"/>
            <w:vAlign w:val="center"/>
            <w:textDirection w:val="lrTb"/>
            <w:noWrap w:val="false"/>
          </w:tcPr>
          <w:p>
            <w:pPr>
              <w:ind w:right="-108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40,2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tcW w:w="2112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- до 100 кв. м (включительно)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tcW w:w="1969" w:type="dxa"/>
            <w:vAlign w:val="center"/>
            <w:textDirection w:val="lrTb"/>
            <w:noWrap w:val="false"/>
          </w:tcPr>
          <w:p>
            <w:pPr>
              <w:ind w:right="-108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25 375,00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/>
        <w:tc>
          <w:tcPr>
            <w:tcW w:w="992" w:type="dxa"/>
            <w:textDirection w:val="lrTb"/>
            <w:noWrap w:val="false"/>
          </w:tcPr>
          <w:p>
            <w:pPr>
              <w:ind w:right="-108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tcW w:w="2998" w:type="dxa"/>
            <w:vAlign w:val="center"/>
            <w:textDirection w:val="lrTb"/>
            <w:noWrap w:val="false"/>
          </w:tcPr>
          <w:p>
            <w:pPr>
              <w:ind w:right="-108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нежилое здание (Эллинг для отстоя судов)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tcW w:w="1993" w:type="dxa"/>
            <w:vAlign w:val="center"/>
            <w:textDirection w:val="lrTb"/>
            <w:noWrap w:val="false"/>
          </w:tcPr>
          <w:p>
            <w:pPr>
              <w:ind w:right="-108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797,7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tcW w:w="2112" w:type="dxa"/>
            <w:vAlign w:val="center"/>
            <w:textDirection w:val="lrTb"/>
            <w:noWrap w:val="false"/>
          </w:tcPr>
          <w:p>
            <w:pPr>
              <w:ind w:left="-12" w:right="-1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- от 501 до 1 000 кв. м (включительно)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tcW w:w="1969" w:type="dxa"/>
            <w:vAlign w:val="center"/>
            <w:textDirection w:val="lrTb"/>
            <w:noWrap w:val="false"/>
          </w:tcPr>
          <w:p>
            <w:pPr>
              <w:ind w:right="-108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38 925,00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/>
        <w:tc>
          <w:tcPr>
            <w:gridSpan w:val="4"/>
            <w:tcW w:w="8095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Начальная (максимальная) цена контракта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</w:p>
        </w:tc>
        <w:tc>
          <w:tcPr>
            <w:tcW w:w="1969" w:type="dxa"/>
            <w:vAlign w:val="center"/>
            <w:textDirection w:val="lrTb"/>
            <w:noWrap w:val="false"/>
          </w:tcPr>
          <w:p>
            <w:pPr>
              <w:ind w:right="-108"/>
              <w:jc w:val="center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217 050,00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16"/>
          <w:szCs w:val="16"/>
        </w:rPr>
      </w:pPr>
      <w:r>
        <w:rPr>
          <w:rFonts w:ascii="Times New Roman" w:hAnsi="Times New Roman" w:eastAsia="Times New Roman" w:cs="Times New Roman"/>
          <w:bCs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bCs/>
          <w:sz w:val="16"/>
          <w:szCs w:val="16"/>
        </w:rPr>
      </w:r>
      <w:r>
        <w:rPr>
          <w:rFonts w:ascii="Times New Roman" w:hAnsi="Times New Roman" w:eastAsia="Times New Roman" w:cs="Times New Roman"/>
          <w:bCs/>
          <w:sz w:val="16"/>
          <w:szCs w:val="16"/>
        </w:rPr>
      </w:r>
    </w:p>
    <w:p>
      <w:pPr>
        <w:ind w:left="-709" w:right="0" w:firstLine="567"/>
        <w:jc w:val="both"/>
        <w:spacing w:after="0" w:line="276" w:lineRule="auto"/>
        <w:rPr>
          <w:rFonts w:ascii="Times New Roman" w:hAnsi="Times New Roman" w:eastAsia="Times New Roman" w:cs="Times New Roman"/>
          <w:sz w:val="22"/>
          <w:szCs w:val="22"/>
          <w:highlight w:val="none"/>
        </w:rPr>
      </w:pPr>
      <w:r>
        <w:rPr>
          <w:rFonts w:ascii="Times New Roman" w:hAnsi="Times New Roman" w:eastAsia="Times New Roman" w:cs="Times New Roman"/>
          <w:bCs/>
          <w:sz w:val="22"/>
          <w:szCs w:val="22"/>
          <w:highlight w:val="white"/>
          <w:lang w:eastAsia="ru-RU"/>
        </w:rPr>
        <w:t xml:space="preserve">Т</w:t>
      </w:r>
      <w:r>
        <w:rPr>
          <w:rFonts w:ascii="Times New Roman" w:hAnsi="Times New Roman" w:eastAsia="Times New Roman" w:cs="Times New Roman"/>
          <w:bCs/>
          <w:sz w:val="22"/>
          <w:szCs w:val="22"/>
          <w:highlight w:val="white"/>
          <w:lang w:eastAsia="ru-RU"/>
        </w:rPr>
        <w:t xml:space="preserve">аким образом, м</w:t>
      </w:r>
      <w:r>
        <w:rPr>
          <w:rFonts w:ascii="Times New Roman" w:hAnsi="Times New Roman" w:eastAsia="Times New Roman" w:cs="Times New Roman"/>
          <w:bCs/>
          <w:sz w:val="22"/>
          <w:szCs w:val="22"/>
          <w:highlight w:val="white"/>
          <w:lang w:eastAsia="ru-RU"/>
        </w:rPr>
        <w:t xml:space="preserve">аксимальная цена государственного контракта</w:t>
      </w:r>
      <w:r>
        <w:rPr>
          <w:rFonts w:ascii="Times New Roman" w:hAnsi="Times New Roman" w:eastAsia="Times New Roman" w:cs="Times New Roman"/>
          <w:bCs/>
          <w:sz w:val="22"/>
          <w:szCs w:val="22"/>
          <w:highlight w:val="white"/>
          <w:lang w:eastAsia="ru-RU"/>
        </w:rPr>
        <w:t xml:space="preserve">, рассчитанная 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методом сопоставимых рыночных цен (анализа рынка)</w:t>
      </w:r>
      <w:r>
        <w:rPr>
          <w:rFonts w:ascii="Times New Roman" w:hAnsi="Times New Roman" w:eastAsia="Times New Roman" w:cs="Times New Roman"/>
          <w:bCs/>
          <w:sz w:val="22"/>
          <w:szCs w:val="22"/>
          <w:highlight w:val="white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sz w:val="22"/>
          <w:szCs w:val="22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2"/>
          <w:szCs w:val="22"/>
          <w:highlight w:val="white"/>
          <w:lang w:eastAsia="ru-RU"/>
        </w:rPr>
        <w:t xml:space="preserve">составляет не более 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  <w:lang w:eastAsia="ru-RU"/>
        </w:rPr>
        <w:t xml:space="preserve">217 050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  <w:lang w:eastAsia="ru-RU"/>
        </w:rPr>
        <w:t xml:space="preserve">,00</w:t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2"/>
          <w:szCs w:val="22"/>
          <w:highlight w:val="white"/>
          <w:lang w:eastAsia="ru-RU"/>
        </w:rPr>
        <w:t xml:space="preserve">(</w:t>
      </w:r>
      <w:r>
        <w:rPr>
          <w:rFonts w:ascii="Times New Roman" w:hAnsi="Times New Roman" w:eastAsia="Times New Roman" w:cs="Times New Roman"/>
          <w:bCs/>
          <w:sz w:val="22"/>
          <w:szCs w:val="22"/>
          <w:highlight w:val="white"/>
          <w:lang w:eastAsia="ru-RU"/>
        </w:rPr>
        <w:t xml:space="preserve">двухсот семнадцати тысяч пятидесяти</w:t>
      </w:r>
      <w:r>
        <w:rPr>
          <w:rFonts w:ascii="Times New Roman" w:hAnsi="Times New Roman" w:eastAsia="Times New Roman" w:cs="Times New Roman"/>
          <w:bCs/>
          <w:sz w:val="22"/>
          <w:szCs w:val="22"/>
          <w:highlight w:val="white"/>
          <w:lang w:eastAsia="ru-RU"/>
        </w:rPr>
        <w:t xml:space="preserve">) рублей. 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</w:rPr>
      </w:r>
      <w:r>
        <w:rPr>
          <w:rFonts w:ascii="Times New Roman" w:hAnsi="Times New Roman" w:eastAsia="Times New Roman" w:cs="Times New Roman"/>
          <w:sz w:val="22"/>
          <w:szCs w:val="22"/>
          <w:highlight w:val="none"/>
        </w:rPr>
      </w:r>
    </w:p>
    <w:p>
      <w:pPr>
        <w:ind w:left="-709" w:right="0" w:firstLine="567"/>
        <w:jc w:val="both"/>
        <w:spacing w:after="0" w:line="276" w:lineRule="auto"/>
        <w:rPr>
          <w:rFonts w:ascii="Times New Roman" w:hAnsi="Times New Roman"/>
          <w:bCs w:val="0"/>
          <w:i w:val="0"/>
          <w:sz w:val="22"/>
          <w:szCs w:val="22"/>
          <w:highlight w:val="none"/>
        </w:rPr>
      </w:pPr>
      <w:r>
        <w:rPr>
          <w:rFonts w:ascii="Times New Roman" w:hAnsi="Times New Roman" w:eastAsia="Times New Roman" w:cs="Times New Roman"/>
          <w:bCs/>
          <w:sz w:val="22"/>
          <w:szCs w:val="22"/>
          <w:highlight w:val="none"/>
          <w:lang w:eastAsia="ru-RU"/>
        </w:rPr>
        <w:t xml:space="preserve">Вместе с тем, Заказчику по </w:t>
      </w:r>
      <w:r>
        <w:rPr>
          <w:rFonts w:ascii="Times New Roman" w:hAnsi="Times New Roman"/>
          <w:b w:val="0"/>
          <w:spacing w:val="4"/>
          <w:sz w:val="22"/>
          <w:szCs w:val="22"/>
          <w:highlight w:val="none"/>
        </w:rPr>
        <w:t xml:space="preserve">по КБК </w:t>
      </w:r>
      <w:r>
        <w:rPr>
          <w:rFonts w:ascii="Times New Roman" w:hAnsi="Times New Roman"/>
          <w:i w:val="0"/>
          <w:iCs w:val="0"/>
          <w:sz w:val="22"/>
          <w:szCs w:val="22"/>
          <w:highlight w:val="none"/>
        </w:rPr>
        <w:t xml:space="preserve">16701133941292063244 по виду деятельности «Расходы на оценку»</w:t>
      </w:r>
      <w:r>
        <w:rPr>
          <w:rFonts w:ascii="Times New Roman" w:hAnsi="Times New Roman"/>
          <w:i w:val="0"/>
          <w:iCs w:val="0"/>
          <w:sz w:val="22"/>
          <w:szCs w:val="22"/>
          <w:highlight w:val="none"/>
        </w:rPr>
        <w:t xml:space="preserve"> доведены лимиты бюджетных обязательств в размере 100 000 (Сто тысяч рублей) руб.</w:t>
      </w:r>
      <w:r>
        <w:rPr>
          <w:rFonts w:ascii="Times New Roman" w:hAnsi="Times New Roman"/>
          <w:bCs w:val="0"/>
          <w:i w:val="0"/>
          <w:sz w:val="22"/>
          <w:szCs w:val="22"/>
          <w:highlight w:val="none"/>
        </w:rPr>
      </w:r>
      <w:r>
        <w:rPr>
          <w:rFonts w:ascii="Times New Roman" w:hAnsi="Times New Roman"/>
          <w:bCs w:val="0"/>
          <w:i w:val="0"/>
          <w:sz w:val="22"/>
          <w:szCs w:val="22"/>
          <w:highlight w:val="none"/>
        </w:rPr>
      </w:r>
    </w:p>
    <w:p>
      <w:pPr>
        <w:ind w:left="-709" w:right="0" w:firstLine="567"/>
        <w:jc w:val="both"/>
        <w:spacing w:after="0" w:line="276" w:lineRule="auto"/>
        <w:rPr>
          <w:rFonts w:ascii="Times New Roman" w:hAnsi="Times New Roman"/>
          <w:bCs w:val="0"/>
          <w:i w:val="0"/>
          <w:sz w:val="22"/>
          <w:szCs w:val="22"/>
          <w:highlight w:val="none"/>
        </w:rPr>
      </w:pPr>
      <w:r>
        <w:rPr>
          <w:rFonts w:ascii="Times New Roman" w:hAnsi="Times New Roman"/>
          <w:i w:val="0"/>
          <w:iCs w:val="0"/>
          <w:sz w:val="22"/>
          <w:szCs w:val="22"/>
          <w:highlight w:val="none"/>
        </w:rPr>
        <w:t xml:space="preserve">В связи с этим, руководствуясь ст.34, ст. 72 БК РФ, письмами Минфина России от 28.08.2020</w:t>
        <w:br/>
        <w:t xml:space="preserve">№ 24-01-08/75606, от 28.07.2020 № 24-01-07/66147, Заказчиком принято решение о снижении НМЦК до уровня доведенных лимитов.</w:t>
      </w:r>
      <w:r>
        <w:rPr>
          <w:rFonts w:ascii="Times New Roman" w:hAnsi="Times New Roman"/>
          <w:bCs w:val="0"/>
          <w:i w:val="0"/>
          <w:sz w:val="22"/>
          <w:szCs w:val="22"/>
          <w:highlight w:val="none"/>
        </w:rPr>
      </w:r>
      <w:r>
        <w:rPr>
          <w:rFonts w:ascii="Times New Roman" w:hAnsi="Times New Roman"/>
          <w:bCs w:val="0"/>
          <w:i w:val="0"/>
          <w:sz w:val="22"/>
          <w:szCs w:val="22"/>
          <w:highlight w:val="none"/>
        </w:rPr>
      </w:r>
    </w:p>
    <w:p>
      <w:pPr>
        <w:ind w:left="-709" w:right="0" w:firstLine="567"/>
        <w:jc w:val="both"/>
        <w:spacing w:after="0" w:line="276" w:lineRule="auto"/>
        <w:rPr>
          <w:rFonts w:ascii="Times New Roman" w:hAnsi="Times New Roman" w:eastAsia="Times New Roman" w:cs="Times New Roman"/>
          <w:sz w:val="22"/>
          <w:szCs w:val="22"/>
          <w:highlight w:val="none"/>
        </w:rPr>
      </w:pPr>
      <w:r>
        <w:rPr>
          <w:rFonts w:ascii="Times New Roman" w:hAnsi="Times New Roman" w:eastAsia="Times New Roman" w:cs="Times New Roman"/>
          <w:bCs/>
          <w:sz w:val="22"/>
          <w:szCs w:val="22"/>
          <w:highlight w:val="white"/>
          <w:lang w:eastAsia="ru-RU"/>
        </w:rPr>
        <w:t xml:space="preserve">Т</w:t>
      </w:r>
      <w:r>
        <w:rPr>
          <w:rFonts w:ascii="Times New Roman" w:hAnsi="Times New Roman" w:eastAsia="Times New Roman" w:cs="Times New Roman"/>
          <w:bCs/>
          <w:sz w:val="22"/>
          <w:szCs w:val="22"/>
          <w:highlight w:val="white"/>
          <w:lang w:eastAsia="ru-RU"/>
        </w:rPr>
        <w:t xml:space="preserve">аким образом, м</w:t>
      </w:r>
      <w:r>
        <w:rPr>
          <w:rFonts w:ascii="Times New Roman" w:hAnsi="Times New Roman" w:eastAsia="Times New Roman" w:cs="Times New Roman"/>
          <w:bCs/>
          <w:sz w:val="22"/>
          <w:szCs w:val="22"/>
          <w:highlight w:val="white"/>
          <w:lang w:eastAsia="ru-RU"/>
        </w:rPr>
        <w:t xml:space="preserve">аксимальная цена государственного контракта</w:t>
      </w:r>
      <w:r>
        <w:rPr>
          <w:rFonts w:ascii="Times New Roman" w:hAnsi="Times New Roman" w:eastAsia="Times New Roman" w:cs="Times New Roman"/>
          <w:bCs/>
          <w:sz w:val="22"/>
          <w:szCs w:val="22"/>
          <w:highlight w:val="white"/>
          <w:lang w:eastAsia="ru-RU"/>
        </w:rPr>
        <w:t xml:space="preserve">, рассчитанная 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методом сопоставимых рыночных цен (анализа рынка)</w:t>
      </w:r>
      <w:r>
        <w:rPr>
          <w:rFonts w:ascii="Times New Roman" w:hAnsi="Times New Roman" w:eastAsia="Times New Roman" w:cs="Times New Roman"/>
          <w:bCs/>
          <w:sz w:val="22"/>
          <w:szCs w:val="22"/>
          <w:highlight w:val="white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sz w:val="22"/>
          <w:szCs w:val="22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2"/>
          <w:szCs w:val="22"/>
          <w:highlight w:val="white"/>
          <w:lang w:eastAsia="ru-RU"/>
        </w:rPr>
        <w:t xml:space="preserve">составляет не более 100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  <w:lang w:eastAsia="ru-RU"/>
        </w:rPr>
        <w:t xml:space="preserve"> 000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  <w:lang w:eastAsia="ru-RU"/>
        </w:rPr>
        <w:t xml:space="preserve">,00</w:t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2"/>
          <w:szCs w:val="22"/>
          <w:highlight w:val="white"/>
          <w:lang w:eastAsia="ru-RU"/>
        </w:rPr>
        <w:t xml:space="preserve">(ста тысяч</w:t>
      </w:r>
      <w:r>
        <w:rPr>
          <w:rFonts w:ascii="Times New Roman" w:hAnsi="Times New Roman" w:eastAsia="Times New Roman" w:cs="Times New Roman"/>
          <w:bCs/>
          <w:sz w:val="22"/>
          <w:szCs w:val="22"/>
          <w:highlight w:val="white"/>
          <w:lang w:eastAsia="ru-RU"/>
        </w:rPr>
        <w:t xml:space="preserve">) рублей. 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</w:rPr>
      </w:r>
      <w:r>
        <w:rPr>
          <w:rFonts w:ascii="Times New Roman" w:hAnsi="Times New Roman" w:eastAsia="Times New Roman" w:cs="Times New Roman"/>
          <w:sz w:val="22"/>
          <w:szCs w:val="22"/>
          <w:highlight w:val="none"/>
        </w:rPr>
      </w:r>
    </w:p>
    <w:p>
      <w:pPr>
        <w:ind w:left="-709" w:right="0" w:firstLine="567"/>
        <w:jc w:val="both"/>
        <w:spacing w:after="0" w:line="276" w:lineRule="auto"/>
        <w:rPr>
          <w:rFonts w:ascii="Times New Roman" w:hAnsi="Times New Roman" w:eastAsia="Times New Roman" w:cs="Times New Roman"/>
          <w:bCs/>
          <w:sz w:val="16"/>
          <w:szCs w:val="16"/>
        </w:rPr>
      </w:pPr>
      <w:r>
        <w:rPr>
          <w:rFonts w:ascii="Times New Roman" w:hAnsi="Times New Roman" w:eastAsia="Times New Roman" w:cs="Times New Roman"/>
          <w:bCs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bCs/>
          <w:sz w:val="16"/>
          <w:szCs w:val="16"/>
        </w:rPr>
      </w:r>
      <w:r>
        <w:rPr>
          <w:rFonts w:ascii="Times New Roman" w:hAnsi="Times New Roman" w:eastAsia="Times New Roman" w:cs="Times New Roman"/>
          <w:bCs/>
          <w:sz w:val="16"/>
          <w:szCs w:val="16"/>
        </w:rPr>
      </w:r>
    </w:p>
    <w:sectPr>
      <w:footnotePr/>
      <w:endnotePr/>
      <w:type w:val="nextPage"/>
      <w:pgSz w:w="11906" w:h="16838" w:orient="portrait"/>
      <w:pgMar w:top="425" w:right="850" w:bottom="709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5">
    <w:name w:val="Heading 1 Char"/>
    <w:basedOn w:val="683"/>
    <w:link w:val="67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2 Char"/>
    <w:basedOn w:val="683"/>
    <w:link w:val="675"/>
    <w:uiPriority w:val="9"/>
    <w:rPr>
      <w:rFonts w:ascii="Liberation Sans" w:hAnsi="Liberation Sans" w:eastAsia="Liberation Sans" w:cs="Liberation Sans"/>
      <w:sz w:val="34"/>
    </w:rPr>
  </w:style>
  <w:style w:type="character" w:styleId="657">
    <w:name w:val="Heading 3 Char"/>
    <w:basedOn w:val="683"/>
    <w:link w:val="676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58">
    <w:name w:val="Heading 4 Char"/>
    <w:basedOn w:val="683"/>
    <w:link w:val="67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59">
    <w:name w:val="Heading 5 Char"/>
    <w:basedOn w:val="683"/>
    <w:link w:val="67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0">
    <w:name w:val="Heading 6 Char"/>
    <w:basedOn w:val="683"/>
    <w:link w:val="67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1">
    <w:name w:val="Heading 7 Char"/>
    <w:basedOn w:val="683"/>
    <w:link w:val="68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2">
    <w:name w:val="Heading 8 Char"/>
    <w:basedOn w:val="683"/>
    <w:link w:val="68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63">
    <w:name w:val="Heading 9 Char"/>
    <w:basedOn w:val="683"/>
    <w:link w:val="68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64">
    <w:name w:val="Title Char"/>
    <w:basedOn w:val="683"/>
    <w:link w:val="697"/>
    <w:uiPriority w:val="10"/>
    <w:rPr>
      <w:sz w:val="48"/>
      <w:szCs w:val="48"/>
    </w:rPr>
  </w:style>
  <w:style w:type="character" w:styleId="665">
    <w:name w:val="Subtitle Char"/>
    <w:basedOn w:val="683"/>
    <w:link w:val="699"/>
    <w:uiPriority w:val="11"/>
    <w:rPr>
      <w:sz w:val="24"/>
      <w:szCs w:val="24"/>
    </w:rPr>
  </w:style>
  <w:style w:type="character" w:styleId="666">
    <w:name w:val="Quote Char"/>
    <w:link w:val="701"/>
    <w:uiPriority w:val="29"/>
    <w:rPr>
      <w:i/>
    </w:rPr>
  </w:style>
  <w:style w:type="character" w:styleId="667">
    <w:name w:val="Intense Quote Char"/>
    <w:link w:val="703"/>
    <w:uiPriority w:val="30"/>
    <w:rPr>
      <w:i/>
    </w:rPr>
  </w:style>
  <w:style w:type="character" w:styleId="668">
    <w:name w:val="Header Char"/>
    <w:basedOn w:val="683"/>
    <w:link w:val="705"/>
    <w:uiPriority w:val="99"/>
  </w:style>
  <w:style w:type="character" w:styleId="669">
    <w:name w:val="Footer Char"/>
    <w:basedOn w:val="683"/>
    <w:link w:val="707"/>
    <w:uiPriority w:val="99"/>
  </w:style>
  <w:style w:type="character" w:styleId="670">
    <w:name w:val="Caption Char"/>
    <w:basedOn w:val="683"/>
    <w:link w:val="709"/>
    <w:uiPriority w:val="35"/>
    <w:rPr>
      <w:b/>
      <w:bCs/>
      <w:color w:val="4f81bd" w:themeColor="accent1"/>
      <w:sz w:val="18"/>
      <w:szCs w:val="18"/>
    </w:rPr>
  </w:style>
  <w:style w:type="character" w:styleId="671">
    <w:name w:val="Footnote Text Char"/>
    <w:link w:val="838"/>
    <w:uiPriority w:val="99"/>
    <w:rPr>
      <w:sz w:val="18"/>
    </w:rPr>
  </w:style>
  <w:style w:type="character" w:styleId="672">
    <w:name w:val="Endnote Text Char"/>
    <w:link w:val="841"/>
    <w:uiPriority w:val="99"/>
    <w:rPr>
      <w:sz w:val="20"/>
    </w:rPr>
  </w:style>
  <w:style w:type="paragraph" w:styleId="673" w:default="1">
    <w:name w:val="Normal"/>
    <w:qFormat/>
  </w:style>
  <w:style w:type="paragraph" w:styleId="674">
    <w:name w:val="Heading 1"/>
    <w:basedOn w:val="673"/>
    <w:next w:val="673"/>
    <w:link w:val="68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75">
    <w:name w:val="Heading 2"/>
    <w:basedOn w:val="673"/>
    <w:next w:val="673"/>
    <w:link w:val="68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76">
    <w:name w:val="Heading 3"/>
    <w:basedOn w:val="673"/>
    <w:next w:val="673"/>
    <w:link w:val="68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77">
    <w:name w:val="Heading 4"/>
    <w:basedOn w:val="673"/>
    <w:next w:val="673"/>
    <w:link w:val="68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78">
    <w:name w:val="Heading 5"/>
    <w:basedOn w:val="673"/>
    <w:next w:val="673"/>
    <w:link w:val="69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79">
    <w:name w:val="Heading 6"/>
    <w:basedOn w:val="673"/>
    <w:next w:val="673"/>
    <w:link w:val="69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680">
    <w:name w:val="Heading 7"/>
    <w:basedOn w:val="673"/>
    <w:next w:val="673"/>
    <w:link w:val="69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681">
    <w:name w:val="Heading 8"/>
    <w:basedOn w:val="673"/>
    <w:next w:val="673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682">
    <w:name w:val="Heading 9"/>
    <w:basedOn w:val="673"/>
    <w:next w:val="673"/>
    <w:link w:val="69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3" w:default="1">
    <w:name w:val="Default Paragraph Font"/>
    <w:uiPriority w:val="1"/>
    <w:semiHidden/>
    <w:unhideWhenUsed/>
  </w:style>
  <w:style w:type="table" w:styleId="68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5" w:default="1">
    <w:name w:val="No List"/>
    <w:uiPriority w:val="99"/>
    <w:semiHidden/>
    <w:unhideWhenUsed/>
  </w:style>
  <w:style w:type="character" w:styleId="686" w:customStyle="1">
    <w:name w:val="Заголовок 1 Знак"/>
    <w:basedOn w:val="683"/>
    <w:link w:val="674"/>
    <w:uiPriority w:val="9"/>
    <w:rPr>
      <w:rFonts w:ascii="Arial" w:hAnsi="Arial" w:eastAsia="Arial" w:cs="Arial"/>
      <w:sz w:val="40"/>
      <w:szCs w:val="40"/>
    </w:rPr>
  </w:style>
  <w:style w:type="character" w:styleId="687" w:customStyle="1">
    <w:name w:val="Заголовок 2 Знак"/>
    <w:basedOn w:val="683"/>
    <w:link w:val="675"/>
    <w:uiPriority w:val="9"/>
    <w:rPr>
      <w:rFonts w:ascii="Arial" w:hAnsi="Arial" w:eastAsia="Arial" w:cs="Arial"/>
      <w:sz w:val="34"/>
    </w:rPr>
  </w:style>
  <w:style w:type="character" w:styleId="688" w:customStyle="1">
    <w:name w:val="Заголовок 3 Знак"/>
    <w:basedOn w:val="683"/>
    <w:link w:val="676"/>
    <w:uiPriority w:val="9"/>
    <w:rPr>
      <w:rFonts w:ascii="Arial" w:hAnsi="Arial" w:eastAsia="Arial" w:cs="Arial"/>
      <w:sz w:val="30"/>
      <w:szCs w:val="30"/>
    </w:rPr>
  </w:style>
  <w:style w:type="character" w:styleId="689" w:customStyle="1">
    <w:name w:val="Заголовок 4 Знак"/>
    <w:basedOn w:val="683"/>
    <w:link w:val="677"/>
    <w:uiPriority w:val="9"/>
    <w:rPr>
      <w:rFonts w:ascii="Arial" w:hAnsi="Arial" w:eastAsia="Arial" w:cs="Arial"/>
      <w:b/>
      <w:bCs/>
      <w:sz w:val="26"/>
      <w:szCs w:val="26"/>
    </w:rPr>
  </w:style>
  <w:style w:type="character" w:styleId="690" w:customStyle="1">
    <w:name w:val="Заголовок 5 Знак"/>
    <w:basedOn w:val="683"/>
    <w:link w:val="678"/>
    <w:uiPriority w:val="9"/>
    <w:rPr>
      <w:rFonts w:ascii="Arial" w:hAnsi="Arial" w:eastAsia="Arial" w:cs="Arial"/>
      <w:b/>
      <w:bCs/>
      <w:sz w:val="24"/>
      <w:szCs w:val="24"/>
    </w:rPr>
  </w:style>
  <w:style w:type="character" w:styleId="691" w:customStyle="1">
    <w:name w:val="Заголовок 6 Знак"/>
    <w:basedOn w:val="683"/>
    <w:link w:val="679"/>
    <w:uiPriority w:val="9"/>
    <w:rPr>
      <w:rFonts w:ascii="Arial" w:hAnsi="Arial" w:eastAsia="Arial" w:cs="Arial"/>
      <w:b/>
      <w:bCs/>
      <w:sz w:val="22"/>
      <w:szCs w:val="22"/>
    </w:rPr>
  </w:style>
  <w:style w:type="character" w:styleId="692" w:customStyle="1">
    <w:name w:val="Заголовок 7 Знак"/>
    <w:basedOn w:val="683"/>
    <w:link w:val="68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3" w:customStyle="1">
    <w:name w:val="Заголовок 8 Знак"/>
    <w:basedOn w:val="683"/>
    <w:link w:val="681"/>
    <w:uiPriority w:val="9"/>
    <w:rPr>
      <w:rFonts w:ascii="Arial" w:hAnsi="Arial" w:eastAsia="Arial" w:cs="Arial"/>
      <w:i/>
      <w:iCs/>
      <w:sz w:val="22"/>
      <w:szCs w:val="22"/>
    </w:rPr>
  </w:style>
  <w:style w:type="character" w:styleId="694" w:customStyle="1">
    <w:name w:val="Заголовок 9 Знак"/>
    <w:basedOn w:val="683"/>
    <w:link w:val="682"/>
    <w:uiPriority w:val="9"/>
    <w:rPr>
      <w:rFonts w:ascii="Arial" w:hAnsi="Arial" w:eastAsia="Arial" w:cs="Arial"/>
      <w:i/>
      <w:iCs/>
      <w:sz w:val="21"/>
      <w:szCs w:val="21"/>
    </w:rPr>
  </w:style>
  <w:style w:type="paragraph" w:styleId="695">
    <w:name w:val="List Paragraph"/>
    <w:basedOn w:val="673"/>
    <w:uiPriority w:val="34"/>
    <w:qFormat/>
    <w:pPr>
      <w:contextualSpacing/>
      <w:ind w:left="720"/>
    </w:pPr>
  </w:style>
  <w:style w:type="paragraph" w:styleId="696">
    <w:name w:val="No Spacing"/>
    <w:uiPriority w:val="1"/>
    <w:qFormat/>
    <w:pPr>
      <w:spacing w:after="0" w:line="240" w:lineRule="auto"/>
    </w:pPr>
  </w:style>
  <w:style w:type="paragraph" w:styleId="697">
    <w:name w:val="Title"/>
    <w:basedOn w:val="673"/>
    <w:next w:val="673"/>
    <w:link w:val="69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8" w:customStyle="1">
    <w:name w:val="Заголовок Знак"/>
    <w:basedOn w:val="683"/>
    <w:link w:val="697"/>
    <w:uiPriority w:val="10"/>
    <w:rPr>
      <w:sz w:val="48"/>
      <w:szCs w:val="48"/>
    </w:rPr>
  </w:style>
  <w:style w:type="paragraph" w:styleId="699">
    <w:name w:val="Subtitle"/>
    <w:basedOn w:val="673"/>
    <w:next w:val="673"/>
    <w:link w:val="700"/>
    <w:uiPriority w:val="11"/>
    <w:qFormat/>
    <w:pPr>
      <w:spacing w:before="200" w:after="200"/>
    </w:pPr>
    <w:rPr>
      <w:sz w:val="24"/>
      <w:szCs w:val="24"/>
    </w:rPr>
  </w:style>
  <w:style w:type="character" w:styleId="700" w:customStyle="1">
    <w:name w:val="Подзаголовок Знак"/>
    <w:basedOn w:val="683"/>
    <w:link w:val="699"/>
    <w:uiPriority w:val="11"/>
    <w:rPr>
      <w:sz w:val="24"/>
      <w:szCs w:val="24"/>
    </w:rPr>
  </w:style>
  <w:style w:type="paragraph" w:styleId="701">
    <w:name w:val="Quote"/>
    <w:basedOn w:val="673"/>
    <w:next w:val="673"/>
    <w:link w:val="702"/>
    <w:uiPriority w:val="29"/>
    <w:qFormat/>
    <w:pPr>
      <w:ind w:left="720" w:right="720"/>
    </w:pPr>
    <w:rPr>
      <w:i/>
    </w:rPr>
  </w:style>
  <w:style w:type="character" w:styleId="702" w:customStyle="1">
    <w:name w:val="Цитата 2 Знак"/>
    <w:link w:val="701"/>
    <w:uiPriority w:val="29"/>
    <w:rPr>
      <w:i/>
    </w:rPr>
  </w:style>
  <w:style w:type="paragraph" w:styleId="703">
    <w:name w:val="Intense Quote"/>
    <w:basedOn w:val="673"/>
    <w:next w:val="673"/>
    <w:link w:val="70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4" w:customStyle="1">
    <w:name w:val="Выделенная цитата Знак"/>
    <w:link w:val="703"/>
    <w:uiPriority w:val="30"/>
    <w:rPr>
      <w:i/>
    </w:rPr>
  </w:style>
  <w:style w:type="paragraph" w:styleId="705">
    <w:name w:val="Header"/>
    <w:basedOn w:val="673"/>
    <w:link w:val="70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6" w:customStyle="1">
    <w:name w:val="Верхний колонтитул Знак"/>
    <w:basedOn w:val="683"/>
    <w:link w:val="705"/>
    <w:uiPriority w:val="99"/>
  </w:style>
  <w:style w:type="paragraph" w:styleId="707">
    <w:name w:val="Footer"/>
    <w:basedOn w:val="673"/>
    <w:link w:val="70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8" w:customStyle="1">
    <w:name w:val="Нижний колонтитул Знак"/>
    <w:basedOn w:val="683"/>
    <w:link w:val="707"/>
    <w:uiPriority w:val="99"/>
  </w:style>
  <w:style w:type="paragraph" w:styleId="709">
    <w:name w:val="Caption"/>
    <w:basedOn w:val="673"/>
    <w:next w:val="673"/>
    <w:link w:val="71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10" w:customStyle="1">
    <w:name w:val="Название объекта Знак"/>
    <w:basedOn w:val="683"/>
    <w:link w:val="709"/>
    <w:uiPriority w:val="35"/>
    <w:rPr>
      <w:b/>
      <w:bCs/>
      <w:color w:val="5b9bd5" w:themeColor="accent1"/>
      <w:sz w:val="18"/>
      <w:szCs w:val="18"/>
    </w:rPr>
  </w:style>
  <w:style w:type="table" w:styleId="711">
    <w:name w:val="Table Grid"/>
    <w:basedOn w:val="684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12" w:customStyle="1">
    <w:name w:val="Table Grid Light"/>
    <w:basedOn w:val="684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3">
    <w:name w:val="Plain Table 1"/>
    <w:basedOn w:val="684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2"/>
    <w:basedOn w:val="684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5">
    <w:name w:val="Plain Table 3"/>
    <w:basedOn w:val="68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6">
    <w:name w:val="Plain Table 4"/>
    <w:basedOn w:val="68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Plain Table 5"/>
    <w:basedOn w:val="68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8">
    <w:name w:val="Grid Table 1 Light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1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 w:customStyle="1">
    <w:name w:val="Grid Table 1 Light - Accent 5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 w:customStyle="1">
    <w:name w:val="Grid Table 1 Light - Accent 6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1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2 - Accent 5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2 - Accent 6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1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3 - Accent 5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3 - Accent 6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4"/>
    <w:basedOn w:val="684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0" w:customStyle="1">
    <w:name w:val="Grid Table 4 - Accent 1"/>
    <w:basedOn w:val="684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41" w:customStyle="1">
    <w:name w:val="Grid Table 4 - Accent 2"/>
    <w:basedOn w:val="684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42" w:customStyle="1">
    <w:name w:val="Grid Table 4 - Accent 3"/>
    <w:basedOn w:val="684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43" w:customStyle="1">
    <w:name w:val="Grid Table 4 - Accent 4"/>
    <w:basedOn w:val="684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44" w:customStyle="1">
    <w:name w:val="Grid Table 4 - Accent 5"/>
    <w:basedOn w:val="684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45" w:customStyle="1">
    <w:name w:val="Grid Table 4 - Accent 6"/>
    <w:basedOn w:val="684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46">
    <w:name w:val="Grid Table 5 Dark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- Accent 1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 - Accent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 - Accent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5 Dark- Accent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51" w:customStyle="1">
    <w:name w:val="Grid Table 5 Dark - Accent 5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52" w:customStyle="1">
    <w:name w:val="Grid Table 5 Dark - Accent 6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53">
    <w:name w:val="Grid Table 6 Colorful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4" w:customStyle="1">
    <w:name w:val="Grid Table 6 Colorful - Accent 1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55" w:customStyle="1">
    <w:name w:val="Grid Table 6 Colorful - Accent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56" w:customStyle="1">
    <w:name w:val="Grid Table 6 Colorful - Accent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57" w:customStyle="1">
    <w:name w:val="Grid Table 6 Colorful - Accent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58" w:customStyle="1">
    <w:name w:val="Grid Table 6 Colorful - Accent 5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59" w:customStyle="1">
    <w:name w:val="Grid Table 6 Colorful - Accent 6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60">
    <w:name w:val="Grid Table 7 Colorful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7 Colorful - Accent 1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7 Colorful - Accent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7 Colorful - Accent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7 Colorful - Accent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7 Colorful - Accent 5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7 Colorful - Accent 6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"/>
    <w:basedOn w:val="68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1"/>
    <w:basedOn w:val="68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2"/>
    <w:basedOn w:val="68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3"/>
    <w:basedOn w:val="68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4"/>
    <w:basedOn w:val="68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List Table 1 Light - Accent 5"/>
    <w:basedOn w:val="68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List Table 1 Light - Accent 6"/>
    <w:basedOn w:val="68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1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79" w:customStyle="1">
    <w:name w:val="List Table 2 - Accent 5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80" w:customStyle="1">
    <w:name w:val="List Table 2 - Accent 6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81">
    <w:name w:val="List Table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1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3 - Accent 5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3 - Accent 6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1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4 - Accent 5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4 - Accent 6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5 Dark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6" w:customStyle="1">
    <w:name w:val="List Table 5 Dark - Accent 1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7" w:customStyle="1">
    <w:name w:val="List Table 5 Dark - Accent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8" w:customStyle="1">
    <w:name w:val="List Table 5 Dark - Accent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 w:customStyle="1">
    <w:name w:val="List Table 5 Dark - Accent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0" w:customStyle="1">
    <w:name w:val="List Table 5 Dark - Accent 5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1" w:customStyle="1">
    <w:name w:val="List Table 5 Dark - Accent 6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2">
    <w:name w:val="List Table 6 Colorful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3" w:customStyle="1">
    <w:name w:val="List Table 6 Colorful - Accent 1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04" w:customStyle="1">
    <w:name w:val="List Table 6 Colorful - Accent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05" w:customStyle="1">
    <w:name w:val="List Table 6 Colorful - Accent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06" w:customStyle="1">
    <w:name w:val="List Table 6 Colorful - Accent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07" w:customStyle="1">
    <w:name w:val="List Table 6 Colorful - Accent 5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08" w:customStyle="1">
    <w:name w:val="List Table 6 Colorful - Accent 6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09">
    <w:name w:val="List Table 7 Colorful"/>
    <w:basedOn w:val="68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7 Colorful - Accent 1"/>
    <w:basedOn w:val="68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7 Colorful - Accent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st Table 7 Colorful - Accent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7 Colorful - Accent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st Table 7 Colorful - Accent 5"/>
    <w:basedOn w:val="68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List Table 7 Colorful - Accent 6"/>
    <w:basedOn w:val="68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Lined - Accent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7" w:customStyle="1">
    <w:name w:val="Lined - Accent 1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18" w:customStyle="1">
    <w:name w:val="Lined - Accent 2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19" w:customStyle="1">
    <w:name w:val="Lined - Accent 3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0" w:customStyle="1">
    <w:name w:val="Lined - Accent 4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1" w:customStyle="1">
    <w:name w:val="Lined - Accent 5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22" w:customStyle="1">
    <w:name w:val="Lined - Accent 6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3" w:customStyle="1">
    <w:name w:val="Bordered &amp; Lined - Accent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4" w:customStyle="1">
    <w:name w:val="Bordered &amp; Lined - Accent 1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5" w:customStyle="1">
    <w:name w:val="Bordered &amp; Lined - Accent 2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6" w:customStyle="1">
    <w:name w:val="Bordered &amp; Lined - Accent 3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7" w:customStyle="1">
    <w:name w:val="Bordered &amp; Lined - Accent 4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8" w:customStyle="1">
    <w:name w:val="Bordered &amp; Lined - Accent 5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29" w:customStyle="1">
    <w:name w:val="Bordered &amp; Lined - Accent 6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30" w:customStyle="1">
    <w:name w:val="Bordered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1" w:customStyle="1">
    <w:name w:val="Bordered - Accent 1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32" w:customStyle="1">
    <w:name w:val="Bordered - Accent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33" w:customStyle="1">
    <w:name w:val="Bordered - Accent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34" w:customStyle="1">
    <w:name w:val="Bordered - Accent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35" w:customStyle="1">
    <w:name w:val="Bordered - Accent 5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36" w:customStyle="1">
    <w:name w:val="Bordered - Accent 6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37">
    <w:name w:val="Hyperlink"/>
    <w:uiPriority w:val="99"/>
    <w:unhideWhenUsed/>
    <w:rPr>
      <w:color w:val="0563c1" w:themeColor="hyperlink"/>
      <w:u w:val="single"/>
    </w:rPr>
  </w:style>
  <w:style w:type="paragraph" w:styleId="838">
    <w:name w:val="footnote text"/>
    <w:basedOn w:val="673"/>
    <w:link w:val="839"/>
    <w:uiPriority w:val="99"/>
    <w:semiHidden/>
    <w:unhideWhenUsed/>
    <w:pPr>
      <w:spacing w:after="40" w:line="240" w:lineRule="auto"/>
    </w:pPr>
    <w:rPr>
      <w:sz w:val="18"/>
    </w:rPr>
  </w:style>
  <w:style w:type="character" w:styleId="839" w:customStyle="1">
    <w:name w:val="Текст сноски Знак"/>
    <w:link w:val="838"/>
    <w:uiPriority w:val="99"/>
    <w:rPr>
      <w:sz w:val="18"/>
    </w:rPr>
  </w:style>
  <w:style w:type="character" w:styleId="840">
    <w:name w:val="footnote reference"/>
    <w:basedOn w:val="683"/>
    <w:uiPriority w:val="99"/>
    <w:unhideWhenUsed/>
    <w:rPr>
      <w:vertAlign w:val="superscript"/>
    </w:rPr>
  </w:style>
  <w:style w:type="paragraph" w:styleId="841">
    <w:name w:val="endnote text"/>
    <w:basedOn w:val="673"/>
    <w:link w:val="842"/>
    <w:uiPriority w:val="99"/>
    <w:semiHidden/>
    <w:unhideWhenUsed/>
    <w:pPr>
      <w:spacing w:after="0" w:line="240" w:lineRule="auto"/>
    </w:pPr>
    <w:rPr>
      <w:sz w:val="20"/>
    </w:rPr>
  </w:style>
  <w:style w:type="character" w:styleId="842" w:customStyle="1">
    <w:name w:val="Текст концевой сноски Знак"/>
    <w:link w:val="841"/>
    <w:uiPriority w:val="99"/>
    <w:rPr>
      <w:sz w:val="20"/>
    </w:rPr>
  </w:style>
  <w:style w:type="character" w:styleId="843">
    <w:name w:val="endnote reference"/>
    <w:basedOn w:val="683"/>
    <w:uiPriority w:val="99"/>
    <w:semiHidden/>
    <w:unhideWhenUsed/>
    <w:rPr>
      <w:vertAlign w:val="superscript"/>
    </w:rPr>
  </w:style>
  <w:style w:type="paragraph" w:styleId="844">
    <w:name w:val="toc 1"/>
    <w:basedOn w:val="673"/>
    <w:next w:val="673"/>
    <w:uiPriority w:val="39"/>
    <w:unhideWhenUsed/>
    <w:pPr>
      <w:spacing w:after="57"/>
    </w:pPr>
  </w:style>
  <w:style w:type="paragraph" w:styleId="845">
    <w:name w:val="toc 2"/>
    <w:basedOn w:val="673"/>
    <w:next w:val="673"/>
    <w:uiPriority w:val="39"/>
    <w:unhideWhenUsed/>
    <w:pPr>
      <w:ind w:left="283"/>
      <w:spacing w:after="57"/>
    </w:pPr>
  </w:style>
  <w:style w:type="paragraph" w:styleId="846">
    <w:name w:val="toc 3"/>
    <w:basedOn w:val="673"/>
    <w:next w:val="673"/>
    <w:uiPriority w:val="39"/>
    <w:unhideWhenUsed/>
    <w:pPr>
      <w:ind w:left="567"/>
      <w:spacing w:after="57"/>
    </w:pPr>
  </w:style>
  <w:style w:type="paragraph" w:styleId="847">
    <w:name w:val="toc 4"/>
    <w:basedOn w:val="673"/>
    <w:next w:val="673"/>
    <w:uiPriority w:val="39"/>
    <w:unhideWhenUsed/>
    <w:pPr>
      <w:ind w:left="850"/>
      <w:spacing w:after="57"/>
    </w:pPr>
  </w:style>
  <w:style w:type="paragraph" w:styleId="848">
    <w:name w:val="toc 5"/>
    <w:basedOn w:val="673"/>
    <w:next w:val="673"/>
    <w:uiPriority w:val="39"/>
    <w:unhideWhenUsed/>
    <w:pPr>
      <w:ind w:left="1134"/>
      <w:spacing w:after="57"/>
    </w:pPr>
  </w:style>
  <w:style w:type="paragraph" w:styleId="849">
    <w:name w:val="toc 6"/>
    <w:basedOn w:val="673"/>
    <w:next w:val="673"/>
    <w:uiPriority w:val="39"/>
    <w:unhideWhenUsed/>
    <w:pPr>
      <w:ind w:left="1417"/>
      <w:spacing w:after="57"/>
    </w:pPr>
  </w:style>
  <w:style w:type="paragraph" w:styleId="850">
    <w:name w:val="toc 7"/>
    <w:basedOn w:val="673"/>
    <w:next w:val="673"/>
    <w:uiPriority w:val="39"/>
    <w:unhideWhenUsed/>
    <w:pPr>
      <w:ind w:left="1701"/>
      <w:spacing w:after="57"/>
    </w:pPr>
  </w:style>
  <w:style w:type="paragraph" w:styleId="851">
    <w:name w:val="toc 8"/>
    <w:basedOn w:val="673"/>
    <w:next w:val="673"/>
    <w:uiPriority w:val="39"/>
    <w:unhideWhenUsed/>
    <w:pPr>
      <w:ind w:left="1984"/>
      <w:spacing w:after="57"/>
    </w:pPr>
  </w:style>
  <w:style w:type="paragraph" w:styleId="852">
    <w:name w:val="toc 9"/>
    <w:basedOn w:val="673"/>
    <w:next w:val="673"/>
    <w:uiPriority w:val="39"/>
    <w:unhideWhenUsed/>
    <w:pPr>
      <w:ind w:left="2268"/>
      <w:spacing w:after="57"/>
    </w:pPr>
  </w:style>
  <w:style w:type="paragraph" w:styleId="853">
    <w:name w:val="TOC Heading"/>
    <w:uiPriority w:val="39"/>
    <w:unhideWhenUsed/>
  </w:style>
  <w:style w:type="paragraph" w:styleId="854">
    <w:name w:val="table of figures"/>
    <w:basedOn w:val="673"/>
    <w:next w:val="673"/>
    <w:uiPriority w:val="99"/>
    <w:unhideWhenUsed/>
    <w:pPr>
      <w:spacing w:after="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image" Target="media/media1.svg"/><Relationship Id="rId10" Type="http://schemas.openxmlformats.org/officeDocument/2006/relationships/image" Target="media/image2.png"/><Relationship Id="rId11" Type="http://schemas.openxmlformats.org/officeDocument/2006/relationships/image" Target="media/media2.svg"/><Relationship Id="rId12" Type="http://schemas.openxmlformats.org/officeDocument/2006/relationships/image" Target="media/image3.png"/><Relationship Id="rId13" Type="http://schemas.openxmlformats.org/officeDocument/2006/relationships/image" Target="media/media3.svg"/><Relationship Id="rId14" Type="http://schemas.openxmlformats.org/officeDocument/2006/relationships/image" Target="media/image4.png"/><Relationship Id="rId15" Type="http://schemas.openxmlformats.org/officeDocument/2006/relationships/image" Target="media/media4.sv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Тимофеева Марина Николаевна (ТУ в Самарской области)</dc:creator>
  <cp:keywords/>
  <dc:description/>
  <cp:lastModifiedBy>olesia.gritsiuk</cp:lastModifiedBy>
  <cp:revision>12</cp:revision>
  <dcterms:created xsi:type="dcterms:W3CDTF">2023-03-24T06:11:00Z</dcterms:created>
  <dcterms:modified xsi:type="dcterms:W3CDTF">2026-07-28T07:14:00Z</dcterms:modified>
</cp:coreProperties>
</file>