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pStyle w:val="920"/>
      </w:pPr>
      <w:r/>
      <w:r/>
    </w:p>
    <w:tbl>
      <w:tblPr>
        <w:tblW w:w="10200" w:type="dxa"/>
        <w:tblInd w:w="-15" w:type="dxa"/>
        <w:tblLayout w:type="autofit"/>
        <w:tblCellMar>
          <w:left w:w="105" w:type="dxa"/>
          <w:top w:w="0" w:type="dxa"/>
          <w:right w:w="105" w:type="dxa"/>
          <w:bottom w:w="0" w:type="dxa"/>
        </w:tblCellMar>
        <w:tblLook w:val="04A0" w:firstRow="1" w:lastRow="0" w:firstColumn="1" w:lastColumn="0" w:noHBand="0" w:noVBand="1"/>
      </w:tblPr>
      <w:tblGrid>
        <w:gridCol w:w="4656"/>
        <w:gridCol w:w="5544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ГОСУДАРСТВЕННЫЙ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№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_______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59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ИКЗ: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6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1 5503085391 550301001 0007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00 0000 000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color w:val="000000"/>
                <w:sz w:val="16"/>
                <w:szCs w:val="16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16"/>
                <w:szCs w:val="16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16"/>
                <w:szCs w:val="16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16"/>
                <w:szCs w:val="16"/>
                <w:highlight w:val="none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г. Тара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                                                                                                                     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         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  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   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1738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по Омской области (Управление Росреестра по Омской области)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от имени Российской Федерации, именуемое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дальнейшем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«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в лице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 Сергея Эдуардовича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действую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щего на основании приказа от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3.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10.20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 №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233-к,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с одной стороны,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и______________________________________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именуемое в дальнейшем «Исполнитель», в лице генерального директора _____________________________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действующего на основании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Устава,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другой стороны, совместно именуемые «Стороны»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основании пункта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заключили настоящий Государственн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ый контракт (далее – Контракт)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нижеследующем: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tabs>
                <w:tab w:val="left" w:pos="327" w:leader="none"/>
              </w:tabs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1. ПРЕДМЕТ КОНТРАКТА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1.1. Исполнитель обязуется оказать услуги по проведению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предрейсовых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мед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цинских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осмотров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водителей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(далее – осмотр)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(далее - Услуги) в соответствии с Приложение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 настоящему Контракту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а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принять и оплатить данные Услуги.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1.2. Срок оказания Услуг –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06.20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 по 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1.1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2.20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Услуги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оказываются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в рабочее время по месту нахождения Исполнителя, расположенного </w:t>
              <w:br w:type="textWrapping" w:clear="all"/>
              <w:t xml:space="preserve">по адресу: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646530, Омская область, Тарский район, г. Тара, ул. Лихачева 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7"/>
              <w:ind w:firstLine="667"/>
              <w:jc w:val="both"/>
              <w:rPr>
                <w:rFonts w:ascii="Tinos" w:hAnsi="Tinos" w:cs="Tinos"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1.3.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слуги оказываются на основании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лицензии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от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</w:p>
        </w:tc>
      </w:tr>
      <w:tr>
        <w:tblPrEx/>
        <w:trPr>
          <w:trHeight w:val="7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57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2. ОБЯЗАННОСТИ СТОРОН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обязуется: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2.1.1. Оказать Услуги,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предусмотренные настоящим Контрактом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надлежащ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его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качеств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сроки и объемы, установленные Контрактом.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2.1.2. Предоставлять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по требованию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информацию о ходе исполнения своих обязательств по настоящему Контракту.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2.1.3.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Известить Заказчика в течение 3 (Трех)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календарных дней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приостановлении, прекращении действия либо аннулировани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лицензии на осуществление медицинской деятельности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2.1.4. Соблюдать конфиденциальность в отношении информации, ставшей ему известной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отношен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ии работников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при оказании Услуг в соответствии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ст. 7 Федерального закона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от 27.07.2006 № 152-ФЗ «О персональных данных».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2.1.5. Обладать всем необходимым оборудованием, техникой, помещениями и инструментами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для оказания Услуг по настоящему Контракту.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2.1.6. Не допуст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ить водителей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к управлению автомобил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следующих случаях: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временной нетрудоспособности;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положительной пробе на алкоголь, другие психотропные вещества и наркотики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выдыхаемом воздухе или биологических субстратах;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воздействия наркотических веществ;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воздействия лекарственных или иных веществ, отрицательно влияющих на работоспособность водителя.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Ежемесячно предоставлять документы на оплату за оказанные Услуги, а также реестр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количестве осмотров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2.2.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обязуется: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2.2.1. Своевременно принять и оплатить оказанные Услуги.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2.2.2. Предоставить Исполнителю список водителей, подлежащих осмотрам.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2.2.3. Обеспечи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ть присутствие водителей на осмотрах. Водители, подлежащие осмотрам, при себе должны иметь путевой лист, в котором по окончании осмотра ставится отметка о допуске к рейсу (штамп установленного образца) и подпись медицинского работника, проводившего осмотр.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92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84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</w:p>
          <w:p>
            <w:pPr>
              <w:pStyle w:val="920"/>
              <w:jc w:val="center"/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. ЦЕНА КОНТРАКТА И ПОРЯДОК ОПЛАТЫ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.1. Цена Контракта составляет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</w:rPr>
              <w:t xml:space="preserve">4 620</w:t>
            </w: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</w:rPr>
              <w:t xml:space="preserve">00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руб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л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(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Четыре тысячи шестьсот двадцать рублей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br/>
              <w:t xml:space="preserve">00 копеек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),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соответствии со ст. 149 Налогового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Оплата производится за счет средств федерального бюджета. Ассигнования 2026 года в сумме </w:t>
              <w:br/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3 960,00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рублей (Три тысячи девятьсот шестьдесят рублей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00 копеек),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  <w:br/>
              <w:t xml:space="preserve">в соответствии 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Ассигнования 2027 года в сумме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none"/>
              </w:rPr>
              <w:t xml:space="preserve">660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white"/>
              </w:rPr>
              <w:t xml:space="preserve">,00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white"/>
              </w:rPr>
              <w:t xml:space="preserve">ру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блей (Шестьсот шестьдесят рублей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00 копеек),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в соответствии 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Цена Контракта включает в себя стоимость Услуг, расходы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связанные с исполнением 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сполнителем обязательств по Контракту, страхование, уплату таможенных пошлин, налогов, сборов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 других обязательных платежей.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widowControl w:val="off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Цена Контракта является твердой и определяется на весь срок исполнения Контракта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 исключением случаев, установленных законодательством Российской Федерации.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687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.3.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Ежемесячно до 10 (Десятого) числа месяца, следующего за отчетным, Исполнитель выставляет и направляет Заказчику Акт об оказании услуг (далее – Акт) в 2 (Двух) экземплярах для подписания с приложением счета-фактуры (счета), реестра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рейсовых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медицинских осмотров водителей за истекший месяц.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3.4.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Оплата Услуг осуществляется в безналичной форме в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течение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10 (Десяти) рабочих дней </w:t>
              <w:br w:type="textWrapping" w:clear="all"/>
              <w:t xml:space="preserve">с даты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подписания Заказчиком Акта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основании предоставленных Исполнителем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счета на оплату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Акта с приложением реестра осмотра водителей, заверенного печатью и подписью главного врача (главного бухгалтера или Исполнителя),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путем перечисления денежных средств на расчетный счет Исполнителя по факту оказания Услуг.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Датой оплаты считается момент списания денежных средств с лицевого счета Заказчика.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 у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меньшает сумму, подлежащую уплате Исполнителю, на размер налогов, сборов </w:t>
              <w:br/>
              <w:t xml:space="preserve">и иных обязательных платежей в бюджеты бюджетной системы Российской Федерации, связанных </w:t>
              <w:br/>
              <w:t xml:space="preserve">с оплатой Контракта, если в соответствии с законодательством Российской Федерации о налогах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 сборах такие налоги, сборы и иные обязательные платежи подлежат уплате в бюджеты бюджетной системы Российской Федерации Заказчиком.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</w:tr>
      <w:tr>
        <w:tblPrEx/>
        <w:trPr>
          <w:trHeight w:val="344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1012"/>
              <w:numPr>
                <w:ilvl w:val="0"/>
                <w:numId w:val="29"/>
              </w:numPr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ПОРЯДОК СДАЧИ И ПРИЕМКИ УСЛУГ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 Приемка оказанных Услуг осуществляется на соответствие их объему, качеству 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и требованиям Контракта.</w:t>
            </w:r>
            <w:r>
              <w:rPr>
                <w:rFonts w:ascii="Tinos" w:hAnsi="Tinos" w:cs="Tinos"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Cs/>
                <w:color w:val="000000"/>
                <w:sz w:val="22"/>
                <w:szCs w:val="22"/>
              </w:rPr>
            </w:r>
          </w:p>
          <w:p>
            <w:pPr>
              <w:pStyle w:val="1012"/>
              <w:numPr>
                <w:ilvl w:val="0"/>
                <w:numId w:val="0"/>
              </w:numPr>
              <w:ind w:firstLine="7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.2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. З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аказчик в течение 3 (Трех) рабочих дней с момента получения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подписывает его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при условии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что содержание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соответствует фактически оказанным Услугам и условиям настоящего Контракта.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ind w:firstLine="7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.3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Услуги считаются оказанными с момента подписания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торонами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tabs>
                <w:tab w:val="num" w:pos="720" w:leader="none"/>
              </w:tabs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Акт 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расчетно-платежные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документы направляются почтой по юридическому адресу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6440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07, Омская область, г.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Омск, ул. Орджоникидзе, д.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56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и посредств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м электронного документооборота (СБИС, ООО «Компания «Тензор»).  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ind w:firstLine="7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ОТВЕТСТВЕННОСТЬ СТОРОН</w:t>
            </w:r>
            <w:r>
              <w:rPr>
                <w:rStyle w:val="955"/>
                <w:rFonts w:ascii="Tinos" w:hAnsi="Tinos" w:eastAsia="Tinos" w:cs="Tinos"/>
                <w:sz w:val="22"/>
                <w:szCs w:val="22"/>
              </w:rPr>
              <w:footnoteReference w:id="2"/>
            </w:r>
            <w:r>
              <w:rPr>
                <w:rFonts w:ascii="Tinos" w:hAnsi="Tinos" w:cs="Tinos"/>
                <w:b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color w:val="000000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5.2. В случае просро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чки исполнения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аказчиком обязательств, предусмотренных Контрактом,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вправе потребовать уплаты неустойки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штрафов,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устанавливается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Контрактом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размере одной трехсотой действующей на дату уплаты пен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ключевой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ставки Центрального банка Российской Федерации от не уплаченной в срок суммы.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5.3. В случае просрочки исполнения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Исполнителем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обязательств,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предусмотренных Контрактом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  <w:br w:type="textWrapping" w:clear="all"/>
              <w:t xml:space="preserve">а также в иных случаях неисполнения или ненадлежащего исполнения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Исполнителем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обязательств, предусмотренных Контрактом,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вправе потребовать уплаты неустойки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штрафов,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20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и устанавливается Контрактом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размере одной трехсотой действующей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дату уплаты пени ключевой ставки Центрального банка Российской Федерации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от цены Контракта (отдельного этапа 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сполнения Контракта),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5.4. Неустойка по Контракту выплачивается на основании обоснованного письменного требования Стороны.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5.5. Уплата неустойки не освобождает Стороны от исполнения своих обязательств по Контракту.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5.6.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Сторона освобождается от уплаты неустойки (пени), если докаж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т, что неисполнение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или ненадлежащее исполнение обязательства, предусмотренного Контрактом, произошло вследствие непреодолимой силы или по вине другой Стороны.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255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255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6. ГАРАНТИЯ КАЧЕСТВА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20"/>
              <w:ind w:firstLine="255"/>
              <w:jc w:val="both"/>
              <w:tabs>
                <w:tab w:val="left" w:pos="750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6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Исполнитель гарантирует, что качество оказываемых 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слуг соответствует требованиям стандартов, а также иным требованиям, предъявляемы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м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 к 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слугам такого рода на территории Российской Федерации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 Гарантийный срок устанавливается на весь срок оказания 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255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255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ФОРС-МАЖОР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Стороны освобождаются от ответственности за частичное или полное неисполнение обязательств по настоящему Контракту, если неис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полнение Сторонами обязательств вызвано непреодолимой силой, то есть чрезвычайными и непредотвратимыми обстоятельствами (стихийные бедствия, землетрясения, наводнения, пожары, мятежи, гражданские беспорядки, забастовки персонала, война и военные действия).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.2. Сторона, которая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не в состоянии выполнить свои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обязательства по настоящему Контракту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силу вышеуказанных обстоятельств, незамедлительно письменно информирует другую Сторону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наступлении данных обстоятельств и прекращении выполнения указанных обязательств, 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в любом случае не позднее 3 (Т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рех) рабочих дней после начала их действия. Несвоевременное уведомление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наступлении обстоятельств непреодолимой силы лишает соответствующую Сторону права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освобождение от ответственности за частичное или полное неисполнение обязательств по настоящему Контракту по причине указанных обстоятельств. Факт наступления и прекращения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действия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обстоятельств непреодолимой силы документально подтверждается компетентными государственными органами.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 Если указанные обстоя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тельства продолжаются более 1 (О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дного) месяца, то каждая Сторона имеет право на досрочное расторжение настоящего Контракта. В этом случае Стороны производят взаиморасчеты.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39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color w:val="000000"/>
                <w:sz w:val="18"/>
                <w:szCs w:val="18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ИЗМЕНЕНИЕ И РАСТОРЖЕНИЕ КОНТРАКТА</w:t>
            </w:r>
            <w:r>
              <w:rPr>
                <w:rFonts w:ascii="Tinos" w:hAnsi="Tinos" w:cs="Tinos"/>
                <w:b/>
                <w:color w:val="000000"/>
                <w:sz w:val="18"/>
                <w:szCs w:val="18"/>
              </w:rPr>
            </w:r>
            <w:r>
              <w:rPr>
                <w:rFonts w:ascii="Tinos" w:hAnsi="Tinos" w:cs="Tinos"/>
                <w:b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39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.1. При исполнении Контракта изменение его условий не допускается, за исключением случаев, предусмотренных </w: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begin"/>
            </w:r>
            <w:r>
              <w:rPr>
                <w:rFonts w:ascii="Tinos" w:hAnsi="Tinos" w:eastAsia="Tinos" w:cs="Tinos"/>
                <w:sz w:val="22"/>
                <w:szCs w:val="22"/>
              </w:rPr>
              <w:instrText xml:space="preserve">HYPERLINK consultantplus://offline/ref=9A6BDA9D95FCB93A483E6C1737BA5BF0EE7BF4AE0E0FE8A326E248A79A5E988C9BC6B4F5D1FD614FU0P0F </w:instrTex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separate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статьей 95</w: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end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Федерального закона от 05.04.2013 № 44-ФЗ «О контрактной системе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сфере закупок товаров, работ, услуг для обеспечения государственных и муниципальных нужд».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.2.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 может быть расторгнут по соглашению Сторон, а также Стороны вправе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одностороннем порядке по письменному заявлению отказаться от его исполнения по основаниям, предусмотренным Контрактом и гражданским законодательством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оссийской Федерации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вправе отказаться от исполнения Контракта в одностороннем внесудебном порядке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случаях: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.3.1. Оказани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Услуг ненадлежащего качества с недостатками, которые не могут быть устранены в приемлемый для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срок.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.3.2. Неоднократного нарушения Исполнителем сроков оказания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.3.3. В иных случаях, предусмотренных гражданским законодательством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Российской Федерации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.4. Исполнитель вправе отказаться от Контракта в одностороннем порядке в случа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 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еобоснованн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ого уклонения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от принятия и оплаты оказанных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ПОРЯДОК РАССМОТРЕНИЯ СПОРОВ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39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Споры и разногласия Сторон, возникающие в связи с исполнением настоящего Контракта, рассматриваются Сторонами путем переговоров.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.2. Неурегулированные путем переговоров споры и разногласия разрешаются в Арбитражном суде Омской области в соответствии с действующим законодательством Российской Федерации.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20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ПРОЧИЕ УСЛОВИЯ КОНТРАКТА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Все изменения и дополнения к настоящему Контракту оформляются дополнительными соглашениями, подписываемыми Сторонами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которые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являются неотъемлемой частью Контракта.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tabs>
                <w:tab w:val="left" w:pos="5115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 вступает в силу с момента его подписания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обеими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Сторонами и действует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  <w:t xml:space="preserve">по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31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7, 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части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финансовых обязательств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– до полного их исполнения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Стороны распространяют положения настоящего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а на правоотношения, которые возникли между ними с 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01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06.20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6,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 в связи с чем расчеты по данному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у производятся с этой даты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Настоящий Контракт составлен в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 (Д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вух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экземплярах, имеющих одинаковую юридическую силу, по одному для каждой из Сторон.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color w:val="auto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auto"/>
                <w:sz w:val="22"/>
                <w:szCs w:val="22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54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Приложени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Порядок расчета цены.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Перечень оказываемых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540"/>
              <w:jc w:val="both"/>
              <w:rPr>
                <w:rFonts w:ascii="Tinos" w:hAnsi="Tinos" w:cs="Tinos"/>
                <w:color w:val="ff66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ЮРИДИЧЕСКИЕ АДРЕСА, ПЛАТЕЖНЫЕ РЕКВИЗИТЫ И ПОДПИСИ СТОРОН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56" w:type="dxa"/>
            <w:vAlign w:val="top"/>
            <w:textDirection w:val="lrTb"/>
            <w:noWrap w:val="false"/>
          </w:tcPr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по Омской области 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(Управление Росреестра по Омской области)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544" w:type="dxa"/>
            <w:vAlign w:val="top"/>
            <w:textDirection w:val="lrTb"/>
            <w:noWrap w:val="false"/>
          </w:tcPr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ИСПОЛНИТЕЛЬ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56" w:type="dxa"/>
            <w:vAlign w:val="top"/>
            <w:textDirection w:val="lrTb"/>
            <w:noWrap w:val="false"/>
          </w:tcPr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5544" w:type="dxa"/>
            <w:vAlign w:val="top"/>
            <w:textDirection w:val="lrTb"/>
            <w:noWrap w:val="false"/>
          </w:tcPr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5571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656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Юридический адрес: 644007, Омская область,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Почтовый адрес: 644007, Омская область,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ИНН 5503085391 КПП 550301001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ОГРН 1045504038524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ОКПО 76322092</w:t>
            </w:r>
            <w:r>
              <w:rPr>
                <w:rFonts w:ascii="Tinos" w:hAnsi="Tinos" w:cs="Tinos"/>
                <w:color w:val="000000"/>
                <w:sz w:val="22"/>
                <w:szCs w:val="22"/>
                <w:highlight w:val="yellow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  <w:highlight w:val="yellow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Платежные реквизиты: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УФК по Омской области (Управление Федеральной службы государственной регистрации, кадастра и картографии по Омской области, л/с 03521А39080),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р/с 03211643000000015108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ОКЦ № 1 СибГУ Банка России//УФК </w:t>
              <w:br w:type="textWrapping" w:clear="all"/>
              <w:t xml:space="preserve">по Новосибирской области, г. Новосибирск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к/с 40102810445370000043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БИК 015004950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Телефон/факс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8 (3812) 56-35-25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Адрес эл.почты: 55_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upr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@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rosreestr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ru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Э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(подпись, печать)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5544" w:type="dxa"/>
            <w:vAlign w:val="top"/>
            <w:textDirection w:val="lrTb"/>
            <w:noWrap w:val="false"/>
          </w:tcPr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Генеральный директор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________________ </w:t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</w:tbl>
    <w:p>
      <w:pPr>
        <w:pStyle w:val="920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tabs>
          <w:tab w:val="left" w:pos="5445" w:leader="none"/>
          <w:tab w:val="left" w:pos="6480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  <w:t xml:space="preserve">                                                                                    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    </w:t>
      </w:r>
      <w:r>
        <w:rPr>
          <w:rFonts w:ascii="Tinos" w:hAnsi="Tinos" w:eastAsia="Tinos" w:cs="Tinos"/>
          <w:sz w:val="22"/>
          <w:szCs w:val="22"/>
        </w:rPr>
        <w:t xml:space="preserve">   </w:t>
      </w:r>
      <w:r>
        <w:rPr>
          <w:rFonts w:ascii="Tinos" w:hAnsi="Tinos" w:eastAsia="Tinos" w:cs="Tinos"/>
          <w:sz w:val="22"/>
          <w:szCs w:val="22"/>
        </w:rPr>
        <w:t xml:space="preserve">     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left="6521" w:firstLine="142"/>
        <w:tabs>
          <w:tab w:val="left" w:pos="5445" w:leader="none"/>
          <w:tab w:val="left" w:pos="6480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left="6521" w:firstLine="142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  <w:highlight w:val="none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left="6521" w:firstLine="142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  <w:highlight w:val="none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left="6521" w:firstLine="142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  <w:highlight w:val="none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left="6521" w:firstLine="142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  <w:highlight w:val="none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left="6521" w:firstLine="142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  <w:highlight w:val="none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left="6521" w:firstLine="142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  <w:highlight w:val="none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left="6521" w:firstLine="142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  <w:highlight w:val="none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left="6521" w:firstLine="142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  <w:highlight w:val="none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left="6521" w:firstLine="142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  <w:highlight w:val="none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left="6521" w:firstLine="142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  <w:highlight w:val="none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left="6521" w:firstLine="142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  <w:highlight w:val="none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left="6521" w:firstLine="142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  <w:highlight w:val="none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left="6521" w:firstLine="142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  <w:highlight w:val="none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left="6521" w:firstLine="142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  <w:highlight w:val="none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pStyle w:val="920"/>
        <w:ind w:left="6521" w:firstLine="142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  <w:highlight w:val="none"/>
        </w:rPr>
        <w:outlineLvl w:val="0"/>
      </w:pPr>
      <w:r>
        <w:rPr>
          <w:rFonts w:ascii="Tinos" w:hAnsi="Tinos" w:eastAsia="Tinos" w:cs="Tinos"/>
          <w:sz w:val="22"/>
          <w:szCs w:val="22"/>
        </w:rPr>
        <w:t xml:space="preserve">Пр</w:t>
      </w:r>
      <w:r>
        <w:rPr>
          <w:rFonts w:ascii="Tinos" w:hAnsi="Tinos" w:eastAsia="Tinos" w:cs="Tinos"/>
          <w:sz w:val="22"/>
          <w:szCs w:val="22"/>
        </w:rPr>
        <w:t xml:space="preserve">иложение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pStyle w:val="920"/>
        <w:ind w:left="6521" w:right="321" w:firstLine="142"/>
        <w:jc w:val="right"/>
        <w:tabs>
          <w:tab w:val="left" w:pos="9600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к Государственному контракту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ind w:left="6521" w:right="321" w:firstLine="142"/>
        <w:tabs>
          <w:tab w:val="left" w:pos="9600" w:leader="none"/>
        </w:tabs>
        <w:rPr>
          <w:rFonts w:ascii="Tinos" w:hAnsi="Tinos" w:cs="Tinos"/>
          <w:b/>
          <w:bCs/>
        </w:rPr>
      </w:pPr>
      <w:r>
        <w:rPr>
          <w:rFonts w:ascii="Tinos" w:hAnsi="Tinos" w:eastAsia="Tinos" w:cs="Tinos"/>
          <w:sz w:val="22"/>
          <w:szCs w:val="22"/>
        </w:rPr>
        <w:t xml:space="preserve">от </w:t>
      </w:r>
      <w:r>
        <w:rPr>
          <w:rFonts w:ascii="Tinos" w:hAnsi="Tinos" w:eastAsia="Tinos" w:cs="Tinos"/>
          <w:sz w:val="22"/>
          <w:szCs w:val="22"/>
        </w:rPr>
        <w:t xml:space="preserve">_____________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№ </w:t>
      </w:r>
      <w:r>
        <w:rPr>
          <w:rFonts w:ascii="Tinos" w:hAnsi="Tinos" w:eastAsia="Tinos" w:cs="Tinos"/>
          <w:sz w:val="22"/>
          <w:szCs w:val="22"/>
        </w:rPr>
        <w:t xml:space="preserve">______</w:t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pStyle w:val="947"/>
        <w:ind w:left="0"/>
        <w:jc w:val="center"/>
        <w:spacing w:after="0"/>
        <w:rPr>
          <w:rFonts w:ascii="Tinos" w:hAnsi="Tinos" w:eastAsia="Tinos" w:cs="Tinos"/>
          <w:b/>
          <w:bCs/>
          <w:highlight w:val="none"/>
        </w:rPr>
      </w:pPr>
      <w:r>
        <w:rPr>
          <w:rFonts w:ascii="Tinos" w:hAnsi="Tinos" w:eastAsia="Tinos" w:cs="Tinos"/>
          <w:b/>
          <w:bCs/>
        </w:rPr>
        <w:t xml:space="preserve">Порядок расчета цены. </w:t>
      </w:r>
      <w:r>
        <w:rPr>
          <w:rFonts w:ascii="Tinos" w:hAnsi="Tinos" w:eastAsia="Tinos" w:cs="Tinos"/>
          <w:b/>
          <w:bCs/>
          <w:highlight w:val="none"/>
        </w:rPr>
      </w:r>
      <w:r>
        <w:rPr>
          <w:rFonts w:ascii="Tinos" w:hAnsi="Tinos" w:eastAsia="Tinos" w:cs="Tinos"/>
          <w:b/>
          <w:bCs/>
          <w:highlight w:val="none"/>
        </w:rPr>
      </w:r>
      <w:r>
        <w:rPr>
          <w:rFonts w:ascii="Tinos" w:hAnsi="Tinos" w:eastAsia="Tinos" w:cs="Tinos"/>
          <w:b/>
          <w:bCs/>
          <w:sz w:val="16"/>
          <w:szCs w:val="16"/>
        </w:rPr>
      </w:r>
      <w:r>
        <w:rPr>
          <w:rFonts w:ascii="Tinos" w:hAnsi="Tinos" w:cs="Tinos"/>
          <w:b/>
          <w:bCs/>
          <w:sz w:val="16"/>
          <w:szCs w:val="16"/>
        </w:rPr>
      </w:r>
      <w:r>
        <w:rPr>
          <w:rFonts w:ascii="Tinos" w:hAnsi="Tinos" w:cs="Tinos"/>
          <w:b/>
          <w:bCs/>
          <w:sz w:val="16"/>
          <w:szCs w:val="16"/>
        </w:rPr>
      </w:r>
      <w:r>
        <w:rPr>
          <w:rFonts w:ascii="Tinos" w:hAnsi="Tinos" w:eastAsia="Tinos" w:cs="Tinos"/>
          <w:b/>
          <w:bCs/>
          <w:highlight w:val="none"/>
        </w:rPr>
      </w:r>
    </w:p>
    <w:p>
      <w:pPr>
        <w:pStyle w:val="947"/>
        <w:ind w:left="0" w:firstLine="708"/>
        <w:jc w:val="both"/>
        <w:spacing w:after="0"/>
        <w:rPr>
          <w:rFonts w:ascii="Tinos" w:hAnsi="Tinos" w:cs="Tinos"/>
          <w:bCs/>
          <w:sz w:val="22"/>
          <w:szCs w:val="22"/>
        </w:rPr>
      </w:pPr>
      <w:r>
        <w:rPr>
          <w:rFonts w:ascii="Tinos" w:hAnsi="Tinos" w:eastAsia="Tinos" w:cs="Tinos"/>
          <w:bCs/>
          <w:sz w:val="22"/>
          <w:szCs w:val="22"/>
        </w:rPr>
        <w:t xml:space="preserve">Расчет цены Контракта произведен на основании калькуляции </w:t>
      </w:r>
      <w:r>
        <w:rPr>
          <w:rFonts w:ascii="Tinos" w:hAnsi="Tinos" w:eastAsia="Tinos" w:cs="Tinos"/>
          <w:bCs/>
          <w:sz w:val="22"/>
          <w:szCs w:val="22"/>
        </w:rPr>
        <w:t xml:space="preserve">на проведение </w:t>
      </w:r>
      <w:r>
        <w:rPr>
          <w:rFonts w:ascii="Tinos" w:hAnsi="Tinos" w:eastAsia="Tinos" w:cs="Tinos"/>
          <w:bCs/>
          <w:sz w:val="22"/>
          <w:szCs w:val="22"/>
        </w:rPr>
        <w:t xml:space="preserve">предрейсового </w:t>
        <w:br/>
        <w:t xml:space="preserve">и послерейсового медицинского осмотра</w:t>
      </w:r>
      <w:r>
        <w:rPr>
          <w:rFonts w:ascii="Tinos" w:hAnsi="Tinos" w:eastAsia="Tinos" w:cs="Tinos"/>
          <w:bCs/>
          <w:sz w:val="22"/>
          <w:szCs w:val="22"/>
        </w:rPr>
        <w:t xml:space="preserve"> водителя транспортного средства в ОАО «Тарское АТП» </w:t>
        <w:br w:type="textWrapping" w:clear="all"/>
        <w:t xml:space="preserve">на </w:t>
      </w:r>
      <w:r>
        <w:rPr>
          <w:rFonts w:ascii="Tinos" w:hAnsi="Tinos" w:eastAsia="Tinos" w:cs="Tinos"/>
          <w:bCs/>
          <w:sz w:val="22"/>
          <w:szCs w:val="22"/>
        </w:rPr>
        <w:t xml:space="preserve">202</w:t>
      </w:r>
      <w:r>
        <w:rPr>
          <w:rFonts w:ascii="Tinos" w:hAnsi="Tinos" w:eastAsia="Tinos" w:cs="Tinos"/>
          <w:bCs/>
          <w:sz w:val="22"/>
          <w:szCs w:val="22"/>
        </w:rPr>
        <w:t xml:space="preserve">4</w:t>
      </w:r>
      <w:r>
        <w:rPr>
          <w:rFonts w:ascii="Tinos" w:hAnsi="Tinos" w:eastAsia="Tinos" w:cs="Tinos"/>
          <w:bCs/>
          <w:sz w:val="22"/>
          <w:szCs w:val="22"/>
        </w:rPr>
        <w:t xml:space="preserve">-</w:t>
      </w:r>
      <w:r>
        <w:rPr>
          <w:rFonts w:ascii="Tinos" w:hAnsi="Tinos" w:eastAsia="Tinos" w:cs="Tinos"/>
          <w:bCs/>
          <w:sz w:val="22"/>
          <w:szCs w:val="22"/>
        </w:rPr>
        <w:t xml:space="preserve">202</w:t>
      </w:r>
      <w:r>
        <w:rPr>
          <w:rFonts w:ascii="Tinos" w:hAnsi="Tinos" w:eastAsia="Tinos" w:cs="Tinos"/>
          <w:bCs/>
          <w:sz w:val="22"/>
          <w:szCs w:val="22"/>
        </w:rPr>
        <w:t xml:space="preserve">5</w:t>
      </w:r>
      <w:r>
        <w:rPr>
          <w:rFonts w:ascii="Tinos" w:hAnsi="Tinos" w:eastAsia="Tinos" w:cs="Tinos"/>
          <w:bCs/>
          <w:sz w:val="22"/>
          <w:szCs w:val="22"/>
        </w:rPr>
        <w:t xml:space="preserve"> г.</w:t>
      </w:r>
      <w:r>
        <w:rPr>
          <w:rFonts w:ascii="Tinos" w:hAnsi="Tinos" w:eastAsia="Tinos" w:cs="Tinos"/>
          <w:bCs/>
          <w:sz w:val="22"/>
          <w:szCs w:val="22"/>
        </w:rPr>
        <w:t xml:space="preserve">, утвержденной генеральным директором ОАО «Тарское АТП».</w:t>
      </w:r>
      <w:r>
        <w:rPr>
          <w:rFonts w:ascii="Tinos" w:hAnsi="Tinos" w:cs="Tinos"/>
          <w:bCs/>
          <w:sz w:val="22"/>
          <w:szCs w:val="22"/>
        </w:rPr>
      </w:r>
      <w:r>
        <w:rPr>
          <w:rFonts w:ascii="Tinos" w:hAnsi="Tinos" w:cs="Tinos"/>
          <w:bCs/>
          <w:sz w:val="22"/>
          <w:szCs w:val="22"/>
        </w:rPr>
      </w:r>
    </w:p>
    <w:p>
      <w:pPr>
        <w:pStyle w:val="947"/>
        <w:ind w:left="0" w:firstLine="708"/>
        <w:jc w:val="both"/>
        <w:spacing w:after="0"/>
        <w:rPr>
          <w:rFonts w:ascii="Tinos" w:hAnsi="Tinos" w:cs="Tinos"/>
          <w:bCs/>
          <w:sz w:val="16"/>
          <w:szCs w:val="16"/>
        </w:rPr>
      </w:pPr>
      <w:r>
        <w:rPr>
          <w:rFonts w:ascii="Tinos" w:hAnsi="Tinos" w:eastAsia="Tinos" w:cs="Tinos"/>
          <w:bCs/>
          <w:sz w:val="22"/>
          <w:szCs w:val="22"/>
        </w:rPr>
      </w:r>
      <w:r>
        <w:rPr>
          <w:rFonts w:ascii="Tinos" w:hAnsi="Tinos" w:cs="Tinos"/>
          <w:bCs/>
          <w:sz w:val="16"/>
          <w:szCs w:val="16"/>
        </w:rPr>
      </w:r>
      <w:r>
        <w:rPr>
          <w:rFonts w:ascii="Tinos" w:hAnsi="Tinos" w:cs="Tinos"/>
          <w:bCs/>
          <w:sz w:val="16"/>
          <w:szCs w:val="16"/>
        </w:rPr>
      </w:r>
    </w:p>
    <w:tbl>
      <w:tblPr>
        <w:tblpPr w:horzAnchor="text" w:tblpXSpec="left" w:vertAnchor="text" w:tblpY="1" w:leftFromText="180" w:topFromText="0" w:rightFromText="180" w:bottomFromText="0"/>
        <w:tblW w:w="100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"/>
        <w:gridCol w:w="2813"/>
        <w:gridCol w:w="1580"/>
        <w:gridCol w:w="2740"/>
        <w:gridCol w:w="23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№ п/п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Месяц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80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Количество выездов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740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Стоимость предрейсового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медицинского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осмотра одного водителя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(НДС не облагается)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рублей.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63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Сумма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НДС не облагается)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рублей.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Июнь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8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7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6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660,00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Июль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8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7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6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660,00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7"/>
        </w:trPr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Август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8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7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6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660,00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Сентябрь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8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7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6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660,00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Октябрь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8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7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6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660,00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Ноябрь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8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7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6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660,00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tcW w:w="535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Декабрь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80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74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63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660,00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4"/>
        </w:trPr>
        <w:tc>
          <w:tcPr>
            <w:gridSpan w:val="2"/>
            <w:tcW w:w="3348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ИТОГО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: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158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</w:rPr>
              <w:t xml:space="preserve">84</w:t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274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color w:val="ff0000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b/>
                <w:color w:val="ff0000"/>
                <w:sz w:val="22"/>
                <w:szCs w:val="22"/>
              </w:rPr>
              <w:t xml:space="preserve">-</w:t>
            </w:r>
            <w:r>
              <w:rPr>
                <w:rFonts w:ascii="Tinos" w:hAnsi="Tinos" w:cs="Tinos"/>
                <w:b/>
                <w:color w:val="ff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ff0000"/>
                <w:sz w:val="22"/>
                <w:szCs w:val="22"/>
              </w:rPr>
            </w:r>
          </w:p>
        </w:tc>
        <w:tc>
          <w:tcPr>
            <w:tcW w:w="2363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</w:rPr>
              <w:t xml:space="preserve">4 620,00</w:t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</w:p>
        </w:tc>
      </w:tr>
    </w:tbl>
    <w:p>
      <w:pPr>
        <w:pStyle w:val="920"/>
        <w:ind w:firstLine="708"/>
        <w:jc w:val="center"/>
        <w:rPr>
          <w:rFonts w:ascii="Tinos" w:hAnsi="Tinos" w:cs="Tinos"/>
          <w:b/>
          <w:bCs/>
          <w:sz w:val="16"/>
          <w:szCs w:val="16"/>
        </w:rPr>
      </w:pPr>
      <w:r>
        <w:rPr>
          <w:rFonts w:ascii="Tinos" w:hAnsi="Tinos" w:eastAsia="Tinos" w:cs="Tinos"/>
          <w:b/>
          <w:bCs/>
          <w:sz w:val="16"/>
          <w:szCs w:val="16"/>
        </w:rPr>
      </w:r>
      <w:r>
        <w:rPr>
          <w:rFonts w:ascii="Tinos" w:hAnsi="Tinos" w:cs="Tinos"/>
          <w:b/>
          <w:bCs/>
          <w:sz w:val="16"/>
          <w:szCs w:val="16"/>
        </w:rPr>
      </w:r>
      <w:r>
        <w:rPr>
          <w:rFonts w:ascii="Tinos" w:hAnsi="Tinos" w:cs="Tinos"/>
          <w:b/>
          <w:bCs/>
          <w:sz w:val="16"/>
          <w:szCs w:val="16"/>
        </w:rPr>
      </w:r>
    </w:p>
    <w:p>
      <w:pPr>
        <w:pStyle w:val="920"/>
        <w:ind w:firstLine="708"/>
        <w:jc w:val="center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Перечень оказываемых услуг</w:t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1.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sz w:val="22"/>
          <w:szCs w:val="22"/>
        </w:rPr>
        <w:t xml:space="preserve">О</w:t>
      </w:r>
      <w:r>
        <w:rPr>
          <w:rFonts w:ascii="Tinos" w:hAnsi="Tinos" w:eastAsia="Tinos" w:cs="Tinos"/>
          <w:sz w:val="22"/>
          <w:szCs w:val="22"/>
        </w:rPr>
        <w:t xml:space="preserve">смотр </w:t>
      </w:r>
      <w:r>
        <w:rPr>
          <w:rFonts w:ascii="Tinos" w:hAnsi="Tinos" w:eastAsia="Tinos" w:cs="Tinos"/>
          <w:sz w:val="22"/>
          <w:szCs w:val="22"/>
        </w:rPr>
        <w:t xml:space="preserve">включает проведение следующих мероприятий: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- </w:t>
      </w:r>
      <w:r>
        <w:rPr>
          <w:rFonts w:ascii="Tinos" w:hAnsi="Tinos" w:eastAsia="Tinos" w:cs="Tinos"/>
          <w:sz w:val="22"/>
          <w:szCs w:val="22"/>
        </w:rPr>
        <w:t xml:space="preserve">сбор анамнеза;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определение артериального давления и пульса водителей;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определение наличия алкоголя и других психотропных веществ в выдыхаемом воздухе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или биологических субстратах;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наличии показаний проведение любых других разрешенных медицинских исследований, необходимых для решения вопроса о допуске водителей к рейсу;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для водителей, больных гипертонической болезнью, определяется индивидуальная норма артериального давления по результатам замеров не менее чем десяти </w:t>
      </w:r>
      <w:r>
        <w:rPr>
          <w:rFonts w:ascii="Tinos" w:hAnsi="Tinos" w:eastAsia="Tinos" w:cs="Tinos"/>
          <w:sz w:val="22"/>
          <w:szCs w:val="22"/>
        </w:rPr>
        <w:t xml:space="preserve">пред рейсовых</w:t>
      </w:r>
      <w:r>
        <w:rPr>
          <w:rFonts w:ascii="Tinos" w:hAnsi="Tinos" w:eastAsia="Tinos" w:cs="Tinos"/>
          <w:sz w:val="22"/>
          <w:szCs w:val="22"/>
        </w:rPr>
        <w:t xml:space="preserve"> медицинских осмотров.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2. При р</w:t>
      </w:r>
      <w:r>
        <w:rPr>
          <w:rFonts w:ascii="Tinos" w:hAnsi="Tinos" w:eastAsia="Tinos" w:cs="Tinos"/>
          <w:sz w:val="22"/>
          <w:szCs w:val="22"/>
        </w:rPr>
        <w:t xml:space="preserve">ешении вопроса о возможности допуска водителя к управлению автомобилем медицинский работник, проводящий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3. Водители не допускаются к управлению автомобилем в следующих случаях: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временной нетрудоспособности;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положительной пробе на алкоголь, другие психотропные вещества и наркотики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в выдыхаемом воздухе или биологических субстратах;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воздействия наркотических веществ;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воздействия лекарственных или иных веществ, отрицательно влияющих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на работоспособность водителя.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4. При допуске к рейсу на путевых листах </w:t>
      </w:r>
      <w:r>
        <w:rPr>
          <w:rFonts w:ascii="Tinos" w:hAnsi="Tinos" w:eastAsia="Tinos" w:cs="Tinos"/>
          <w:sz w:val="22"/>
          <w:szCs w:val="22"/>
        </w:rPr>
        <w:t xml:space="preserve">по окончанию осмотра ставится отметка о допуске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к рейсу (штамп установленного образца) и подпись медицинского работника, проводившего осмотр.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  <w:t xml:space="preserve">5. По результатам осмотра ведется полицевой учет отстраненных от работы водителей, для чего используются бланки карт амбулаторного больного (форма 25). В карту заносятся результаты </w:t>
      </w:r>
      <w:r>
        <w:rPr>
          <w:rFonts w:ascii="Tinos" w:hAnsi="Tinos" w:eastAsia="Tinos" w:cs="Tinos"/>
          <w:sz w:val="22"/>
          <w:szCs w:val="22"/>
        </w:rPr>
        <w:t xml:space="preserve">осмотра </w:t>
      </w:r>
      <w:r>
        <w:rPr>
          <w:rFonts w:ascii="Tinos" w:hAnsi="Tinos" w:eastAsia="Tinos" w:cs="Tinos"/>
          <w:sz w:val="22"/>
          <w:szCs w:val="22"/>
        </w:rPr>
        <w:t xml:space="preserve">(анамнез, объективные данные осмотра, причина отстранения).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36"/>
        <w:spacing w:after="0"/>
        <w:rPr>
          <w:rFonts w:ascii="Tinos" w:hAnsi="Tinos" w:cs="Tinos"/>
          <w:bCs/>
          <w:sz w:val="22"/>
          <w:szCs w:val="22"/>
        </w:rPr>
      </w:pPr>
      <w:r>
        <w:rPr>
          <w:rFonts w:ascii="Tinos" w:hAnsi="Tinos" w:eastAsia="Tinos" w:cs="Tinos"/>
          <w:bCs/>
          <w:sz w:val="22"/>
          <w:szCs w:val="22"/>
        </w:rPr>
      </w:r>
      <w:r>
        <w:rPr>
          <w:rFonts w:ascii="Tinos" w:hAnsi="Tinos" w:cs="Tinos"/>
          <w:bCs/>
          <w:sz w:val="22"/>
          <w:szCs w:val="22"/>
        </w:rPr>
      </w:r>
      <w:r>
        <w:rPr>
          <w:rFonts w:ascii="Tinos" w:hAnsi="Tinos" w:cs="Tinos"/>
          <w:bCs/>
          <w:sz w:val="22"/>
          <w:szCs w:val="22"/>
        </w:rPr>
      </w:r>
    </w:p>
    <w:tbl>
      <w:tblPr>
        <w:tblW w:w="9860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4898"/>
      </w:tblGrid>
      <w:tr>
        <w:tblPrEx/>
        <w:trPr>
          <w:trHeight w:val="50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</w:t>
              <w:br w:type="textWrapping" w:clear="all"/>
              <w:t xml:space="preserve">и картографии по Омской области (Управление Росреестра по Омской области)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Э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8" w:type="dxa"/>
            <w:vAlign w:val="top"/>
            <w:textDirection w:val="lrTb"/>
            <w:noWrap w:val="false"/>
          </w:tcPr>
          <w:p>
            <w:pPr>
              <w:pStyle w:val="920"/>
              <w:ind w:left="-108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ind w:left="-108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ind w:left="-108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ind w:left="-108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left="-108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ind w:left="-108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Генеральный директор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ind w:left="-108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ind w:left="-108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 </w:t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left="-108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567" w:right="567" w:bottom="851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Times New Roman CYR">
    <w:panose1 w:val="02000603000000000000"/>
  </w:font>
  <w:font w:name="Cambria">
    <w:panose1 w:val="02040503050406030204"/>
  </w:font>
  <w:font w:name="Courier New">
    <w:panose1 w:val="02070409020205020404"/>
  </w:font>
  <w:font w:name="DejaVu Sans">
    <w:panose1 w:val="020B0603030804020204"/>
  </w:font>
  <w:font w:name="Wingdings">
    <w:panose1 w:val="05010000000000000000"/>
  </w:font>
  <w:font w:name="Franklin Gothic Book">
    <w:panose1 w:val="020B0503020203020204"/>
  </w:font>
  <w:font w:name="Lucida Sans Unicode">
    <w:panose1 w:val="020B0502040504020204"/>
  </w:font>
  <w:font w:name="Verdana">
    <w:panose1 w:val="020B0604030504040204"/>
  </w:font>
  <w:font w:name="TimesDL">
    <w:panose1 w:val="02000603000000000000"/>
  </w:font>
  <w:font w:name="Consultant">
    <w:panose1 w:val="02000603000000000000"/>
  </w:font>
  <w:font w:name="Times New Roman">
    <w:panose1 w:val="02020603050405020304"/>
  </w:font>
  <w:font w:name="Calibri">
    <w:panose1 w:val="020F0502020204030204"/>
  </w:font>
  <w:font w:name="Gelvetsky 12pt">
    <w:panose1 w:val="02000603000000000000"/>
  </w:font>
  <w:font w:name="Batang">
    <w:panose1 w:val="02000506000000020000"/>
  </w:font>
  <w:font w:name="Tahoma">
    <w:panose1 w:val="020B0604030504040204"/>
  </w:font>
  <w:font w:name="MS Mincho">
    <w:panose1 w:val="020205030504050903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20"/>
        <w:ind w:firstLine="540"/>
        <w:jc w:val="both"/>
      </w:pPr>
      <w:r>
        <w:rPr>
          <w:rStyle w:val="955"/>
        </w:rPr>
        <w:footnoteRef/>
      </w:r>
      <w:r>
        <w:t xml:space="preserve"> </w:t>
      </w:r>
      <w:r>
        <w:rPr>
          <w:sz w:val="18"/>
          <w:szCs w:val="18"/>
        </w:rPr>
        <w:t xml:space="preserve">Штрафные санкции рассчитываются на основании п</w:t>
      </w:r>
      <w:r>
        <w:rPr>
          <w:sz w:val="18"/>
          <w:szCs w:val="18"/>
        </w:rPr>
        <w:t xml:space="preserve">остановлени</w:t>
      </w:r>
      <w:r>
        <w:rPr>
          <w:sz w:val="18"/>
          <w:szCs w:val="18"/>
        </w:rPr>
        <w:t xml:space="preserve">я</w:t>
      </w:r>
      <w:r>
        <w:rPr>
          <w:sz w:val="18"/>
          <w:szCs w:val="18"/>
        </w:rPr>
        <w:t xml:space="preserve"> Правительства РФ от 30.08.2017 №1042 </w:t>
      </w:r>
      <w:r>
        <w:rPr>
          <w:sz w:val="18"/>
          <w:szCs w:val="18"/>
        </w:rPr>
        <w:br w:type="textWrapping" w:clear="all"/>
      </w:r>
      <w:r>
        <w:rPr>
          <w:sz w:val="18"/>
          <w:szCs w:val="18"/>
        </w:rPr>
        <w:t xml:space="preserve">«Об утверждении Правил определения размера штрафа, начисляемого в случае нена</w:t>
      </w:r>
      <w:r>
        <w:rPr>
          <w:sz w:val="18"/>
          <w:szCs w:val="18"/>
        </w:rPr>
        <w:t xml:space="preserve">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</w:t>
      </w:r>
      <w:r>
        <w:rPr>
          <w:sz w:val="18"/>
          <w:szCs w:val="18"/>
        </w:rPr>
        <w:t xml:space="preserve">), </w:t>
        <w:br w:type="textWrapping" w:clear="all"/>
      </w:r>
      <w:r>
        <w:rPr>
          <w:sz w:val="18"/>
          <w:szCs w:val="18"/>
        </w:rPr>
        <w:t xml:space="preserve">о внесении изменений в постановление Правительства Российской Федерации от 15 мая 2017 г.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570 и признании утратившим силу постановления Правительства Российской Федерации от 25 ноября 2013 г.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1063»</w:t>
      </w:r>
      <w:r>
        <w:rPr>
          <w:sz w:val="18"/>
          <w:szCs w:val="18"/>
        </w:rPr>
        <w:t xml:space="preserve">.</w:t>
      </w:r>
      <w:r/>
    </w:p>
    <w:p>
      <w:pPr>
        <w:pStyle w:val="954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0" w:firstLine="0"/>
        <w:tabs>
          <w:tab w:val="num" w:pos="360" w:leader="none"/>
        </w:tabs>
      </w:pPr>
    </w:lvl>
    <w:lvl w:ilvl="1">
      <w:start w:val="1"/>
      <w:numFmt w:val="decimal"/>
      <w:pStyle w:val="922"/>
      <w:isLgl w:val="false"/>
      <w:suff w:val="tab"/>
      <w:lvlText w:val="2.1."/>
      <w:lvlJc w:val="left"/>
      <w:pPr>
        <w:ind w:left="284" w:hanging="284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644" w:hanging="360"/>
        <w:tabs>
          <w:tab w:val="num" w:pos="644" w:leader="none"/>
        </w:tabs>
      </w:pPr>
    </w:lvl>
    <w:lvl w:ilvl="3">
      <w:start w:val="1"/>
      <w:numFmt w:val="decimal"/>
      <w:pStyle w:val="924"/>
      <w:isLgl w:val="false"/>
      <w:suff w:val="tab"/>
      <w:lvlText w:val="2%1%2.2.%4."/>
      <w:lvlJc w:val="left"/>
      <w:pPr>
        <w:ind w:left="1134" w:hanging="567"/>
        <w:tabs>
          <w:tab w:val="num" w:pos="1287" w:leader="none"/>
        </w:tabs>
      </w:pPr>
    </w:lvl>
    <w:lvl w:ilvl="4">
      <w:start w:val="1"/>
      <w:numFmt w:val="decimal"/>
      <w:pStyle w:val="925"/>
      <w:isLgl w:val="false"/>
      <w:suff w:val="tab"/>
      <w:lvlText w:val="2.%2.%3.%4.%5."/>
      <w:lvlJc w:val="left"/>
      <w:pPr>
        <w:ind w:left="1701" w:hanging="567"/>
        <w:tabs>
          <w:tab w:val="num" w:pos="2214" w:leader="none"/>
        </w:tabs>
      </w:pPr>
    </w:lvl>
    <w:lvl w:ilvl="5">
      <w:start w:val="1"/>
      <w:numFmt w:val="decimal"/>
      <w:pStyle w:val="926"/>
      <w:isLgl w:val="false"/>
      <w:suff w:val="tab"/>
      <w:lvlText w:val="%1%2.%3.%4.%5.%6."/>
      <w:lvlJc w:val="left"/>
      <w:pPr>
        <w:ind w:left="2268" w:hanging="567"/>
        <w:tabs>
          <w:tab w:val="num" w:pos="2781" w:leader="none"/>
        </w:tabs>
      </w:pPr>
    </w:lvl>
    <w:lvl w:ilvl="6">
      <w:start w:val="1"/>
      <w:numFmt w:val="decimal"/>
      <w:pStyle w:val="927"/>
      <w:isLgl w:val="false"/>
      <w:suff w:val="tab"/>
      <w:lvlText w:val="%1%2.%3.%4.%5.%6.%7."/>
      <w:lvlJc w:val="left"/>
      <w:pPr>
        <w:ind w:left="4420" w:hanging="708"/>
        <w:tabs>
          <w:tab w:val="num" w:pos="5152" w:leader="none"/>
        </w:tabs>
      </w:pPr>
    </w:lvl>
    <w:lvl w:ilvl="7">
      <w:start w:val="1"/>
      <w:numFmt w:val="decimal"/>
      <w:pStyle w:val="928"/>
      <w:isLgl w:val="false"/>
      <w:suff w:val="tab"/>
      <w:lvlText w:val="%1.%2.%3.%4.%5.%6.%7.%8."/>
      <w:lvlJc w:val="left"/>
      <w:pPr>
        <w:ind w:left="5128" w:hanging="708"/>
        <w:tabs>
          <w:tab w:val="num" w:pos="6220" w:leader="none"/>
        </w:tabs>
      </w:pPr>
    </w:lvl>
    <w:lvl w:ilvl="8">
      <w:start w:val="1"/>
      <w:numFmt w:val="decimal"/>
      <w:pStyle w:val="929"/>
      <w:isLgl w:val="false"/>
      <w:suff w:val="tab"/>
      <w:lvlText w:val="%1.%2.%3.%4.%5.%6.%7.%8.%9."/>
      <w:lvlJc w:val="left"/>
      <w:pPr>
        <w:ind w:left="5836" w:hanging="708"/>
        <w:tabs>
          <w:tab w:val="num" w:pos="6928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isLgl w:val="false"/>
      <w:suff w:val="space"/>
      <w:lvlText w:val="%1.%2."/>
      <w:lvlJc w:val="left"/>
      <w:pPr>
        <w:ind w:firstLine="284"/>
      </w:pPr>
      <w:rPr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isLgl w:val="false"/>
      <w:suff w:val="space"/>
      <w:lvlText w:val="%1.%2.%3."/>
      <w:lvlJc w:val="left"/>
      <w:pPr>
        <w:ind w:firstLine="567"/>
      </w:pPr>
      <w:rPr>
        <w:b w:val="0"/>
        <w:bCs w:val="0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37" w:hanging="720"/>
        <w:tabs>
          <w:tab w:val="num" w:pos="2337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36" w:hanging="1080"/>
        <w:tabs>
          <w:tab w:val="num" w:pos="3236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75" w:hanging="1080"/>
        <w:tabs>
          <w:tab w:val="num" w:pos="377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74" w:hanging="1440"/>
        <w:tabs>
          <w:tab w:val="num" w:pos="467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13" w:hanging="1440"/>
        <w:tabs>
          <w:tab w:val="num" w:pos="521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12" w:hanging="1800"/>
        <w:tabs>
          <w:tab w:val="num" w:pos="6112" w:leader="none"/>
        </w:tabs>
      </w:pPr>
    </w:lvl>
  </w:abstractNum>
  <w:abstractNum w:abstractNumId="6">
    <w:multiLevelType w:val="hybridMultilevel"/>
    <w:lvl w:ilvl="0">
      <w:start w:val="1"/>
      <w:numFmt w:val="decimal"/>
      <w:pStyle w:val="1003"/>
      <w:isLgl w:val="false"/>
      <w:suff w:val="tab"/>
      <w:lvlText w:val="%1)"/>
      <w:legacy w:legacy="1" w:legacyIndent="0" w:legacySpace="0"/>
      <w:lvlJc w:val="left"/>
      <w:pPr/>
      <w:rPr>
        <w:rFonts w:ascii="Times New Roman CYR" w:hAnsi="Times New Roman CYR" w:cs="Times New Roman CYR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8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5.%2."/>
      <w:lvlJc w:val="left"/>
      <w:pPr>
        <w:ind w:left="945" w:hanging="465"/>
        <w:tabs>
          <w:tab w:val="num" w:pos="945" w:leader="none"/>
        </w:tabs>
      </w:pPr>
      <w:rPr>
        <w:rFonts w:ascii="Times New Roman" w:hAnsi="Times New Roman"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ascii="Times New Roman" w:hAnsi="Times New Roman" w:cs="Times New Roman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ascii="Times New Roman" w:hAnsi="Times New Roman" w:cs="Times New Roman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ascii="Times New Roman" w:hAnsi="Times New Roman" w:cs="Times New Roman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ascii="Times New Roman" w:hAnsi="Times New Roman" w:cs="Times New Roman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ascii="Times New Roman" w:hAnsi="Times New Roman" w:cs="Times New Roman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ascii="Times New Roman" w:hAnsi="Times New Roman" w:cs="Times New Roman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ascii="Times New Roman" w:hAnsi="Times New Roman" w:cs="Times New Roman"/>
        <w:color w:val="000000"/>
      </w:r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5.%2."/>
      <w:lvlJc w:val="left"/>
      <w:pPr>
        <w:ind w:left="1185" w:hanging="465"/>
        <w:tabs>
          <w:tab w:val="num" w:pos="1185" w:leader="none"/>
        </w:tabs>
      </w:pPr>
      <w:rPr>
        <w:rFonts w:ascii="Times New Roman" w:hAnsi="Times New Roman"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ascii="Times New Roman" w:hAnsi="Times New Roman" w:cs="Times New Roman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ascii="Times New Roman" w:hAnsi="Times New Roman" w:cs="Times New Roman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ascii="Times New Roman" w:hAnsi="Times New Roman" w:cs="Times New Roman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ascii="Times New Roman" w:hAnsi="Times New Roman" w:cs="Times New Roman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ascii="Times New Roman" w:hAnsi="Times New Roman" w:cs="Times New Roman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ascii="Times New Roman" w:hAnsi="Times New Roman" w:cs="Times New Roman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ascii="Times New Roman" w:hAnsi="Times New Roman" w:cs="Times New Roman"/>
        <w:color w:val="000000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0" w:hanging="750"/>
        <w:tabs>
          <w:tab w:val="num" w:pos="75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005" w:hanging="750"/>
        <w:tabs>
          <w:tab w:val="num" w:pos="1005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50"/>
        <w:tabs>
          <w:tab w:val="num" w:pos="126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15" w:hanging="750"/>
        <w:tabs>
          <w:tab w:val="num" w:pos="1515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00" w:hanging="1080"/>
        <w:tabs>
          <w:tab w:val="num" w:pos="2100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355" w:hanging="1080"/>
        <w:tabs>
          <w:tab w:val="num" w:pos="2355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970" w:hanging="1440"/>
        <w:tabs>
          <w:tab w:val="num" w:pos="2970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25" w:hanging="1440"/>
        <w:tabs>
          <w:tab w:val="num" w:pos="3225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840" w:hanging="1800"/>
        <w:tabs>
          <w:tab w:val="num" w:pos="3840" w:leader="none"/>
        </w:tabs>
      </w:pPr>
      <w:rPr>
        <w:color w:val="000000"/>
      </w:r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decimal"/>
      <w:pStyle w:val="1013"/>
      <w:isLgl w:val="false"/>
      <w:suff w:val="space"/>
      <w:lvlText w:val="%1.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pStyle w:val="1012"/>
      <w:isLgl w:val="false"/>
      <w:suff w:val="space"/>
      <w:lvlText w:val="%1.%2."/>
      <w:lvlJc w:val="left"/>
      <w:pPr>
        <w:ind w:firstLine="284"/>
      </w:pPr>
      <w:rPr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isLgl w:val="false"/>
      <w:suff w:val="space"/>
      <w:lvlText w:val="%1.%2.%3."/>
      <w:lvlJc w:val="left"/>
      <w:pPr>
        <w:ind w:firstLine="397"/>
      </w:pPr>
      <w:rPr>
        <w:b w:val="0"/>
        <w:bCs w:val="0"/>
        <w:i w:val="0"/>
        <w:iCs w:val="0"/>
      </w:rPr>
    </w:lvl>
    <w:lvl w:ilvl="3">
      <w:start w:val="1"/>
      <w:numFmt w:val="decimal"/>
      <w:isLgl w:val="false"/>
      <w:suff w:val="space"/>
      <w:lvlText w:val="%4)"/>
      <w:lvlJc w:val="left"/>
      <w:pPr>
        <w:ind w:firstLine="567"/>
      </w:pPr>
    </w:lvl>
    <w:lvl w:ilvl="4">
      <w:start w:val="1"/>
      <w:numFmt w:val="thaiNumbers"/>
      <w:isLgl w:val="false"/>
      <w:suff w:val="space"/>
      <w:lvlText w:val="%5)"/>
      <w:lvlJc w:val="left"/>
      <w:pPr>
        <w:ind w:firstLine="851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75" w:hanging="1080"/>
        <w:tabs>
          <w:tab w:val="num" w:pos="377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74" w:hanging="1440"/>
        <w:tabs>
          <w:tab w:val="num" w:pos="467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13" w:hanging="1440"/>
        <w:tabs>
          <w:tab w:val="num" w:pos="521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12" w:hanging="1800"/>
        <w:tabs>
          <w:tab w:val="num" w:pos="6112" w:leader="none"/>
        </w:tabs>
      </w:pPr>
    </w:lvl>
  </w:abstractNum>
  <w:abstractNum w:abstractNumId="23">
    <w:multiLevelType w:val="hybridMultilevel"/>
    <w:lvl w:ilvl="0">
      <w:start w:val="1"/>
      <w:numFmt w:val="decimal"/>
      <w:pStyle w:val="945"/>
      <w:isLgl w:val="false"/>
      <w:suff w:val="tab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pStyle w:val="1006"/>
      <w:isLgl w:val="false"/>
      <w:suff w:val="tab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  <w:tabs>
          <w:tab w:val="num" w:pos="1647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  <w:tabs>
          <w:tab w:val="num" w:pos="2367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  <w:tabs>
          <w:tab w:val="num" w:pos="3087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  <w:tabs>
          <w:tab w:val="num" w:pos="3807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  <w:tabs>
          <w:tab w:val="num" w:pos="4527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  <w:tabs>
          <w:tab w:val="num" w:pos="5247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  <w:tabs>
          <w:tab w:val="num" w:pos="5967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  <w:tabs>
          <w:tab w:val="num" w:pos="6687" w:leader="none"/>
        </w:tabs>
      </w:pPr>
      <w:rPr>
        <w:rFonts w:cs="Times New Roman"/>
      </w:rPr>
    </w:lvl>
  </w:abstractNum>
  <w:abstractNum w:abstractNumId="2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6"/>
  </w:num>
  <w:num w:numId="3">
    <w:abstractNumId w:val="23"/>
  </w:num>
  <w:num w:numId="4">
    <w:abstractNumId w:val="12"/>
  </w:num>
  <w:num w:numId="5">
    <w:abstractNumId w:val="1"/>
  </w:num>
  <w:num w:numId="6">
    <w:abstractNumId w:val="20"/>
  </w:num>
  <w:num w:numId="7">
    <w:abstractNumId w:val="13"/>
  </w:num>
  <w:num w:numId="8">
    <w:abstractNumId w:val="16"/>
  </w:num>
  <w:num w:numId="9">
    <w:abstractNumId w:val="11"/>
  </w:num>
  <w:num w:numId="10">
    <w:abstractNumId w:val="25"/>
  </w:num>
  <w:num w:numId="11">
    <w:abstractNumId w:val="15"/>
  </w:num>
  <w:num w:numId="12">
    <w:abstractNumId w:val="24"/>
  </w:num>
  <w:num w:numId="13">
    <w:abstractNumId w:val="8"/>
  </w:num>
  <w:num w:numId="14">
    <w:abstractNumId w:val="14"/>
  </w:num>
  <w:num w:numId="15">
    <w:abstractNumId w:val="18"/>
  </w:num>
  <w:num w:numId="16">
    <w:abstractNumId w:val="3"/>
  </w:num>
  <w:num w:numId="17">
    <w:abstractNumId w:val="2"/>
  </w:num>
  <w:num w:numId="18">
    <w:abstractNumId w:val="17"/>
  </w:num>
  <w:num w:numId="19">
    <w:abstractNumId w:val="4"/>
  </w:num>
  <w:num w:numId="20">
    <w:abstractNumId w:val="9"/>
  </w:num>
  <w:num w:numId="21">
    <w:abstractNumId w:val="19"/>
  </w:num>
  <w:num w:numId="22">
    <w:abstractNumId w:val="7"/>
  </w:num>
  <w:num w:numId="23">
    <w:abstractNumId w:val="26"/>
  </w:num>
  <w:num w:numId="24">
    <w:abstractNumId w:val="22"/>
  </w:num>
  <w:num w:numId="25">
    <w:abstractNumId w:val="10"/>
  </w:num>
  <w:num w:numId="26">
    <w:abstractNumId w:val="5"/>
  </w:num>
  <w:num w:numId="27">
    <w:abstractNumId w:val="27"/>
  </w:num>
  <w:num w:numId="28">
    <w:abstractNumId w:val="28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2">
    <w:name w:val="Heading 1"/>
    <w:basedOn w:val="920"/>
    <w:next w:val="920"/>
    <w:link w:val="74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3">
    <w:name w:val="Heading 1 Char"/>
    <w:link w:val="742"/>
    <w:uiPriority w:val="9"/>
    <w:rPr>
      <w:rFonts w:ascii="Arial" w:hAnsi="Arial" w:eastAsia="Arial" w:cs="Arial"/>
      <w:sz w:val="40"/>
      <w:szCs w:val="40"/>
    </w:rPr>
  </w:style>
  <w:style w:type="paragraph" w:styleId="744">
    <w:name w:val="Heading 2"/>
    <w:basedOn w:val="920"/>
    <w:next w:val="920"/>
    <w:link w:val="74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5">
    <w:name w:val="Heading 2 Char"/>
    <w:link w:val="744"/>
    <w:uiPriority w:val="9"/>
    <w:rPr>
      <w:rFonts w:ascii="Arial" w:hAnsi="Arial" w:eastAsia="Arial" w:cs="Arial"/>
      <w:sz w:val="34"/>
    </w:rPr>
  </w:style>
  <w:style w:type="paragraph" w:styleId="746">
    <w:name w:val="Heading 3"/>
    <w:basedOn w:val="920"/>
    <w:next w:val="920"/>
    <w:link w:val="74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7">
    <w:name w:val="Heading 3 Char"/>
    <w:link w:val="746"/>
    <w:uiPriority w:val="9"/>
    <w:rPr>
      <w:rFonts w:ascii="Arial" w:hAnsi="Arial" w:eastAsia="Arial" w:cs="Arial"/>
      <w:sz w:val="30"/>
      <w:szCs w:val="30"/>
    </w:rPr>
  </w:style>
  <w:style w:type="paragraph" w:styleId="748">
    <w:name w:val="Heading 4"/>
    <w:basedOn w:val="920"/>
    <w:next w:val="920"/>
    <w:link w:val="74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9">
    <w:name w:val="Heading 4 Char"/>
    <w:link w:val="748"/>
    <w:uiPriority w:val="9"/>
    <w:rPr>
      <w:rFonts w:ascii="Arial" w:hAnsi="Arial" w:eastAsia="Arial" w:cs="Arial"/>
      <w:b/>
      <w:bCs/>
      <w:sz w:val="26"/>
      <w:szCs w:val="26"/>
    </w:rPr>
  </w:style>
  <w:style w:type="paragraph" w:styleId="750">
    <w:name w:val="Heading 5"/>
    <w:basedOn w:val="920"/>
    <w:next w:val="920"/>
    <w:link w:val="7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1">
    <w:name w:val="Heading 5 Char"/>
    <w:link w:val="750"/>
    <w:uiPriority w:val="9"/>
    <w:rPr>
      <w:rFonts w:ascii="Arial" w:hAnsi="Arial" w:eastAsia="Arial" w:cs="Arial"/>
      <w:b/>
      <w:bCs/>
      <w:sz w:val="24"/>
      <w:szCs w:val="24"/>
    </w:rPr>
  </w:style>
  <w:style w:type="paragraph" w:styleId="752">
    <w:name w:val="Heading 6"/>
    <w:basedOn w:val="920"/>
    <w:next w:val="920"/>
    <w:link w:val="7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3">
    <w:name w:val="Heading 6 Char"/>
    <w:link w:val="752"/>
    <w:uiPriority w:val="9"/>
    <w:rPr>
      <w:rFonts w:ascii="Arial" w:hAnsi="Arial" w:eastAsia="Arial" w:cs="Arial"/>
      <w:b/>
      <w:bCs/>
      <w:sz w:val="22"/>
      <w:szCs w:val="22"/>
    </w:rPr>
  </w:style>
  <w:style w:type="paragraph" w:styleId="754">
    <w:name w:val="Heading 7"/>
    <w:basedOn w:val="920"/>
    <w:next w:val="920"/>
    <w:link w:val="75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5">
    <w:name w:val="Heading 7 Char"/>
    <w:link w:val="75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6">
    <w:name w:val="Heading 8"/>
    <w:basedOn w:val="920"/>
    <w:next w:val="920"/>
    <w:link w:val="7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7">
    <w:name w:val="Heading 8 Char"/>
    <w:link w:val="756"/>
    <w:uiPriority w:val="9"/>
    <w:rPr>
      <w:rFonts w:ascii="Arial" w:hAnsi="Arial" w:eastAsia="Arial" w:cs="Arial"/>
      <w:i/>
      <w:iCs/>
      <w:sz w:val="22"/>
      <w:szCs w:val="22"/>
    </w:rPr>
  </w:style>
  <w:style w:type="paragraph" w:styleId="758">
    <w:name w:val="Heading 9"/>
    <w:basedOn w:val="920"/>
    <w:next w:val="920"/>
    <w:link w:val="75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9">
    <w:name w:val="Heading 9 Char"/>
    <w:link w:val="758"/>
    <w:uiPriority w:val="9"/>
    <w:rPr>
      <w:rFonts w:ascii="Arial" w:hAnsi="Arial" w:eastAsia="Arial" w:cs="Arial"/>
      <w:i/>
      <w:iCs/>
      <w:sz w:val="21"/>
      <w:szCs w:val="21"/>
    </w:rPr>
  </w:style>
  <w:style w:type="paragraph" w:styleId="760">
    <w:name w:val="List Paragraph"/>
    <w:basedOn w:val="920"/>
    <w:uiPriority w:val="34"/>
    <w:qFormat/>
    <w:pPr>
      <w:contextualSpacing/>
      <w:ind w:left="720"/>
    </w:pPr>
  </w:style>
  <w:style w:type="paragraph" w:styleId="761">
    <w:name w:val="No Spacing"/>
    <w:uiPriority w:val="1"/>
    <w:qFormat/>
    <w:pPr>
      <w:spacing w:before="0" w:after="0" w:line="240" w:lineRule="auto"/>
    </w:pPr>
  </w:style>
  <w:style w:type="paragraph" w:styleId="762">
    <w:name w:val="Title"/>
    <w:basedOn w:val="920"/>
    <w:next w:val="920"/>
    <w:link w:val="76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3">
    <w:name w:val="Title Char"/>
    <w:link w:val="762"/>
    <w:uiPriority w:val="10"/>
    <w:rPr>
      <w:sz w:val="48"/>
      <w:szCs w:val="48"/>
    </w:rPr>
  </w:style>
  <w:style w:type="paragraph" w:styleId="764">
    <w:name w:val="Subtitle"/>
    <w:basedOn w:val="920"/>
    <w:next w:val="920"/>
    <w:link w:val="765"/>
    <w:uiPriority w:val="11"/>
    <w:qFormat/>
    <w:pPr>
      <w:spacing w:before="200" w:after="200"/>
    </w:pPr>
    <w:rPr>
      <w:sz w:val="24"/>
      <w:szCs w:val="24"/>
    </w:rPr>
  </w:style>
  <w:style w:type="character" w:styleId="765">
    <w:name w:val="Subtitle Char"/>
    <w:link w:val="764"/>
    <w:uiPriority w:val="11"/>
    <w:rPr>
      <w:sz w:val="24"/>
      <w:szCs w:val="24"/>
    </w:rPr>
  </w:style>
  <w:style w:type="paragraph" w:styleId="766">
    <w:name w:val="Quote"/>
    <w:basedOn w:val="920"/>
    <w:next w:val="920"/>
    <w:link w:val="767"/>
    <w:uiPriority w:val="29"/>
    <w:qFormat/>
    <w:pPr>
      <w:ind w:left="720" w:right="720"/>
    </w:pPr>
    <w:rPr>
      <w:i/>
    </w:rPr>
  </w:style>
  <w:style w:type="character" w:styleId="767">
    <w:name w:val="Quote Char"/>
    <w:link w:val="766"/>
    <w:uiPriority w:val="29"/>
    <w:rPr>
      <w:i/>
    </w:rPr>
  </w:style>
  <w:style w:type="paragraph" w:styleId="768">
    <w:name w:val="Intense Quote"/>
    <w:basedOn w:val="920"/>
    <w:next w:val="920"/>
    <w:link w:val="76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9">
    <w:name w:val="Intense Quote Char"/>
    <w:link w:val="768"/>
    <w:uiPriority w:val="30"/>
    <w:rPr>
      <w:i/>
    </w:rPr>
  </w:style>
  <w:style w:type="paragraph" w:styleId="770">
    <w:name w:val="Header"/>
    <w:basedOn w:val="920"/>
    <w:link w:val="7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1">
    <w:name w:val="Header Char"/>
    <w:link w:val="770"/>
    <w:uiPriority w:val="99"/>
  </w:style>
  <w:style w:type="paragraph" w:styleId="772">
    <w:name w:val="Footer"/>
    <w:basedOn w:val="920"/>
    <w:link w:val="77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3">
    <w:name w:val="Footer Char"/>
    <w:link w:val="772"/>
    <w:uiPriority w:val="99"/>
  </w:style>
  <w:style w:type="paragraph" w:styleId="774">
    <w:name w:val="Caption"/>
    <w:basedOn w:val="920"/>
    <w:next w:val="920"/>
    <w:link w:val="77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5">
    <w:name w:val="Caption Char"/>
    <w:basedOn w:val="774"/>
    <w:link w:val="772"/>
    <w:uiPriority w:val="35"/>
  </w:style>
  <w:style w:type="table" w:styleId="77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2">
    <w:name w:val="Hyperlink"/>
    <w:uiPriority w:val="99"/>
    <w:unhideWhenUsed/>
    <w:rPr>
      <w:color w:val="0000ff" w:themeColor="hyperlink"/>
      <w:u w:val="single"/>
    </w:rPr>
  </w:style>
  <w:style w:type="paragraph" w:styleId="903">
    <w:name w:val="footnote text"/>
    <w:basedOn w:val="920"/>
    <w:link w:val="904"/>
    <w:uiPriority w:val="99"/>
    <w:semiHidden/>
    <w:unhideWhenUsed/>
    <w:pPr>
      <w:spacing w:after="40" w:line="240" w:lineRule="auto"/>
    </w:pPr>
    <w:rPr>
      <w:sz w:val="18"/>
    </w:rPr>
  </w:style>
  <w:style w:type="character" w:styleId="904">
    <w:name w:val="Footnote Text Char"/>
    <w:link w:val="903"/>
    <w:uiPriority w:val="99"/>
    <w:rPr>
      <w:sz w:val="18"/>
    </w:rPr>
  </w:style>
  <w:style w:type="character" w:styleId="905">
    <w:name w:val="footnote reference"/>
    <w:uiPriority w:val="99"/>
    <w:unhideWhenUsed/>
    <w:rPr>
      <w:vertAlign w:val="superscript"/>
    </w:rPr>
  </w:style>
  <w:style w:type="paragraph" w:styleId="906">
    <w:name w:val="endnote text"/>
    <w:basedOn w:val="920"/>
    <w:link w:val="907"/>
    <w:uiPriority w:val="99"/>
    <w:semiHidden/>
    <w:unhideWhenUsed/>
    <w:pPr>
      <w:spacing w:after="0" w:line="240" w:lineRule="auto"/>
    </w:pPr>
    <w:rPr>
      <w:sz w:val="20"/>
    </w:rPr>
  </w:style>
  <w:style w:type="character" w:styleId="907">
    <w:name w:val="Endnote Text Char"/>
    <w:link w:val="906"/>
    <w:uiPriority w:val="99"/>
    <w:rPr>
      <w:sz w:val="20"/>
    </w:rPr>
  </w:style>
  <w:style w:type="character" w:styleId="908">
    <w:name w:val="endnote reference"/>
    <w:uiPriority w:val="99"/>
    <w:semiHidden/>
    <w:unhideWhenUsed/>
    <w:rPr>
      <w:vertAlign w:val="superscript"/>
    </w:rPr>
  </w:style>
  <w:style w:type="paragraph" w:styleId="909">
    <w:name w:val="toc 1"/>
    <w:basedOn w:val="920"/>
    <w:next w:val="920"/>
    <w:uiPriority w:val="39"/>
    <w:unhideWhenUsed/>
    <w:pPr>
      <w:ind w:left="0" w:right="0" w:firstLine="0"/>
      <w:spacing w:after="57"/>
    </w:pPr>
  </w:style>
  <w:style w:type="paragraph" w:styleId="910">
    <w:name w:val="toc 2"/>
    <w:basedOn w:val="920"/>
    <w:next w:val="920"/>
    <w:uiPriority w:val="39"/>
    <w:unhideWhenUsed/>
    <w:pPr>
      <w:ind w:left="283" w:right="0" w:firstLine="0"/>
      <w:spacing w:after="57"/>
    </w:pPr>
  </w:style>
  <w:style w:type="paragraph" w:styleId="911">
    <w:name w:val="toc 3"/>
    <w:basedOn w:val="920"/>
    <w:next w:val="920"/>
    <w:uiPriority w:val="39"/>
    <w:unhideWhenUsed/>
    <w:pPr>
      <w:ind w:left="567" w:right="0" w:firstLine="0"/>
      <w:spacing w:after="57"/>
    </w:pPr>
  </w:style>
  <w:style w:type="paragraph" w:styleId="912">
    <w:name w:val="toc 4"/>
    <w:basedOn w:val="920"/>
    <w:next w:val="920"/>
    <w:uiPriority w:val="39"/>
    <w:unhideWhenUsed/>
    <w:pPr>
      <w:ind w:left="850" w:right="0" w:firstLine="0"/>
      <w:spacing w:after="57"/>
    </w:pPr>
  </w:style>
  <w:style w:type="paragraph" w:styleId="913">
    <w:name w:val="toc 5"/>
    <w:basedOn w:val="920"/>
    <w:next w:val="920"/>
    <w:uiPriority w:val="39"/>
    <w:unhideWhenUsed/>
    <w:pPr>
      <w:ind w:left="1134" w:right="0" w:firstLine="0"/>
      <w:spacing w:after="57"/>
    </w:pPr>
  </w:style>
  <w:style w:type="paragraph" w:styleId="914">
    <w:name w:val="toc 6"/>
    <w:basedOn w:val="920"/>
    <w:next w:val="920"/>
    <w:uiPriority w:val="39"/>
    <w:unhideWhenUsed/>
    <w:pPr>
      <w:ind w:left="1417" w:right="0" w:firstLine="0"/>
      <w:spacing w:after="57"/>
    </w:pPr>
  </w:style>
  <w:style w:type="paragraph" w:styleId="915">
    <w:name w:val="toc 7"/>
    <w:basedOn w:val="920"/>
    <w:next w:val="920"/>
    <w:uiPriority w:val="39"/>
    <w:unhideWhenUsed/>
    <w:pPr>
      <w:ind w:left="1701" w:right="0" w:firstLine="0"/>
      <w:spacing w:after="57"/>
    </w:pPr>
  </w:style>
  <w:style w:type="paragraph" w:styleId="916">
    <w:name w:val="toc 8"/>
    <w:basedOn w:val="920"/>
    <w:next w:val="920"/>
    <w:uiPriority w:val="39"/>
    <w:unhideWhenUsed/>
    <w:pPr>
      <w:ind w:left="1984" w:right="0" w:firstLine="0"/>
      <w:spacing w:after="57"/>
    </w:pPr>
  </w:style>
  <w:style w:type="paragraph" w:styleId="917">
    <w:name w:val="toc 9"/>
    <w:basedOn w:val="920"/>
    <w:next w:val="920"/>
    <w:uiPriority w:val="39"/>
    <w:unhideWhenUsed/>
    <w:pPr>
      <w:ind w:left="2268" w:right="0" w:firstLine="0"/>
      <w:spacing w:after="57"/>
    </w:pPr>
  </w:style>
  <w:style w:type="paragraph" w:styleId="918">
    <w:name w:val="TOC Heading"/>
    <w:uiPriority w:val="39"/>
    <w:unhideWhenUsed/>
  </w:style>
  <w:style w:type="paragraph" w:styleId="919">
    <w:name w:val="table of figures"/>
    <w:basedOn w:val="920"/>
    <w:next w:val="920"/>
    <w:uiPriority w:val="99"/>
    <w:unhideWhenUsed/>
    <w:pPr>
      <w:spacing w:after="0" w:afterAutospacing="0"/>
    </w:pPr>
  </w:style>
  <w:style w:type="paragraph" w:styleId="920" w:default="1">
    <w:name w:val="Normal"/>
    <w:next w:val="920"/>
    <w:link w:val="920"/>
    <w:qFormat/>
    <w:rPr>
      <w:sz w:val="24"/>
      <w:szCs w:val="24"/>
      <w:lang w:val="ru-RU" w:eastAsia="ru-RU" w:bidi="ar-SA"/>
    </w:rPr>
  </w:style>
  <w:style w:type="paragraph" w:styleId="921">
    <w:name w:val="Заголовок 1,H1,.,Название спецификации,h:1,h:1app,TF-Overskrift 1,H11,R1,Titre 0"/>
    <w:basedOn w:val="920"/>
    <w:next w:val="920"/>
    <w:link w:val="961"/>
    <w:qFormat/>
    <w:pPr>
      <w:keepNext/>
      <w:spacing w:before="240" w:after="60" w:line="276" w:lineRule="auto"/>
      <w:outlineLvl w:val="0"/>
    </w:pPr>
    <w:rPr>
      <w:rFonts w:ascii="Arial" w:hAnsi="Arial" w:cs="Arial"/>
      <w:b/>
      <w:bCs/>
      <w:sz w:val="32"/>
      <w:szCs w:val="32"/>
      <w:lang w:eastAsia="ar-SA"/>
    </w:rPr>
  </w:style>
  <w:style w:type="paragraph" w:styleId="922">
    <w:name w:val="Заголовок 2,H2,H21,Numbered text 3,h2,Раздел,H22,H23,H24,H211,H25,H212,H221,H231,H241,H2111,H26,H213,H222,H232,H242,H2112,H27,H214,H28,H29,H210,H215,H216,H217,H218,H219,H220,H2110,H223,H2113,H224,H225,H226,H227,H228,H229,H230,H233,H234,H235,H2114,H236,2"/>
    <w:basedOn w:val="920"/>
    <w:next w:val="920"/>
    <w:link w:val="920"/>
    <w:qFormat/>
    <w:pPr>
      <w:numPr>
        <w:ilvl w:val="1"/>
        <w:numId w:val="1"/>
      </w:numPr>
      <w:ind w:left="1418" w:hanging="851"/>
      <w:jc w:val="both"/>
      <w:spacing w:before="120" w:after="120"/>
      <w:tabs>
        <w:tab w:val="clear" w:pos="360" w:leader="none"/>
      </w:tabs>
      <w:outlineLvl w:val="1"/>
    </w:pPr>
    <w:rPr>
      <w:b/>
      <w:szCs w:val="20"/>
    </w:rPr>
  </w:style>
  <w:style w:type="paragraph" w:styleId="923">
    <w:name w:val="Заголовок 3"/>
    <w:basedOn w:val="920"/>
    <w:next w:val="920"/>
    <w:link w:val="92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24">
    <w:name w:val="Заголовок 4,Заголовок 4 (Приложение),H4"/>
    <w:basedOn w:val="920"/>
    <w:next w:val="920"/>
    <w:link w:val="920"/>
    <w:qFormat/>
    <w:pPr>
      <w:numPr>
        <w:ilvl w:val="3"/>
        <w:numId w:val="1"/>
      </w:numPr>
      <w:ind w:left="709" w:hanging="709"/>
      <w:jc w:val="both"/>
      <w:keepNext/>
      <w:spacing w:before="120" w:after="120"/>
      <w:tabs>
        <w:tab w:val="clear" w:pos="1287" w:leader="none"/>
      </w:tabs>
      <w:outlineLvl w:val="3"/>
    </w:pPr>
    <w:rPr>
      <w:szCs w:val="20"/>
    </w:rPr>
  </w:style>
  <w:style w:type="paragraph" w:styleId="925">
    <w:name w:val="Заголовок 5,H5"/>
    <w:basedOn w:val="920"/>
    <w:next w:val="920"/>
    <w:link w:val="920"/>
    <w:qFormat/>
    <w:pPr>
      <w:numPr>
        <w:ilvl w:val="4"/>
        <w:numId w:val="1"/>
      </w:numPr>
      <w:ind w:left="993" w:hanging="709"/>
      <w:jc w:val="both"/>
      <w:spacing w:before="60" w:after="60"/>
      <w:tabs>
        <w:tab w:val="clear" w:pos="2214" w:leader="none"/>
      </w:tabs>
      <w:outlineLvl w:val="4"/>
    </w:pPr>
    <w:rPr>
      <w:szCs w:val="20"/>
    </w:rPr>
  </w:style>
  <w:style w:type="paragraph" w:styleId="926">
    <w:name w:val="Заголовок 6"/>
    <w:basedOn w:val="920"/>
    <w:next w:val="920"/>
    <w:link w:val="920"/>
    <w:qFormat/>
    <w:pPr>
      <w:numPr>
        <w:ilvl w:val="5"/>
        <w:numId w:val="1"/>
      </w:numPr>
      <w:ind w:left="4248" w:hanging="708"/>
      <w:jc w:val="both"/>
      <w:spacing w:before="240" w:after="60"/>
      <w:tabs>
        <w:tab w:val="num" w:pos="0" w:leader="none"/>
        <w:tab w:val="clear" w:pos="2781" w:leader="none"/>
      </w:tabs>
      <w:outlineLvl w:val="5"/>
    </w:pPr>
    <w:rPr>
      <w:i/>
      <w:sz w:val="22"/>
      <w:szCs w:val="20"/>
    </w:rPr>
  </w:style>
  <w:style w:type="paragraph" w:styleId="927">
    <w:name w:val="Заголовок 7"/>
    <w:basedOn w:val="920"/>
    <w:next w:val="920"/>
    <w:link w:val="920"/>
    <w:qFormat/>
    <w:pPr>
      <w:numPr>
        <w:ilvl w:val="6"/>
        <w:numId w:val="1"/>
      </w:numPr>
      <w:ind w:left="4956"/>
      <w:jc w:val="both"/>
      <w:spacing w:before="240" w:after="60"/>
      <w:tabs>
        <w:tab w:val="num" w:pos="0" w:leader="none"/>
        <w:tab w:val="clear" w:pos="5152" w:leader="none"/>
      </w:tabs>
      <w:outlineLvl w:val="6"/>
    </w:pPr>
    <w:rPr>
      <w:sz w:val="20"/>
      <w:szCs w:val="20"/>
    </w:rPr>
  </w:style>
  <w:style w:type="paragraph" w:styleId="928">
    <w:name w:val="Заголовок 8"/>
    <w:basedOn w:val="920"/>
    <w:next w:val="920"/>
    <w:link w:val="920"/>
    <w:qFormat/>
    <w:pPr>
      <w:numPr>
        <w:ilvl w:val="7"/>
        <w:numId w:val="1"/>
      </w:numPr>
      <w:jc w:val="both"/>
      <w:spacing w:before="240" w:after="60"/>
      <w:outlineLvl w:val="7"/>
    </w:pPr>
    <w:rPr>
      <w:i/>
      <w:sz w:val="20"/>
      <w:szCs w:val="20"/>
    </w:rPr>
  </w:style>
  <w:style w:type="paragraph" w:styleId="929">
    <w:name w:val="Заголовок 9"/>
    <w:basedOn w:val="920"/>
    <w:next w:val="920"/>
    <w:link w:val="920"/>
    <w:qFormat/>
    <w:pPr>
      <w:numPr>
        <w:ilvl w:val="8"/>
        <w:numId w:val="1"/>
      </w:numPr>
      <w:ind w:left="6372"/>
      <w:jc w:val="both"/>
      <w:spacing w:before="240" w:after="60"/>
      <w:tabs>
        <w:tab w:val="num" w:pos="0" w:leader="none"/>
        <w:tab w:val="clear" w:pos="6928" w:leader="none"/>
      </w:tabs>
      <w:outlineLvl w:val="8"/>
    </w:pPr>
    <w:rPr>
      <w:i/>
      <w:sz w:val="18"/>
      <w:szCs w:val="20"/>
    </w:rPr>
  </w:style>
  <w:style w:type="character" w:styleId="930">
    <w:name w:val="Основной шрифт абзаца, Знак Знак7 Знак Знак Знак Знак"/>
    <w:next w:val="930"/>
    <w:link w:val="920"/>
    <w:semiHidden/>
  </w:style>
  <w:style w:type="table" w:styleId="931">
    <w:name w:val="Обычная таблица"/>
    <w:next w:val="931"/>
    <w:link w:val="920"/>
    <w:semiHidden/>
    <w:tblPr/>
  </w:style>
  <w:style w:type="numbering" w:styleId="932">
    <w:name w:val="Нет списка"/>
    <w:next w:val="932"/>
    <w:link w:val="920"/>
    <w:semiHidden/>
  </w:style>
  <w:style w:type="paragraph" w:styleId="933">
    <w:name w:val=" Знак Знак7 Знак Знак"/>
    <w:basedOn w:val="920"/>
    <w:next w:val="933"/>
    <w:link w:val="9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34">
    <w:name w:val="Верхний колонтитул"/>
    <w:basedOn w:val="920"/>
    <w:next w:val="934"/>
    <w:link w:val="935"/>
    <w:pPr>
      <w:ind w:firstLine="567"/>
      <w:jc w:val="both"/>
      <w:tabs>
        <w:tab w:val="center" w:pos="4320" w:leader="none"/>
        <w:tab w:val="right" w:pos="8640" w:leader="none"/>
      </w:tabs>
    </w:pPr>
    <w:rPr>
      <w:szCs w:val="20"/>
    </w:rPr>
  </w:style>
  <w:style w:type="character" w:styleId="935">
    <w:name w:val="Верхний колонтитул Знак"/>
    <w:next w:val="935"/>
    <w:link w:val="934"/>
    <w:rPr>
      <w:sz w:val="24"/>
      <w:lang w:val="ru-RU" w:eastAsia="ru-RU" w:bidi="ar-SA"/>
    </w:rPr>
  </w:style>
  <w:style w:type="paragraph" w:styleId="936">
    <w:name w:val="Основной текст,Çàã1,BO,ID,body indent,andrad,EHPT,Body Text2"/>
    <w:basedOn w:val="920"/>
    <w:next w:val="936"/>
    <w:link w:val="937"/>
    <w:pPr>
      <w:spacing w:after="120"/>
    </w:pPr>
  </w:style>
  <w:style w:type="character" w:styleId="937">
    <w:name w:val="Основной текст Знак,Çàã1 Знак,BO Знак,ID Знак,body indent Знак,andrad Знак,EHPT Знак,Body Text2 Знак"/>
    <w:next w:val="937"/>
    <w:link w:val="936"/>
    <w:rPr>
      <w:sz w:val="24"/>
      <w:szCs w:val="24"/>
      <w:lang w:val="ru-RU" w:eastAsia="ru-RU" w:bidi="ar-SA"/>
    </w:rPr>
  </w:style>
  <w:style w:type="paragraph" w:styleId="938">
    <w:name w:val="Обычный (веб),Обычный (веб)1,Обычный (веб)11,Обычный (Web)"/>
    <w:basedOn w:val="920"/>
    <w:next w:val="938"/>
    <w:link w:val="939"/>
    <w:pPr>
      <w:spacing w:before="100" w:beforeAutospacing="1" w:after="100" w:afterAutospacing="1"/>
    </w:pPr>
    <w:rPr>
      <w:rFonts w:ascii="Arial Unicode MS" w:hAnsi="Arial Unicode MS" w:eastAsia="Arial Unicode MS" w:cs="Arial Unicode MS"/>
    </w:rPr>
  </w:style>
  <w:style w:type="character" w:styleId="939">
    <w:name w:val="Обычный (веб) Знак,Обычный (веб)1 Знак,Обычный (веб)11 Знак,Обычный (Web) Знак"/>
    <w:next w:val="939"/>
    <w:link w:val="938"/>
    <w:rPr>
      <w:rFonts w:ascii="Arial Unicode MS" w:hAnsi="Arial Unicode MS" w:eastAsia="Arial Unicode MS" w:cs="Arial Unicode MS"/>
      <w:sz w:val="24"/>
      <w:szCs w:val="24"/>
      <w:lang w:val="ru-RU" w:eastAsia="ru-RU" w:bidi="ar-SA"/>
    </w:rPr>
  </w:style>
  <w:style w:type="paragraph" w:styleId="940">
    <w:name w:val="Нижний колонтитул"/>
    <w:basedOn w:val="920"/>
    <w:next w:val="940"/>
    <w:link w:val="941"/>
    <w:pPr>
      <w:tabs>
        <w:tab w:val="center" w:pos="4677" w:leader="none"/>
        <w:tab w:val="right" w:pos="9355" w:leader="none"/>
      </w:tabs>
    </w:pPr>
  </w:style>
  <w:style w:type="character" w:styleId="941">
    <w:name w:val="Нижний колонтитул Знак"/>
    <w:next w:val="941"/>
    <w:link w:val="940"/>
    <w:rPr>
      <w:sz w:val="24"/>
      <w:szCs w:val="24"/>
      <w:lang w:val="ru-RU" w:eastAsia="ru-RU" w:bidi="ar-SA"/>
    </w:rPr>
  </w:style>
  <w:style w:type="paragraph" w:styleId="942">
    <w:name w:val="Стиль3"/>
    <w:basedOn w:val="943"/>
    <w:next w:val="942"/>
    <w:link w:val="944"/>
    <w:pPr>
      <w:ind w:left="1260" w:right="0" w:hanging="720"/>
      <w:jc w:val="both"/>
      <w:widowControl w:val="off"/>
      <w:tabs>
        <w:tab w:val="num" w:pos="720" w:leader="none"/>
        <w:tab w:val="num" w:pos="1209" w:leader="none"/>
        <w:tab w:val="num" w:pos="1487" w:leader="none"/>
        <w:tab w:val="num" w:pos="1800" w:leader="none"/>
        <w:tab w:val="clear" w:pos="6120" w:leader="none"/>
        <w:tab w:val="clear" w:pos="9720" w:leader="none"/>
        <w:tab w:val="clear" w:pos="9865" w:leader="none"/>
      </w:tabs>
    </w:pPr>
    <w:rPr>
      <w:sz w:val="24"/>
    </w:rPr>
  </w:style>
  <w:style w:type="paragraph" w:styleId="943">
    <w:name w:val="Основной текст с отступом 2"/>
    <w:basedOn w:val="920"/>
    <w:next w:val="943"/>
    <w:link w:val="920"/>
    <w:pPr>
      <w:ind w:right="3684" w:firstLine="567"/>
      <w:jc w:val="center"/>
      <w:tabs>
        <w:tab w:val="left" w:pos="6120" w:leader="none"/>
        <w:tab w:val="left" w:pos="9720" w:leader="none"/>
        <w:tab w:val="left" w:pos="9865" w:leader="none"/>
      </w:tabs>
    </w:pPr>
    <w:rPr>
      <w:sz w:val="20"/>
    </w:rPr>
  </w:style>
  <w:style w:type="character" w:styleId="944">
    <w:name w:val="Стиль3 Знак"/>
    <w:next w:val="944"/>
    <w:link w:val="942"/>
    <w:rPr>
      <w:sz w:val="24"/>
      <w:szCs w:val="24"/>
      <w:lang w:val="ru-RU" w:eastAsia="ru-RU" w:bidi="ar-SA"/>
    </w:rPr>
  </w:style>
  <w:style w:type="paragraph" w:styleId="945">
    <w:name w:val="Текст ТД"/>
    <w:basedOn w:val="920"/>
    <w:next w:val="945"/>
    <w:link w:val="946"/>
    <w:qFormat/>
    <w:pPr>
      <w:numPr>
        <w:ilvl w:val="0"/>
        <w:numId w:val="3"/>
      </w:numPr>
      <w:jc w:val="both"/>
      <w:spacing w:after="200"/>
    </w:pPr>
    <w:rPr>
      <w:rFonts w:eastAsia="Calibri"/>
      <w:lang w:eastAsia="en-US"/>
    </w:rPr>
  </w:style>
  <w:style w:type="character" w:styleId="946">
    <w:name w:val="Текст ТД Знак"/>
    <w:next w:val="946"/>
    <w:link w:val="945"/>
    <w:rPr>
      <w:rFonts w:eastAsia="Calibri"/>
      <w:sz w:val="24"/>
      <w:szCs w:val="24"/>
      <w:lang w:val="ru-RU" w:eastAsia="en-US" w:bidi="ar-SA"/>
    </w:rPr>
  </w:style>
  <w:style w:type="paragraph" w:styleId="947">
    <w:name w:val="Основной текст с отступом"/>
    <w:basedOn w:val="920"/>
    <w:next w:val="947"/>
    <w:link w:val="920"/>
    <w:semiHidden/>
    <w:unhideWhenUsed/>
    <w:pPr>
      <w:ind w:left="283"/>
      <w:spacing w:after="12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48">
    <w:name w:val="Знак1"/>
    <w:basedOn w:val="920"/>
    <w:next w:val="948"/>
    <w:link w:val="9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49">
    <w:name w:val="Основной текст 3"/>
    <w:basedOn w:val="920"/>
    <w:next w:val="949"/>
    <w:link w:val="920"/>
    <w:pPr>
      <w:spacing w:after="120" w:line="276" w:lineRule="auto"/>
    </w:pPr>
    <w:rPr>
      <w:rFonts w:ascii="Calibri" w:hAnsi="Calibri" w:eastAsia="Calibri"/>
      <w:sz w:val="16"/>
      <w:szCs w:val="16"/>
      <w:lang w:eastAsia="en-US"/>
    </w:rPr>
  </w:style>
  <w:style w:type="paragraph" w:styleId="950">
    <w:name w:val="Текст выноски"/>
    <w:basedOn w:val="920"/>
    <w:next w:val="950"/>
    <w:link w:val="982"/>
    <w:semiHidden/>
    <w:rPr>
      <w:rFonts w:ascii="Tahoma" w:hAnsi="Tahoma" w:cs="Tahoma"/>
      <w:sz w:val="16"/>
      <w:szCs w:val="16"/>
    </w:rPr>
  </w:style>
  <w:style w:type="paragraph" w:styleId="951">
    <w:name w:val="Обычный1"/>
    <w:next w:val="951"/>
    <w:link w:val="920"/>
    <w:pPr>
      <w:ind w:firstLine="720"/>
      <w:spacing w:line="300" w:lineRule="auto"/>
      <w:widowControl w:val="off"/>
    </w:pPr>
    <w:rPr>
      <w:sz w:val="22"/>
      <w:lang w:val="ru-RU" w:eastAsia="ru-RU" w:bidi="ar-SA"/>
    </w:rPr>
  </w:style>
  <w:style w:type="paragraph" w:styleId="952">
    <w:name w:val="Обычный таблица"/>
    <w:basedOn w:val="920"/>
    <w:next w:val="952"/>
    <w:link w:val="953"/>
    <w:rPr>
      <w:rFonts w:eastAsia="Calibri"/>
      <w:sz w:val="18"/>
      <w:szCs w:val="18"/>
    </w:rPr>
  </w:style>
  <w:style w:type="character" w:styleId="953">
    <w:name w:val="Обычный таблица Знак"/>
    <w:next w:val="953"/>
    <w:link w:val="952"/>
    <w:rPr>
      <w:rFonts w:eastAsia="Calibri"/>
      <w:sz w:val="18"/>
      <w:szCs w:val="18"/>
      <w:lang w:val="ru-RU" w:eastAsia="ru-RU" w:bidi="ar-SA"/>
    </w:rPr>
  </w:style>
  <w:style w:type="paragraph" w:styleId="954">
    <w:name w:val="Текст сноски"/>
    <w:basedOn w:val="920"/>
    <w:next w:val="954"/>
    <w:link w:val="956"/>
    <w:semiHidden/>
    <w:rPr>
      <w:sz w:val="20"/>
      <w:szCs w:val="20"/>
    </w:rPr>
  </w:style>
  <w:style w:type="character" w:styleId="955">
    <w:name w:val="Знак сноски"/>
    <w:next w:val="955"/>
    <w:link w:val="920"/>
    <w:semiHidden/>
    <w:rPr>
      <w:rFonts w:cs="Times New Roman"/>
      <w:vertAlign w:val="superscript"/>
    </w:rPr>
  </w:style>
  <w:style w:type="character" w:styleId="956">
    <w:name w:val="Текст сноски Знак"/>
    <w:next w:val="956"/>
    <w:link w:val="954"/>
    <w:rPr>
      <w:lang w:val="ru-RU" w:eastAsia="ru-RU" w:bidi="ar-SA"/>
    </w:rPr>
  </w:style>
  <w:style w:type="paragraph" w:styleId="957">
    <w:name w:val="ConsPlusNormal"/>
    <w:next w:val="957"/>
    <w:link w:val="977"/>
    <w:rPr>
      <w:rFonts w:ascii="Arial" w:hAnsi="Arial" w:cs="Arial"/>
      <w:lang w:val="ru-RU" w:eastAsia="ru-RU" w:bidi="ar-SA"/>
    </w:rPr>
  </w:style>
  <w:style w:type="paragraph" w:styleId="958">
    <w:name w:val=" Char"/>
    <w:basedOn w:val="920"/>
    <w:next w:val="958"/>
    <w:link w:val="920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paragraph" w:styleId="959">
    <w:name w:val=" Знак Знак5"/>
    <w:basedOn w:val="920"/>
    <w:next w:val="959"/>
    <w:link w:val="9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60">
    <w:name w:val="Char"/>
    <w:basedOn w:val="920"/>
    <w:next w:val="960"/>
    <w:link w:val="920"/>
    <w:pPr>
      <w:keepLines/>
      <w:spacing w:after="160" w:line="240" w:lineRule="exact"/>
    </w:pPr>
    <w:rPr>
      <w:rFonts w:ascii="Verdana" w:hAnsi="Verdana" w:eastAsia="MS Mincho" w:cs="Verdana"/>
      <w:sz w:val="20"/>
      <w:szCs w:val="20"/>
      <w:lang w:val="en-US" w:eastAsia="en-US"/>
    </w:rPr>
  </w:style>
  <w:style w:type="character" w:styleId="961">
    <w:name w:val="Заголовок 1 Знак,H1 Знак,. Знак,Название спецификации Знак,h:1 Знак,h:1app Знак,TF-Overskrift 1 Знак,H11 Знак,R1 Знак,Titre 0 Знак"/>
    <w:next w:val="961"/>
    <w:link w:val="921"/>
    <w:rPr>
      <w:rFonts w:ascii="Arial" w:hAnsi="Arial" w:cs="Arial"/>
      <w:b/>
      <w:bCs/>
      <w:sz w:val="32"/>
      <w:szCs w:val="32"/>
      <w:lang w:val="ru-RU" w:eastAsia="ar-SA" w:bidi="ar-SA"/>
    </w:rPr>
  </w:style>
  <w:style w:type="paragraph" w:styleId="962">
    <w:name w:val="FR2"/>
    <w:next w:val="962"/>
    <w:link w:val="920"/>
    <w:pPr>
      <w:ind w:left="720"/>
      <w:jc w:val="center"/>
      <w:spacing w:before="400" w:line="300" w:lineRule="auto"/>
      <w:widowControl w:val="off"/>
    </w:pPr>
    <w:rPr>
      <w:b/>
      <w:bCs/>
      <w:sz w:val="32"/>
      <w:szCs w:val="32"/>
      <w:lang w:val="ru-RU" w:eastAsia="ru-RU" w:bidi="ar-SA"/>
    </w:rPr>
  </w:style>
  <w:style w:type="paragraph" w:styleId="963">
    <w:name w:val="FR1"/>
    <w:next w:val="963"/>
    <w:link w:val="920"/>
    <w:pPr>
      <w:ind w:left="720"/>
      <w:jc w:val="center"/>
      <w:spacing w:before="3640"/>
      <w:widowControl w:val="off"/>
    </w:pPr>
    <w:rPr>
      <w:b/>
      <w:bCs/>
      <w:sz w:val="40"/>
      <w:szCs w:val="40"/>
      <w:lang w:val="ru-RU" w:eastAsia="ru-RU" w:bidi="ar-SA"/>
    </w:rPr>
  </w:style>
  <w:style w:type="character" w:styleId="964">
    <w:name w:val="Гиперссылка"/>
    <w:next w:val="964"/>
    <w:link w:val="920"/>
    <w:rPr>
      <w:color w:val="0000ff"/>
      <w:u w:val="single"/>
    </w:rPr>
  </w:style>
  <w:style w:type="character" w:styleId="965">
    <w:name w:val=" Знак Знак4"/>
    <w:next w:val="965"/>
    <w:link w:val="920"/>
    <w:semiHidden/>
    <w:rPr>
      <w:sz w:val="24"/>
      <w:szCs w:val="24"/>
      <w:lang w:val="ru-RU" w:eastAsia="ru-RU" w:bidi="ar-SA"/>
    </w:rPr>
  </w:style>
  <w:style w:type="character" w:styleId="966">
    <w:name w:val=" Знак Знак3"/>
    <w:next w:val="966"/>
    <w:link w:val="920"/>
    <w:rPr>
      <w:sz w:val="28"/>
      <w:lang w:val="ru-RU" w:eastAsia="ru-RU" w:bidi="ar-SA"/>
    </w:rPr>
  </w:style>
  <w:style w:type="table" w:styleId="967">
    <w:name w:val="Сетка таблицы"/>
    <w:basedOn w:val="931"/>
    <w:next w:val="967"/>
    <w:link w:val="920"/>
    <w:rPr>
      <w:rFonts w:eastAsia="Calibri"/>
      <w:lang w:val="ru-RU" w:eastAsia="ru-RU" w:bidi="ar-SA"/>
    </w:rPr>
    <w:tblPr/>
  </w:style>
  <w:style w:type="paragraph" w:styleId="968">
    <w:name w:val="ConsNormal"/>
    <w:next w:val="968"/>
    <w:link w:val="969"/>
    <w:pPr>
      <w:ind w:firstLine="720"/>
      <w:widowControl w:val="off"/>
    </w:pPr>
    <w:rPr>
      <w:rFonts w:ascii="Arial" w:hAnsi="Arial"/>
      <w:lang w:val="ru-RU" w:eastAsia="ru-RU" w:bidi="ar-SA"/>
    </w:rPr>
  </w:style>
  <w:style w:type="character" w:styleId="969">
    <w:name w:val="ConsNormal Знак"/>
    <w:next w:val="969"/>
    <w:link w:val="968"/>
    <w:rPr>
      <w:rFonts w:ascii="Arial" w:hAnsi="Arial"/>
      <w:lang w:val="ru-RU" w:eastAsia="ru-RU" w:bidi="ar-SA"/>
    </w:rPr>
  </w:style>
  <w:style w:type="paragraph" w:styleId="970">
    <w:name w:val="Основной текст 2"/>
    <w:basedOn w:val="920"/>
    <w:next w:val="970"/>
    <w:link w:val="920"/>
    <w:pPr>
      <w:spacing w:after="120" w:line="480" w:lineRule="auto"/>
    </w:pPr>
    <w:rPr>
      <w:sz w:val="20"/>
      <w:szCs w:val="20"/>
    </w:rPr>
  </w:style>
  <w:style w:type="paragraph" w:styleId="971">
    <w:name w:val="Подраздел"/>
    <w:next w:val="971"/>
    <w:link w:val="920"/>
    <w:pPr>
      <w:jc w:val="center"/>
      <w:spacing w:before="240" w:after="120" w:line="100" w:lineRule="atLeast"/>
      <w:widowControl w:val="off"/>
    </w:pPr>
    <w:rPr>
      <w:rFonts w:ascii="TimesDL" w:hAnsi="TimesDL" w:eastAsia="DejaVu Sans"/>
      <w:b/>
      <w:smallCaps/>
      <w:spacing w:val="-2"/>
      <w:sz w:val="24"/>
      <w:lang w:val="ru-RU" w:eastAsia="ar-SA" w:bidi="ar-SA"/>
    </w:rPr>
  </w:style>
  <w:style w:type="character" w:styleId="972">
    <w:name w:val="Номер страницы"/>
    <w:basedOn w:val="930"/>
    <w:next w:val="972"/>
    <w:link w:val="920"/>
  </w:style>
  <w:style w:type="paragraph" w:styleId="973">
    <w:name w:val="Normal1"/>
    <w:next w:val="973"/>
    <w:link w:val="920"/>
    <w:pPr>
      <w:jc w:val="both"/>
      <w:spacing w:line="360" w:lineRule="auto"/>
      <w:widowControl w:val="off"/>
    </w:pPr>
    <w:rPr>
      <w:sz w:val="28"/>
      <w:lang w:val="ru-RU" w:eastAsia="ru-RU" w:bidi="ar-SA"/>
    </w:rPr>
  </w:style>
  <w:style w:type="paragraph" w:styleId="974">
    <w:name w:val="Îáû÷íûé"/>
    <w:next w:val="974"/>
    <w:link w:val="920"/>
    <w:rPr>
      <w:lang w:val="ru-RU" w:eastAsia="ru-RU" w:bidi="ar-SA"/>
    </w:rPr>
  </w:style>
  <w:style w:type="paragraph" w:styleId="975">
    <w:name w:val="FR3"/>
    <w:next w:val="975"/>
    <w:link w:val="920"/>
    <w:pPr>
      <w:ind w:left="720" w:firstLine="700"/>
      <w:jc w:val="both"/>
      <w:spacing w:line="260" w:lineRule="auto"/>
      <w:widowControl w:val="off"/>
    </w:pPr>
    <w:rPr>
      <w:sz w:val="28"/>
      <w:szCs w:val="28"/>
      <w:lang w:val="ru-RU" w:eastAsia="ru-RU" w:bidi="ar-SA"/>
    </w:rPr>
  </w:style>
  <w:style w:type="paragraph" w:styleId="976">
    <w:name w:val="1 Знак Char Знак Char Знак"/>
    <w:basedOn w:val="920"/>
    <w:next w:val="976"/>
    <w:link w:val="920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styleId="977">
    <w:name w:val="ConsPlusNormal Знак"/>
    <w:next w:val="977"/>
    <w:link w:val="957"/>
    <w:rPr>
      <w:rFonts w:ascii="Arial" w:hAnsi="Arial" w:cs="Arial"/>
      <w:lang w:val="ru-RU" w:eastAsia="ru-RU" w:bidi="ar-SA"/>
    </w:rPr>
  </w:style>
  <w:style w:type="paragraph" w:styleId="978">
    <w:name w:val="Название,Заголовок"/>
    <w:basedOn w:val="920"/>
    <w:next w:val="978"/>
    <w:link w:val="979"/>
    <w:qFormat/>
    <w:pPr>
      <w:jc w:val="center"/>
      <w:widowControl w:val="off"/>
    </w:pPr>
    <w:rPr>
      <w:sz w:val="28"/>
      <w:szCs w:val="20"/>
    </w:rPr>
  </w:style>
  <w:style w:type="character" w:styleId="979">
    <w:name w:val="Название Знак,Заголовок Знак"/>
    <w:next w:val="979"/>
    <w:link w:val="978"/>
    <w:rPr>
      <w:sz w:val="28"/>
      <w:lang w:val="ru-RU" w:eastAsia="ru-RU" w:bidi="ar-SA"/>
    </w:rPr>
  </w:style>
  <w:style w:type="paragraph" w:styleId="980">
    <w:name w:val="текст сноски"/>
    <w:basedOn w:val="920"/>
    <w:next w:val="980"/>
    <w:link w:val="920"/>
    <w:pPr>
      <w:widowControl w:val="off"/>
    </w:pPr>
    <w:rPr>
      <w:rFonts w:ascii="Gelvetsky 12pt" w:hAnsi="Gelvetsky 12pt"/>
      <w:szCs w:val="20"/>
      <w:lang w:val="en-US"/>
    </w:rPr>
  </w:style>
  <w:style w:type="paragraph" w:styleId="981">
    <w:name w:val="Указатель 1"/>
    <w:basedOn w:val="920"/>
    <w:next w:val="920"/>
    <w:link w:val="920"/>
    <w:semiHidden/>
    <w:pPr>
      <w:ind w:left="240" w:hanging="240"/>
    </w:pPr>
  </w:style>
  <w:style w:type="character" w:styleId="982">
    <w:name w:val="Текст выноски Знак"/>
    <w:next w:val="982"/>
    <w:link w:val="950"/>
    <w:semiHidden/>
    <w:rPr>
      <w:rFonts w:ascii="Tahoma" w:hAnsi="Tahoma" w:cs="Tahoma"/>
      <w:sz w:val="16"/>
      <w:szCs w:val="16"/>
      <w:lang w:val="ru-RU" w:eastAsia="ru-RU" w:bidi="ar-SA"/>
    </w:rPr>
  </w:style>
  <w:style w:type="character" w:styleId="983">
    <w:name w:val="Строгий"/>
    <w:next w:val="983"/>
    <w:link w:val="920"/>
    <w:rPr>
      <w:b/>
      <w:bCs/>
    </w:rPr>
  </w:style>
  <w:style w:type="paragraph" w:styleId="984">
    <w:name w:val="Оглавление 3"/>
    <w:basedOn w:val="920"/>
    <w:next w:val="920"/>
    <w:link w:val="920"/>
    <w:pPr>
      <w:jc w:val="both"/>
      <w:keepLines/>
      <w:keepNext/>
      <w:widowControl w:val="off"/>
      <w:tabs>
        <w:tab w:val="right" w:pos="8780" w:leader="dot"/>
      </w:tabs>
      <w:suppressLineNumbers/>
    </w:pPr>
    <w:rPr>
      <w:rFonts w:eastAsia="Lucida Sans Unicode"/>
      <w:b/>
      <w:lang w:eastAsia="ar-SA"/>
    </w:rPr>
  </w:style>
  <w:style w:type="paragraph" w:styleId="985">
    <w:name w:val="Содержимое таблицы"/>
    <w:basedOn w:val="920"/>
    <w:next w:val="985"/>
    <w:link w:val="920"/>
    <w:pPr>
      <w:suppressLineNumbers/>
    </w:pPr>
    <w:rPr>
      <w:sz w:val="20"/>
      <w:szCs w:val="20"/>
      <w:lang w:val="en-US" w:eastAsia="en-US"/>
    </w:rPr>
  </w:style>
  <w:style w:type="paragraph" w:styleId="986">
    <w:name w:val="ConsNonformat"/>
    <w:next w:val="986"/>
    <w:link w:val="920"/>
    <w:pPr>
      <w:widowControl w:val="off"/>
    </w:pPr>
    <w:rPr>
      <w:rFonts w:ascii="Consultant" w:hAnsi="Consultant" w:eastAsia="Arial"/>
      <w:lang w:val="ru-RU" w:eastAsia="ar-SA" w:bidi="ar-SA"/>
    </w:rPr>
  </w:style>
  <w:style w:type="paragraph" w:styleId="987">
    <w:name w:val="Основной текст 31"/>
    <w:basedOn w:val="920"/>
    <w:next w:val="987"/>
    <w:link w:val="920"/>
    <w:pPr>
      <w:spacing w:after="120"/>
    </w:pPr>
    <w:rPr>
      <w:sz w:val="16"/>
      <w:szCs w:val="16"/>
      <w:lang w:eastAsia="ar-SA"/>
    </w:rPr>
  </w:style>
  <w:style w:type="paragraph" w:styleId="988">
    <w:name w:val="ConsPlusNonformat"/>
    <w:next w:val="988"/>
    <w:link w:val="920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89">
    <w:name w:val="Стандартный HTML"/>
    <w:basedOn w:val="920"/>
    <w:next w:val="989"/>
    <w:link w:val="920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eastAsia="ar-SA"/>
    </w:rPr>
  </w:style>
  <w:style w:type="character" w:styleId="990">
    <w:name w:val="iceouttxt53"/>
    <w:next w:val="990"/>
    <w:link w:val="920"/>
    <w:rPr>
      <w:rFonts w:ascii="Arial" w:hAnsi="Arial" w:cs="Arial"/>
      <w:color w:val="666666"/>
      <w:sz w:val="17"/>
      <w:szCs w:val="17"/>
    </w:rPr>
  </w:style>
  <w:style w:type="paragraph" w:styleId="991">
    <w:name w:val="Знак"/>
    <w:basedOn w:val="920"/>
    <w:next w:val="991"/>
    <w:link w:val="920"/>
    <w:pPr>
      <w:ind w:firstLine="709"/>
      <w:jc w:val="both"/>
      <w:spacing w:after="160" w:line="240" w:lineRule="exact"/>
      <w:shd w:val="clear" w:color="auto" w:fill="ffffff"/>
      <w:widowControl w:val="off"/>
    </w:pPr>
    <w:rPr>
      <w:rFonts w:ascii="Verdana" w:hAnsi="Verdana"/>
      <w:sz w:val="22"/>
      <w:szCs w:val="22"/>
      <w:lang w:val="en-US" w:eastAsia="en-US"/>
    </w:rPr>
  </w:style>
  <w:style w:type="paragraph" w:styleId="992">
    <w:name w:val="Iacaaiea"/>
    <w:basedOn w:val="920"/>
    <w:next w:val="992"/>
    <w:link w:val="920"/>
    <w:pPr>
      <w:ind w:firstLine="709"/>
      <w:jc w:val="center"/>
      <w:spacing w:before="120" w:line="360" w:lineRule="atLeast"/>
      <w:shd w:val="clear" w:color="auto" w:fill="ffffff"/>
      <w:widowControl w:val="off"/>
      <w:tabs>
        <w:tab w:val="left" w:pos="426" w:leader="none"/>
      </w:tabs>
    </w:pPr>
    <w:rPr>
      <w:b/>
      <w:bCs/>
      <w:sz w:val="22"/>
      <w:szCs w:val="22"/>
    </w:rPr>
  </w:style>
  <w:style w:type="character" w:styleId="993">
    <w:name w:val="iceouttxt1"/>
    <w:next w:val="993"/>
    <w:link w:val="920"/>
    <w:rPr>
      <w:rFonts w:ascii="Arial" w:hAnsi="Arial" w:cs="Arial"/>
      <w:color w:val="666666"/>
      <w:sz w:val="17"/>
      <w:szCs w:val="17"/>
    </w:rPr>
  </w:style>
  <w:style w:type="character" w:styleId="994">
    <w:name w:val="rs_err_mark1"/>
    <w:next w:val="994"/>
    <w:link w:val="920"/>
    <w:rPr>
      <w:color w:val="ff0000"/>
    </w:rPr>
  </w:style>
  <w:style w:type="paragraph" w:styleId="995">
    <w:name w:val="Абзац списка"/>
    <w:basedOn w:val="920"/>
    <w:next w:val="995"/>
    <w:link w:val="920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96">
    <w:name w:val="Основной текст с отступом 3"/>
    <w:basedOn w:val="920"/>
    <w:next w:val="996"/>
    <w:link w:val="920"/>
    <w:pPr>
      <w:ind w:left="283"/>
      <w:spacing w:after="120"/>
    </w:pPr>
    <w:rPr>
      <w:sz w:val="16"/>
      <w:szCs w:val="16"/>
    </w:rPr>
  </w:style>
  <w:style w:type="paragraph" w:styleId="997">
    <w:name w:val="Без интервала"/>
    <w:next w:val="997"/>
    <w:link w:val="920"/>
    <w:qFormat/>
    <w:rPr>
      <w:sz w:val="24"/>
      <w:szCs w:val="24"/>
      <w:lang w:val="ru-RU" w:eastAsia="ru-RU" w:bidi="ar-SA"/>
    </w:rPr>
  </w:style>
  <w:style w:type="paragraph" w:styleId="998">
    <w:name w:val="Схема документа"/>
    <w:basedOn w:val="920"/>
    <w:next w:val="998"/>
    <w:link w:val="920"/>
    <w:semiHidden/>
    <w:unhideWhenUsed/>
    <w:rPr>
      <w:rFonts w:ascii="Tahoma" w:hAnsi="Tahoma" w:eastAsia="Calibri" w:cs="Tahoma"/>
      <w:sz w:val="16"/>
      <w:szCs w:val="16"/>
      <w:lang w:eastAsia="en-US"/>
    </w:rPr>
  </w:style>
  <w:style w:type="paragraph" w:styleId="999">
    <w:name w:val="1 Знак Знак Знак Знак"/>
    <w:basedOn w:val="920"/>
    <w:next w:val="920"/>
    <w:link w:val="920"/>
    <w:pPr>
      <w:jc w:val="both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1000">
    <w:name w:val="Основной шрифт абзаца1"/>
    <w:next w:val="1000"/>
    <w:link w:val="920"/>
  </w:style>
  <w:style w:type="paragraph" w:styleId="1001">
    <w:name w:val="Указатель1"/>
    <w:basedOn w:val="920"/>
    <w:next w:val="1001"/>
    <w:link w:val="920"/>
    <w:pPr>
      <w:suppressLineNumbers/>
    </w:pPr>
    <w:rPr>
      <w:rFonts w:ascii="Arial" w:hAnsi="Arial" w:eastAsia="Batang" w:cs="Tahoma"/>
      <w:lang w:eastAsia="ar-SA"/>
    </w:rPr>
  </w:style>
  <w:style w:type="paragraph" w:styleId="1002">
    <w:name w:val="çàãîëîâîê 2"/>
    <w:basedOn w:val="920"/>
    <w:next w:val="920"/>
    <w:link w:val="920"/>
    <w:pPr>
      <w:jc w:val="both"/>
      <w:keepNext/>
    </w:pPr>
    <w:rPr>
      <w:szCs w:val="20"/>
    </w:rPr>
  </w:style>
  <w:style w:type="paragraph" w:styleId="1003">
    <w:name w:val="Стиль1"/>
    <w:basedOn w:val="920"/>
    <w:next w:val="1003"/>
    <w:link w:val="920"/>
    <w:pPr>
      <w:numPr>
        <w:ilvl w:val="0"/>
        <w:numId w:val="2"/>
      </w:numPr>
      <w:keepLines/>
      <w:keepNext/>
      <w:spacing w:after="60"/>
      <w:widowControl w:val="off"/>
      <w:suppressLineNumbers/>
    </w:pPr>
    <w:rPr>
      <w:b/>
      <w:sz w:val="28"/>
    </w:rPr>
  </w:style>
  <w:style w:type="paragraph" w:styleId="1004">
    <w:name w:val="Стиль2"/>
    <w:basedOn w:val="1005"/>
    <w:next w:val="1004"/>
    <w:link w:val="920"/>
    <w:pPr>
      <w:numPr>
        <w:ilvl w:val="0"/>
        <w:numId w:val="0"/>
      </w:numPr>
      <w:ind w:left="1836" w:hanging="576"/>
      <w:jc w:val="both"/>
      <w:keepLines/>
      <w:keepNext/>
      <w:spacing w:after="60"/>
      <w:widowControl w:val="off"/>
      <w:tabs>
        <w:tab w:val="num" w:pos="1836" w:leader="none"/>
      </w:tabs>
      <w:suppressLineNumbers/>
    </w:pPr>
    <w:rPr>
      <w:b/>
      <w:sz w:val="24"/>
    </w:rPr>
  </w:style>
  <w:style w:type="paragraph" w:styleId="1005">
    <w:name w:val="Нумерованный список 2"/>
    <w:basedOn w:val="920"/>
    <w:next w:val="1005"/>
    <w:link w:val="920"/>
    <w:pPr>
      <w:numPr>
        <w:ilvl w:val="0"/>
        <w:numId w:val="3"/>
      </w:numPr>
      <w:ind w:left="480" w:hanging="480"/>
      <w:tabs>
        <w:tab w:val="num" w:pos="480" w:leader="none"/>
      </w:tabs>
    </w:pPr>
    <w:rPr>
      <w:sz w:val="20"/>
      <w:szCs w:val="20"/>
    </w:rPr>
  </w:style>
  <w:style w:type="paragraph" w:styleId="1006">
    <w:name w:val="3"/>
    <w:basedOn w:val="920"/>
    <w:next w:val="1006"/>
    <w:link w:val="920"/>
    <w:pPr>
      <w:numPr>
        <w:ilvl w:val="1"/>
        <w:numId w:val="3"/>
      </w:numPr>
      <w:ind w:left="0" w:firstLine="0"/>
      <w:jc w:val="both"/>
    </w:pPr>
  </w:style>
  <w:style w:type="paragraph" w:styleId="1007">
    <w:name w:val="western"/>
    <w:basedOn w:val="920"/>
    <w:next w:val="1007"/>
    <w:link w:val="920"/>
    <w:pPr>
      <w:spacing w:before="100" w:beforeAutospacing="1" w:after="100" w:afterAutospacing="1"/>
    </w:pPr>
  </w:style>
  <w:style w:type="character" w:styleId="1008">
    <w:name w:val="highlight highlight_active"/>
    <w:basedOn w:val="930"/>
    <w:next w:val="1008"/>
    <w:link w:val="920"/>
  </w:style>
  <w:style w:type="character" w:styleId="1009">
    <w:name w:val="Просмотренная гиперссылка"/>
    <w:next w:val="1009"/>
    <w:link w:val="920"/>
    <w:rPr>
      <w:color w:val="800080"/>
      <w:u w:val="single"/>
    </w:rPr>
  </w:style>
  <w:style w:type="paragraph" w:styleId="1010">
    <w:name w:val="Подподпункт"/>
    <w:basedOn w:val="920"/>
    <w:next w:val="1010"/>
    <w:link w:val="920"/>
    <w:uiPriority w:val="99"/>
    <w:pPr>
      <w:jc w:val="both"/>
      <w:spacing w:line="360" w:lineRule="auto"/>
    </w:pPr>
    <w:rPr>
      <w:sz w:val="28"/>
      <w:szCs w:val="28"/>
    </w:rPr>
  </w:style>
  <w:style w:type="paragraph" w:styleId="1011">
    <w:name w:val=" Знак Знак5 Знак Знак Знак Знак"/>
    <w:basedOn w:val="920"/>
    <w:next w:val="1011"/>
    <w:link w:val="9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012">
    <w:name w:val="Пункт Договора"/>
    <w:basedOn w:val="920"/>
    <w:next w:val="1012"/>
    <w:link w:val="920"/>
    <w:pPr>
      <w:numPr>
        <w:ilvl w:val="1"/>
        <w:numId w:val="24"/>
      </w:numPr>
      <w:jc w:val="both"/>
      <w:widowControl w:val="off"/>
    </w:pPr>
    <w:rPr>
      <w:rFonts w:ascii="Cambria" w:hAnsi="Cambria" w:cs="Cambria"/>
      <w:lang w:eastAsia="en-US"/>
    </w:rPr>
  </w:style>
  <w:style w:type="paragraph" w:styleId="1013">
    <w:name w:val="Часть Договора"/>
    <w:basedOn w:val="920"/>
    <w:next w:val="1013"/>
    <w:link w:val="920"/>
    <w:pPr>
      <w:numPr>
        <w:ilvl w:val="0"/>
        <w:numId w:val="24"/>
      </w:numPr>
      <w:jc w:val="center"/>
      <w:keepNext/>
      <w:spacing w:before="240" w:after="120"/>
    </w:pPr>
    <w:rPr>
      <w:rFonts w:ascii="Cambria" w:hAnsi="Cambria" w:cs="Cambria"/>
      <w:b/>
      <w:bCs/>
      <w:lang w:eastAsia="en-US"/>
    </w:rPr>
  </w:style>
  <w:style w:type="character" w:styleId="1014">
    <w:name w:val="normal__char1"/>
    <w:next w:val="1014"/>
    <w:link w:val="920"/>
    <w:rPr>
      <w:rFonts w:ascii="Courier New" w:hAnsi="Courier New" w:cs="Courier New"/>
      <w:sz w:val="20"/>
      <w:szCs w:val="20"/>
    </w:rPr>
  </w:style>
  <w:style w:type="character" w:styleId="1015" w:default="1">
    <w:name w:val="Default Paragraph Font"/>
    <w:uiPriority w:val="1"/>
    <w:semiHidden/>
    <w:unhideWhenUsed/>
  </w:style>
  <w:style w:type="numbering" w:styleId="1016" w:default="1">
    <w:name w:val="No List"/>
    <w:uiPriority w:val="99"/>
    <w:semiHidden/>
    <w:unhideWhenUsed/>
  </w:style>
  <w:style w:type="table" w:styleId="101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ntci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Данный образец не является обязательным для заполнения и служит примером формы</dc:title>
  <dc:creator>vorobyova</dc:creator>
  <cp:lastModifiedBy>isenova_gm</cp:lastModifiedBy>
  <cp:revision>388</cp:revision>
  <dcterms:created xsi:type="dcterms:W3CDTF">2014-03-03T09:32:00Z</dcterms:created>
  <dcterms:modified xsi:type="dcterms:W3CDTF">2026-08-18T03:07:51Z</dcterms:modified>
  <cp:version>983040</cp:version>
</cp:coreProperties>
</file>