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76F5" w:rsidRDefault="00437C47">
      <w:pPr>
        <w:jc w:val="center"/>
      </w:pPr>
      <w:r>
        <w:rPr>
          <w:b/>
          <w:bCs/>
        </w:rPr>
        <w:t>Обоснование начальной (максимальной) цены контракта</w:t>
      </w:r>
    </w:p>
    <w:p w:rsidR="00BB76F5" w:rsidRDefault="00BB76F5">
      <w:pPr>
        <w:jc w:val="center"/>
        <w:rPr>
          <w:b/>
          <w:bCs/>
        </w:rPr>
      </w:pPr>
    </w:p>
    <w:tbl>
      <w:tblPr>
        <w:tblW w:w="5000" w:type="pct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985"/>
        <w:gridCol w:w="6426"/>
      </w:tblGrid>
      <w:tr w:rsidR="00BB76F5">
        <w:trPr>
          <w:trHeight w:val="504"/>
        </w:trPr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6F5" w:rsidRDefault="00437C47">
            <w:pPr>
              <w:ind w:left="57" w:right="57"/>
              <w:jc w:val="both"/>
            </w:pPr>
            <w:r>
              <w:rPr>
                <w:b/>
                <w:bCs/>
              </w:rPr>
              <w:t>Наименование объекта закупки</w:t>
            </w:r>
          </w:p>
        </w:tc>
        <w:tc>
          <w:tcPr>
            <w:tcW w:w="6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6F5" w:rsidRDefault="00437C47">
            <w:pPr>
              <w:jc w:val="both"/>
              <w:rPr>
                <w:b/>
                <w:bCs/>
              </w:rPr>
            </w:pPr>
            <w:r>
              <w:rPr>
                <w:rFonts w:ascii="Tinos" w:hAnsi="Tinos"/>
                <w:color w:val="000000"/>
              </w:rPr>
              <w:t>поставка сувенирной продукции (</w:t>
            </w:r>
            <w:r>
              <w:rPr>
                <w:rFonts w:ascii="Tinos" w:eastAsia="Times New Roman" w:hAnsi="Tinos"/>
              </w:rPr>
              <w:t>пакет презентационный</w:t>
            </w:r>
            <w:r>
              <w:rPr>
                <w:rFonts w:ascii="Tinos" w:hAnsi="Tinos"/>
                <w:color w:val="000000"/>
              </w:rPr>
              <w:t>) для награждения работников и обучающихся Ростовского филиала Российской таможенной академии по итогам мероприятий, проводимых в рамках празднования 35-летия ФТС России.</w:t>
            </w:r>
          </w:p>
        </w:tc>
      </w:tr>
      <w:tr w:rsidR="00BB76F5">
        <w:trPr>
          <w:trHeight w:val="991"/>
        </w:trPr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6F5" w:rsidRDefault="00437C47">
            <w:pPr>
              <w:ind w:left="57" w:right="57"/>
              <w:jc w:val="both"/>
            </w:pPr>
            <w:r>
              <w:rPr>
                <w:b/>
                <w:bCs/>
              </w:rPr>
              <w:t>Основные характеристики объекта закупки</w:t>
            </w:r>
          </w:p>
        </w:tc>
        <w:tc>
          <w:tcPr>
            <w:tcW w:w="6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6F5" w:rsidRDefault="00437C47">
            <w:pPr>
              <w:ind w:right="115"/>
              <w:jc w:val="both"/>
            </w:pPr>
            <w:r>
              <w:t>Место поставки товара: 344002, Ростовская область, г. Ростов-на-Дону, пр. Буденновский, д. 20.</w:t>
            </w:r>
          </w:p>
          <w:p w:rsidR="00BB76F5" w:rsidRDefault="00437C47">
            <w:pPr>
              <w:ind w:right="115"/>
              <w:jc w:val="both"/>
            </w:pPr>
            <w:r>
              <w:t>Сроки поставки товара: с даты заключения контракта по</w:t>
            </w:r>
            <w:r>
              <w:rPr>
                <w:rFonts w:eastAsia="Calibri"/>
                <w:lang w:eastAsia="zh-CN"/>
              </w:rPr>
              <w:t xml:space="preserve">            </w:t>
            </w:r>
            <w:r>
              <w:rPr>
                <w:rFonts w:eastAsia="Calibri"/>
                <w:color w:val="000000"/>
                <w:lang w:eastAsia="zh-CN"/>
              </w:rPr>
              <w:t>30 сентября</w:t>
            </w:r>
            <w:r>
              <w:rPr>
                <w:rFonts w:eastAsia="Calibri"/>
                <w:lang w:eastAsia="zh-CN"/>
              </w:rPr>
              <w:t xml:space="preserve"> 2026 г.</w:t>
            </w:r>
          </w:p>
          <w:p w:rsidR="00BB76F5" w:rsidRDefault="00437C47">
            <w:pPr>
              <w:ind w:right="115"/>
              <w:jc w:val="both"/>
            </w:pPr>
            <w:r>
              <w:t xml:space="preserve">Форма, сроки и порядок оплаты: Заказчик оплачивает фактически поставленный товар путем перечисления денежных средств на расчетный счет Поставщика в течение 7 (семи) рабочих дней с даты подписания </w:t>
            </w:r>
            <w:r>
              <w:rPr>
                <w:color w:val="000000"/>
              </w:rPr>
              <w:t xml:space="preserve">УПД или </w:t>
            </w:r>
            <w:r>
              <w:t>товарной накладной по счету/ счету-фактуре</w:t>
            </w:r>
            <w:r>
              <w:rPr>
                <w:color w:val="000000"/>
              </w:rPr>
              <w:t>.</w:t>
            </w:r>
          </w:p>
          <w:p w:rsidR="00BB76F5" w:rsidRDefault="00437C47">
            <w:pPr>
              <w:ind w:right="115"/>
              <w:jc w:val="both"/>
            </w:pPr>
            <w:r>
              <w:t>В цену Контракта включены расходы на перевозку, страхование, уплату таможенных пошлин, налогов, сборов и других обязательных платежей, а также расходы Поставщика, производимые им в процессе поставки товара Заказчику, затраты на оплату труда, хранение, доставку и разгрузку в помещение, указанное Заказчиком.</w:t>
            </w:r>
          </w:p>
          <w:p w:rsidR="00BB76F5" w:rsidRDefault="00437C47">
            <w:pPr>
              <w:ind w:left="57"/>
              <w:jc w:val="both"/>
            </w:pPr>
            <w:r>
              <w:t>Источник финансирования – федеральный бюджет.</w:t>
            </w:r>
          </w:p>
        </w:tc>
      </w:tr>
      <w:tr w:rsidR="00BB76F5"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6F5" w:rsidRDefault="00437C47">
            <w:pPr>
              <w:ind w:left="57" w:right="57"/>
              <w:jc w:val="both"/>
            </w:pPr>
            <w:r>
              <w:rPr>
                <w:b/>
                <w:bCs/>
              </w:rPr>
              <w:t xml:space="preserve">Используемый метод определения НМЦК </w:t>
            </w:r>
            <w:r>
              <w:rPr>
                <w:b/>
                <w:bCs/>
              </w:rPr>
              <w:br/>
              <w:t>с обоснованием:</w:t>
            </w:r>
          </w:p>
        </w:tc>
        <w:tc>
          <w:tcPr>
            <w:tcW w:w="6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6F5" w:rsidRDefault="00437C47">
            <w:pPr>
              <w:ind w:left="57"/>
            </w:pPr>
            <w:r>
              <w:rPr>
                <w:color w:val="000000"/>
              </w:rPr>
              <w:t>метод сопоставимых рыночных цен (анализа рынка)</w:t>
            </w:r>
          </w:p>
        </w:tc>
      </w:tr>
      <w:tr w:rsidR="00BB76F5">
        <w:tc>
          <w:tcPr>
            <w:tcW w:w="2967" w:type="dxa"/>
            <w:tcBorders>
              <w:top w:val="single" w:sz="4" w:space="0" w:color="000000"/>
            </w:tcBorders>
          </w:tcPr>
          <w:p w:rsidR="00BB76F5" w:rsidRDefault="00BB76F5">
            <w:pPr>
              <w:ind w:left="57" w:right="57"/>
              <w:jc w:val="both"/>
              <w:rPr>
                <w:b/>
                <w:bCs/>
              </w:rPr>
            </w:pPr>
          </w:p>
        </w:tc>
        <w:tc>
          <w:tcPr>
            <w:tcW w:w="6387" w:type="dxa"/>
            <w:tcBorders>
              <w:top w:val="single" w:sz="4" w:space="0" w:color="000000"/>
            </w:tcBorders>
          </w:tcPr>
          <w:p w:rsidR="00BB76F5" w:rsidRDefault="00437C47">
            <w:pPr>
              <w:ind w:left="57"/>
            </w:pPr>
            <w:r>
              <w:rPr>
                <w:b/>
                <w:bCs/>
              </w:rPr>
              <w:t>Расчет НМЦК</w:t>
            </w:r>
          </w:p>
        </w:tc>
      </w:tr>
    </w:tbl>
    <w:p w:rsidR="00BB76F5" w:rsidRDefault="00BB76F5">
      <w:pPr>
        <w:tabs>
          <w:tab w:val="left" w:pos="3119"/>
          <w:tab w:val="left" w:pos="13438"/>
        </w:tabs>
        <w:jc w:val="both"/>
        <w:rPr>
          <w:bCs/>
        </w:rPr>
      </w:pPr>
    </w:p>
    <w:p w:rsidR="00BB76F5" w:rsidRDefault="00437C47">
      <w:pPr>
        <w:tabs>
          <w:tab w:val="left" w:pos="3119"/>
          <w:tab w:val="left" w:pos="13438"/>
        </w:tabs>
        <w:ind w:firstLine="567"/>
        <w:jc w:val="both"/>
      </w:pPr>
      <w:r>
        <w:rPr>
          <w:rFonts w:eastAsia="Calibri"/>
          <w:bCs/>
          <w:lang w:eastAsia="en-US"/>
        </w:rPr>
        <w:t>В соответствии с пунктом 3.7 Методических рекомендаций по применению методов определения начальной (максимальной) цены контракта, утвержденных Приказом Минэкономразвития России от 02.10.2013 № 567, получена</w:t>
      </w:r>
      <w:r>
        <w:rPr>
          <w:rFonts w:eastAsia="Calibri"/>
          <w:lang w:eastAsia="en-US"/>
        </w:rPr>
        <w:t xml:space="preserve"> </w:t>
      </w:r>
      <w:r>
        <w:rPr>
          <w:rFonts w:eastAsia="Calibri"/>
          <w:bCs/>
          <w:lang w:eastAsia="en-US"/>
        </w:rPr>
        <w:t>структурным подразделением, инициирующим данную закупку, ценовая информация в отношении объекта закупки.</w:t>
      </w:r>
    </w:p>
    <w:p w:rsidR="00BB76F5" w:rsidRDefault="00437C47">
      <w:pPr>
        <w:ind w:firstLine="568"/>
        <w:jc w:val="both"/>
      </w:pPr>
      <w:r>
        <w:rPr>
          <w:bCs/>
        </w:rPr>
        <w:t>Изучив полученную информацию, предложения участников в отношении объекта закупки признаются однородными.</w:t>
      </w:r>
    </w:p>
    <w:p w:rsidR="00BB76F5" w:rsidRDefault="00BB76F5">
      <w:pPr>
        <w:ind w:firstLine="540"/>
        <w:jc w:val="both"/>
        <w:rPr>
          <w:rFonts w:eastAsia="Calibri"/>
          <w:bCs/>
          <w:lang w:eastAsia="en-US"/>
        </w:rPr>
      </w:pPr>
    </w:p>
    <w:p w:rsidR="00BB76F5" w:rsidRDefault="00437C47">
      <w:pPr>
        <w:ind w:firstLine="540"/>
        <w:jc w:val="both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>По результатам проведенного анализа заказчик выявил следующее: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564"/>
        <w:gridCol w:w="7678"/>
        <w:gridCol w:w="1329"/>
      </w:tblGrid>
      <w:tr w:rsidR="00BB76F5">
        <w:trPr>
          <w:trHeight w:val="326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B76F5" w:rsidRDefault="00437C47">
            <w:pPr>
              <w:jc w:val="center"/>
            </w:pPr>
            <w:r>
              <w:rPr>
                <w:bCs/>
              </w:rPr>
              <w:t>№ п/п</w:t>
            </w:r>
          </w:p>
        </w:tc>
        <w:tc>
          <w:tcPr>
            <w:tcW w:w="7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B76F5" w:rsidRDefault="00437C47">
            <w:pPr>
              <w:jc w:val="center"/>
            </w:pPr>
            <w:r>
              <w:rPr>
                <w:bCs/>
              </w:rPr>
              <w:t>Наименование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76F5" w:rsidRDefault="00437C47">
            <w:pPr>
              <w:jc w:val="center"/>
            </w:pPr>
            <w:r>
              <w:t>Цена за единицу, руб.</w:t>
            </w:r>
          </w:p>
        </w:tc>
      </w:tr>
      <w:tr w:rsidR="00BB76F5">
        <w:trPr>
          <w:trHeight w:val="326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B76F5" w:rsidRDefault="00437C47">
            <w:pPr>
              <w:contextualSpacing/>
              <w:jc w:val="center"/>
            </w:pPr>
            <w:r>
              <w:t>1</w:t>
            </w:r>
          </w:p>
        </w:tc>
        <w:tc>
          <w:tcPr>
            <w:tcW w:w="7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B76F5" w:rsidRDefault="00437C47" w:rsidP="0021097C">
            <w:pPr>
              <w:pStyle w:val="afa"/>
              <w:widowControl w:val="0"/>
              <w:ind w:firstLine="0"/>
              <w:contextualSpacing/>
              <w:jc w:val="left"/>
            </w:pPr>
            <w:r>
              <w:rPr>
                <w:rFonts w:ascii="Tinos" w:hAnsi="Tinos"/>
              </w:rPr>
              <w:t xml:space="preserve">Источник № </w:t>
            </w:r>
            <w:r>
              <w:rPr>
                <w:rFonts w:ascii="Tinos" w:hAnsi="Tinos"/>
                <w:color w:val="000000"/>
              </w:rPr>
              <w:t>1.</w:t>
            </w:r>
            <w:r>
              <w:rPr>
                <w:rFonts w:ascii="Tinos" w:hAnsi="Tinos"/>
              </w:rPr>
              <w:t xml:space="preserve"> </w:t>
            </w:r>
            <w:r>
              <w:rPr>
                <w:rFonts w:ascii="Tinos" w:hAnsi="Tinos"/>
                <w:color w:val="000000"/>
              </w:rPr>
              <w:t>К</w:t>
            </w:r>
            <w:r>
              <w:rPr>
                <w:rFonts w:ascii="Tinos" w:hAnsi="Tinos"/>
              </w:rPr>
              <w:t xml:space="preserve">оммерческое предложение </w:t>
            </w:r>
            <w:r>
              <w:rPr>
                <w:rFonts w:ascii="Tinos" w:hAnsi="Tinos"/>
                <w:color w:val="000000" w:themeColor="text1"/>
              </w:rPr>
              <w:t>от 19.08.2026 б/н (</w:t>
            </w:r>
            <w:proofErr w:type="spellStart"/>
            <w:r>
              <w:rPr>
                <w:rFonts w:ascii="Tinos" w:hAnsi="Tinos"/>
                <w:color w:val="000000" w:themeColor="text1"/>
              </w:rPr>
              <w:t>вх</w:t>
            </w:r>
            <w:proofErr w:type="spellEnd"/>
            <w:r>
              <w:rPr>
                <w:rFonts w:ascii="Tinos" w:hAnsi="Tinos"/>
                <w:color w:val="000000" w:themeColor="text1"/>
              </w:rPr>
              <w:t>. № 2655 от 19.08.2026)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76F5" w:rsidRDefault="00437C47">
            <w:pPr>
              <w:jc w:val="center"/>
              <w:rPr>
                <w:rFonts w:ascii="Tinos" w:hAnsi="Tinos"/>
                <w:color w:val="000000"/>
              </w:rPr>
            </w:pPr>
            <w:r>
              <w:rPr>
                <w:rFonts w:ascii="Tinos" w:hAnsi="Tinos"/>
                <w:color w:val="000000"/>
              </w:rPr>
              <w:t>256,00</w:t>
            </w:r>
          </w:p>
        </w:tc>
      </w:tr>
      <w:tr w:rsidR="00BB76F5">
        <w:trPr>
          <w:trHeight w:val="326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B76F5" w:rsidRDefault="00437C47">
            <w:pPr>
              <w:contextualSpacing/>
              <w:jc w:val="center"/>
            </w:pPr>
            <w:r>
              <w:t>2</w:t>
            </w:r>
          </w:p>
        </w:tc>
        <w:tc>
          <w:tcPr>
            <w:tcW w:w="7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B76F5" w:rsidRDefault="00437C47" w:rsidP="0021097C">
            <w:pPr>
              <w:pStyle w:val="afa"/>
              <w:widowControl w:val="0"/>
              <w:ind w:firstLine="0"/>
              <w:contextualSpacing/>
              <w:jc w:val="left"/>
            </w:pPr>
            <w:r>
              <w:rPr>
                <w:rFonts w:ascii="Tinos" w:eastAsia="Times New Roman" w:hAnsi="Tinos"/>
                <w:color w:val="000000"/>
              </w:rPr>
              <w:t xml:space="preserve">Источник № </w:t>
            </w:r>
            <w:r>
              <w:rPr>
                <w:rFonts w:ascii="Tinos" w:hAnsi="Tinos"/>
                <w:color w:val="000000"/>
              </w:rPr>
              <w:t>2. Информация с сайта от 19.08.2026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76F5" w:rsidRDefault="00437C47">
            <w:pPr>
              <w:jc w:val="center"/>
            </w:pPr>
            <w:r>
              <w:rPr>
                <w:rFonts w:ascii="Tinos" w:hAnsi="Tinos"/>
                <w:color w:val="000000"/>
              </w:rPr>
              <w:t>262,50</w:t>
            </w:r>
          </w:p>
        </w:tc>
      </w:tr>
      <w:tr w:rsidR="00BB76F5">
        <w:trPr>
          <w:trHeight w:val="326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B76F5" w:rsidRDefault="00437C47">
            <w:pPr>
              <w:contextualSpacing/>
              <w:jc w:val="center"/>
            </w:pPr>
            <w:r>
              <w:t>3</w:t>
            </w:r>
          </w:p>
        </w:tc>
        <w:tc>
          <w:tcPr>
            <w:tcW w:w="7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B76F5" w:rsidRDefault="00437C47" w:rsidP="0021097C">
            <w:pPr>
              <w:pStyle w:val="afa"/>
              <w:widowControl w:val="0"/>
              <w:ind w:firstLine="0"/>
              <w:contextualSpacing/>
              <w:jc w:val="left"/>
            </w:pPr>
            <w:r>
              <w:rPr>
                <w:rFonts w:ascii="Tinos" w:eastAsia="Times New Roman" w:hAnsi="Tinos"/>
                <w:color w:val="000000"/>
              </w:rPr>
              <w:t xml:space="preserve">Источник № </w:t>
            </w:r>
            <w:r>
              <w:rPr>
                <w:rFonts w:ascii="Tinos" w:hAnsi="Tinos"/>
                <w:color w:val="000000"/>
              </w:rPr>
              <w:t xml:space="preserve">3. Информация с сайта от 19.08.2026 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76F5" w:rsidRDefault="00437C47">
            <w:pPr>
              <w:jc w:val="center"/>
            </w:pPr>
            <w:r>
              <w:rPr>
                <w:rFonts w:ascii="Tinos" w:hAnsi="Tinos"/>
                <w:color w:val="000000"/>
              </w:rPr>
              <w:t>296,00</w:t>
            </w:r>
          </w:p>
        </w:tc>
      </w:tr>
      <w:tr w:rsidR="00BB76F5">
        <w:trPr>
          <w:trHeight w:val="326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B76F5" w:rsidRDefault="00437C47">
            <w:pPr>
              <w:contextualSpacing/>
              <w:jc w:val="center"/>
            </w:pPr>
            <w:r>
              <w:t>4</w:t>
            </w:r>
          </w:p>
        </w:tc>
        <w:tc>
          <w:tcPr>
            <w:tcW w:w="7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B76F5" w:rsidRDefault="00437C47" w:rsidP="0021097C">
            <w:pPr>
              <w:pStyle w:val="afa"/>
              <w:widowControl w:val="0"/>
              <w:ind w:firstLine="0"/>
              <w:contextualSpacing/>
              <w:jc w:val="left"/>
            </w:pPr>
            <w:r>
              <w:rPr>
                <w:rFonts w:ascii="Tinos" w:eastAsia="Times New Roman" w:hAnsi="Tinos"/>
                <w:color w:val="000000"/>
              </w:rPr>
              <w:t xml:space="preserve">Источник № </w:t>
            </w:r>
            <w:r>
              <w:rPr>
                <w:rFonts w:ascii="Tinos" w:hAnsi="Tinos"/>
                <w:color w:val="000000"/>
              </w:rPr>
              <w:t xml:space="preserve">4. Информация с </w:t>
            </w:r>
            <w:proofErr w:type="gramStart"/>
            <w:r>
              <w:rPr>
                <w:rFonts w:ascii="Tinos" w:hAnsi="Tinos"/>
                <w:color w:val="000000"/>
              </w:rPr>
              <w:t>сайта  от</w:t>
            </w:r>
            <w:proofErr w:type="gramEnd"/>
            <w:r>
              <w:rPr>
                <w:rFonts w:ascii="Tinos" w:hAnsi="Tinos"/>
                <w:color w:val="000000"/>
              </w:rPr>
              <w:t xml:space="preserve"> 19.08.2026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76F5" w:rsidRDefault="00437C47">
            <w:pPr>
              <w:jc w:val="center"/>
            </w:pPr>
            <w:r>
              <w:rPr>
                <w:rFonts w:ascii="Tinos" w:hAnsi="Tinos"/>
                <w:color w:val="000000"/>
              </w:rPr>
              <w:t>295,00</w:t>
            </w:r>
          </w:p>
        </w:tc>
      </w:tr>
      <w:tr w:rsidR="00BB76F5">
        <w:trPr>
          <w:trHeight w:val="326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B76F5" w:rsidRDefault="00437C47">
            <w:pPr>
              <w:contextualSpacing/>
              <w:jc w:val="center"/>
            </w:pPr>
            <w:r>
              <w:t>5</w:t>
            </w:r>
          </w:p>
        </w:tc>
        <w:tc>
          <w:tcPr>
            <w:tcW w:w="7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B76F5" w:rsidRDefault="00437C47" w:rsidP="0021097C">
            <w:pPr>
              <w:pStyle w:val="afa"/>
              <w:widowControl w:val="0"/>
              <w:ind w:firstLine="0"/>
              <w:contextualSpacing/>
              <w:jc w:val="left"/>
            </w:pPr>
            <w:r>
              <w:rPr>
                <w:rFonts w:ascii="Tinos" w:eastAsia="Times New Roman" w:hAnsi="Tinos"/>
                <w:color w:val="000000"/>
              </w:rPr>
              <w:t xml:space="preserve">Источник № </w:t>
            </w:r>
            <w:r>
              <w:rPr>
                <w:rFonts w:ascii="Tinos" w:hAnsi="Tinos"/>
                <w:color w:val="000000"/>
              </w:rPr>
              <w:t xml:space="preserve">5. Информация с </w:t>
            </w:r>
            <w:proofErr w:type="gramStart"/>
            <w:r>
              <w:rPr>
                <w:rFonts w:ascii="Tinos" w:hAnsi="Tinos"/>
                <w:color w:val="000000"/>
              </w:rPr>
              <w:t xml:space="preserve">сайта </w:t>
            </w:r>
            <w:r>
              <w:rPr>
                <w:rFonts w:ascii="Tinos" w:eastAsia="Times New Roman" w:hAnsi="Tinos"/>
                <w:color w:val="000000"/>
              </w:rPr>
              <w:t xml:space="preserve"> от</w:t>
            </w:r>
            <w:proofErr w:type="gramEnd"/>
            <w:r>
              <w:rPr>
                <w:rFonts w:ascii="Tinos" w:eastAsia="Times New Roman" w:hAnsi="Tinos"/>
                <w:color w:val="000000"/>
              </w:rPr>
              <w:t xml:space="preserve"> 19.08.2026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76F5" w:rsidRDefault="00437C47">
            <w:pPr>
              <w:jc w:val="center"/>
            </w:pPr>
            <w:r>
              <w:rPr>
                <w:rFonts w:ascii="Tinos" w:hAnsi="Tinos"/>
                <w:color w:val="000000"/>
              </w:rPr>
              <w:t>428,75</w:t>
            </w:r>
          </w:p>
        </w:tc>
      </w:tr>
      <w:tr w:rsidR="00BB76F5">
        <w:trPr>
          <w:trHeight w:val="326"/>
        </w:trPr>
        <w:tc>
          <w:tcPr>
            <w:tcW w:w="8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B76F5" w:rsidRDefault="00437C47">
            <w:pPr>
              <w:pStyle w:val="afa"/>
              <w:widowControl w:val="0"/>
              <w:ind w:firstLine="0"/>
              <w:contextualSpacing/>
              <w:jc w:val="right"/>
            </w:pPr>
            <w:r>
              <w:rPr>
                <w:rFonts w:eastAsia="Calibri"/>
                <w:lang w:eastAsia="en-US"/>
              </w:rPr>
              <w:t>∑</w:t>
            </w:r>
            <w:r>
              <w:rPr>
                <w:noProof/>
              </w:rPr>
              <w:drawing>
                <wp:inline distT="0" distB="0" distL="0" distR="0">
                  <wp:extent cx="152400" cy="228600"/>
                  <wp:effectExtent l="0" t="0" r="0" b="0"/>
                  <wp:docPr id="3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76F5" w:rsidRDefault="00437C47">
            <w:pPr>
              <w:jc w:val="center"/>
              <w:rPr>
                <w:rFonts w:ascii="Tinos" w:hAnsi="Tinos"/>
                <w:color w:val="000000"/>
              </w:rPr>
            </w:pPr>
            <w:r>
              <w:rPr>
                <w:rFonts w:ascii="Tinos" w:hAnsi="Tinos"/>
                <w:color w:val="000000"/>
              </w:rPr>
              <w:t>1 538,25</w:t>
            </w:r>
          </w:p>
        </w:tc>
      </w:tr>
    </w:tbl>
    <w:p w:rsidR="00BB76F5" w:rsidRDefault="00437C47">
      <w:pPr>
        <w:ind w:left="142" w:right="-284" w:firstLine="568"/>
        <w:jc w:val="both"/>
        <w:rPr>
          <w:rFonts w:ascii="Tinos" w:hAnsi="Tinos"/>
        </w:rPr>
      </w:pPr>
      <w:r>
        <w:rPr>
          <w:rFonts w:ascii="Tinos" w:hAnsi="Tinos"/>
          <w:bCs/>
        </w:rPr>
        <w:t xml:space="preserve">Цены действительны до </w:t>
      </w:r>
      <w:r>
        <w:rPr>
          <w:rFonts w:ascii="Tinos" w:hAnsi="Tinos"/>
          <w:bCs/>
          <w:color w:val="000000"/>
        </w:rPr>
        <w:t>10.09.2026.</w:t>
      </w:r>
    </w:p>
    <w:p w:rsidR="00BB76F5" w:rsidRDefault="00BB76F5">
      <w:pPr>
        <w:ind w:firstLine="540"/>
        <w:jc w:val="both"/>
        <w:rPr>
          <w:rFonts w:eastAsia="Calibri"/>
          <w:bCs/>
          <w:highlight w:val="yellow"/>
          <w:lang w:eastAsia="en-US"/>
        </w:rPr>
      </w:pPr>
    </w:p>
    <w:p w:rsidR="00BB76F5" w:rsidRDefault="00437C47">
      <w:pPr>
        <w:ind w:firstLine="540"/>
        <w:jc w:val="both"/>
        <w:rPr>
          <w:rFonts w:ascii="Tinos" w:hAnsi="Tinos"/>
        </w:rPr>
      </w:pPr>
      <w:r>
        <w:rPr>
          <w:rFonts w:ascii="Tinos" w:eastAsia="Calibri" w:hAnsi="Tinos"/>
          <w:bCs/>
          <w:lang w:eastAsia="en-US"/>
        </w:rPr>
        <w:t xml:space="preserve">В целях определения однородности совокупности значений выявленных цен, используемых в расчете НМЦК определяется коэффициент вариации. Коэффициент </w:t>
      </w:r>
      <w:r>
        <w:rPr>
          <w:rFonts w:ascii="Tinos" w:eastAsia="Calibri" w:hAnsi="Tinos"/>
          <w:bCs/>
          <w:lang w:eastAsia="en-US"/>
        </w:rPr>
        <w:lastRenderedPageBreak/>
        <w:t>вариации рассчитан с помощью программного средства. Совокупность значений, используемых в расчете, при определении НМЦК считается неоднородной, если коэффициент вариации цены превышает 33%.</w:t>
      </w:r>
    </w:p>
    <w:p w:rsidR="00BB76F5" w:rsidRDefault="00BB76F5">
      <w:pPr>
        <w:ind w:firstLine="540"/>
        <w:jc w:val="both"/>
        <w:rPr>
          <w:rFonts w:eastAsia="Calibri"/>
          <w:bCs/>
          <w:lang w:eastAsia="en-US"/>
        </w:rPr>
      </w:pPr>
    </w:p>
    <w:p w:rsidR="00BB76F5" w:rsidRDefault="00437C47">
      <w:pPr>
        <w:jc w:val="both"/>
        <w:rPr>
          <w:rFonts w:eastAsia="Calibri"/>
          <w:bCs/>
          <w:lang w:eastAsia="en-US"/>
        </w:rPr>
      </w:pPr>
      <w:r>
        <w:rPr>
          <w:noProof/>
        </w:rPr>
        <w:drawing>
          <wp:inline distT="0" distB="0" distL="0" distR="0">
            <wp:extent cx="5940425" cy="3341370"/>
            <wp:effectExtent l="0" t="0" r="0" b="0"/>
            <wp:docPr id="4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76F5" w:rsidRDefault="00437C47">
      <w:pPr>
        <w:jc w:val="both"/>
      </w:pPr>
      <w:r>
        <w:rPr>
          <w:rFonts w:eastAsia="Calibri"/>
          <w:bCs/>
          <w:lang w:eastAsia="en-US"/>
        </w:rPr>
        <w:t>Совокупность значений однородна.</w:t>
      </w:r>
    </w:p>
    <w:p w:rsidR="00BB76F5" w:rsidRDefault="00BB76F5">
      <w:pPr>
        <w:ind w:firstLine="540"/>
        <w:jc w:val="both"/>
        <w:rPr>
          <w:rFonts w:eastAsia="Calibri"/>
          <w:bCs/>
          <w:lang w:eastAsia="en-US"/>
        </w:rPr>
      </w:pPr>
    </w:p>
    <w:p w:rsidR="00BB76F5" w:rsidRDefault="00437C47">
      <w:pPr>
        <w:ind w:left="-426" w:firstLine="540"/>
        <w:jc w:val="both"/>
      </w:pPr>
      <w:r>
        <w:rPr>
          <w:rFonts w:eastAsia="Calibri"/>
          <w:bCs/>
          <w:lang w:eastAsia="en-US"/>
        </w:rPr>
        <w:t xml:space="preserve">НМЦК методом сопоставимых рыночных цен (анализа рынка) определяется по </w:t>
      </w:r>
      <w:proofErr w:type="gramStart"/>
      <w:r>
        <w:rPr>
          <w:rFonts w:eastAsia="Calibri"/>
          <w:bCs/>
          <w:lang w:eastAsia="en-US"/>
        </w:rPr>
        <w:t>формуле:</w:t>
      </w:r>
      <w:r>
        <w:rPr>
          <w:noProof/>
        </w:rPr>
        <w:drawing>
          <wp:inline distT="0" distB="0" distL="0" distR="0">
            <wp:extent cx="1619250" cy="406400"/>
            <wp:effectExtent l="0" t="0" r="0" b="0"/>
            <wp:docPr id="5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Calibri"/>
          <w:bCs/>
          <w:lang w:eastAsia="en-US"/>
        </w:rPr>
        <w:t>,</w:t>
      </w:r>
      <w:proofErr w:type="gramEnd"/>
      <w:r>
        <w:rPr>
          <w:rFonts w:eastAsia="Calibri"/>
          <w:bCs/>
          <w:lang w:eastAsia="en-US"/>
        </w:rPr>
        <w:t xml:space="preserve"> где:</w:t>
      </w:r>
    </w:p>
    <w:p w:rsidR="00BB76F5" w:rsidRDefault="00437C47">
      <w:pPr>
        <w:ind w:left="-426" w:firstLine="540"/>
        <w:jc w:val="both"/>
      </w:pPr>
      <w:r>
        <w:rPr>
          <w:noProof/>
        </w:rPr>
        <w:drawing>
          <wp:inline distT="0" distB="0" distL="0" distR="0">
            <wp:extent cx="673100" cy="228600"/>
            <wp:effectExtent l="0" t="0" r="0" b="0"/>
            <wp:docPr id="6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1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Calibri"/>
          <w:bCs/>
          <w:lang w:eastAsia="en-US"/>
        </w:rPr>
        <w:t xml:space="preserve"> - НМЦК, определяемая методом сопоставимых рыночных цен (анализа рынка);</w:t>
      </w:r>
    </w:p>
    <w:p w:rsidR="00BB76F5" w:rsidRDefault="00437C47">
      <w:pPr>
        <w:ind w:left="-426" w:firstLine="540"/>
        <w:jc w:val="both"/>
      </w:pPr>
      <w:r>
        <w:rPr>
          <w:rFonts w:eastAsia="Calibri"/>
          <w:bCs/>
          <w:lang w:eastAsia="en-US"/>
        </w:rPr>
        <w:t>v - количество (объем) закупаемого товара (работы, услуги) – 100;</w:t>
      </w:r>
    </w:p>
    <w:p w:rsidR="00BB76F5" w:rsidRDefault="00437C47">
      <w:pPr>
        <w:ind w:left="-426" w:firstLine="540"/>
        <w:jc w:val="both"/>
      </w:pPr>
      <w:r>
        <w:rPr>
          <w:rFonts w:eastAsia="Calibri"/>
          <w:bCs/>
          <w:lang w:eastAsia="en-US"/>
        </w:rPr>
        <w:t>n - количество значений, используемых в расчете – 5;</w:t>
      </w:r>
    </w:p>
    <w:p w:rsidR="00BB76F5" w:rsidRDefault="00437C47">
      <w:pPr>
        <w:ind w:left="-426" w:firstLine="540"/>
        <w:jc w:val="both"/>
      </w:pPr>
      <w:r>
        <w:rPr>
          <w:rFonts w:eastAsia="Calibri"/>
          <w:bCs/>
          <w:lang w:eastAsia="en-US"/>
        </w:rPr>
        <w:t>i - номер источника ценовой информации;</w:t>
      </w:r>
    </w:p>
    <w:p w:rsidR="00BB76F5" w:rsidRDefault="00437C47">
      <w:pPr>
        <w:ind w:left="-426" w:firstLine="540"/>
        <w:jc w:val="both"/>
      </w:pPr>
      <w:r>
        <w:rPr>
          <w:noProof/>
        </w:rPr>
        <w:drawing>
          <wp:inline distT="0" distB="0" distL="0" distR="0">
            <wp:extent cx="152400" cy="228600"/>
            <wp:effectExtent l="0" t="0" r="0" b="0"/>
            <wp:docPr id="7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Calibri"/>
          <w:bCs/>
          <w:lang w:eastAsia="en-US"/>
        </w:rPr>
        <w:t xml:space="preserve">  - цена единицы товара, работы, услуги, представленная в источнике с номером i.</w:t>
      </w:r>
    </w:p>
    <w:p w:rsidR="00BB76F5" w:rsidRDefault="00BB76F5">
      <w:pPr>
        <w:ind w:left="-426" w:firstLine="540"/>
        <w:jc w:val="both"/>
        <w:rPr>
          <w:rFonts w:eastAsia="Calibri"/>
          <w:bCs/>
          <w:highlight w:val="yellow"/>
          <w:lang w:eastAsia="en-US"/>
        </w:rPr>
      </w:pPr>
    </w:p>
    <w:p w:rsidR="00BB76F5" w:rsidRDefault="00437C47">
      <w:pPr>
        <w:ind w:left="-426" w:firstLine="540"/>
        <w:jc w:val="both"/>
        <w:outlineLvl w:val="0"/>
        <w:rPr>
          <w:highlight w:val="yellow"/>
        </w:rPr>
      </w:pPr>
      <w:r>
        <w:rPr>
          <w:noProof/>
        </w:rPr>
        <w:drawing>
          <wp:inline distT="0" distB="0" distL="0" distR="0">
            <wp:extent cx="673100" cy="228600"/>
            <wp:effectExtent l="0" t="0" r="0" b="0"/>
            <wp:docPr id="8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1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Calibri"/>
          <w:b/>
          <w:bCs/>
          <w:lang w:eastAsia="en-US"/>
        </w:rPr>
        <w:t xml:space="preserve"> = (1/</w:t>
      </w:r>
      <w:r>
        <w:rPr>
          <w:rFonts w:eastAsia="Calibri"/>
          <w:b/>
          <w:bCs/>
          <w:color w:val="000000"/>
          <w:lang w:eastAsia="en-US"/>
        </w:rPr>
        <w:t xml:space="preserve">5 </w:t>
      </w:r>
      <w:r>
        <w:rPr>
          <w:rFonts w:eastAsia="Calibri"/>
          <w:b/>
          <w:bCs/>
          <w:lang w:eastAsia="en-US"/>
        </w:rPr>
        <w:t xml:space="preserve">* </w:t>
      </w:r>
      <w:r>
        <w:rPr>
          <w:rFonts w:ascii="Tinos" w:hAnsi="Tinos"/>
          <w:b/>
          <w:bCs/>
          <w:color w:val="000000"/>
        </w:rPr>
        <w:t>1 538,25</w:t>
      </w:r>
      <w:r>
        <w:rPr>
          <w:rFonts w:eastAsia="Calibri"/>
          <w:b/>
          <w:bCs/>
          <w:lang w:eastAsia="en-US"/>
        </w:rPr>
        <w:t xml:space="preserve">) * </w:t>
      </w:r>
      <w:r>
        <w:rPr>
          <w:rFonts w:eastAsia="Calibri"/>
          <w:b/>
          <w:bCs/>
          <w:color w:val="000000"/>
          <w:lang w:eastAsia="en-US"/>
        </w:rPr>
        <w:t>100</w:t>
      </w:r>
      <w:r>
        <w:rPr>
          <w:rFonts w:eastAsia="Calibri"/>
          <w:b/>
          <w:bCs/>
          <w:lang w:eastAsia="en-US"/>
        </w:rPr>
        <w:t xml:space="preserve"> = </w:t>
      </w:r>
      <w:r>
        <w:rPr>
          <w:rFonts w:eastAsia="Calibri"/>
          <w:b/>
          <w:bCs/>
          <w:color w:val="000000"/>
          <w:lang w:eastAsia="en-US"/>
        </w:rPr>
        <w:t>307,65</w:t>
      </w:r>
      <w:r>
        <w:rPr>
          <w:rFonts w:eastAsia="Calibri"/>
          <w:b/>
          <w:bCs/>
          <w:lang w:eastAsia="en-US"/>
        </w:rPr>
        <w:t xml:space="preserve"> * </w:t>
      </w:r>
      <w:r>
        <w:rPr>
          <w:rFonts w:eastAsia="Calibri"/>
          <w:b/>
          <w:bCs/>
          <w:color w:val="000000"/>
          <w:lang w:eastAsia="en-US"/>
        </w:rPr>
        <w:t>100</w:t>
      </w:r>
      <w:r>
        <w:rPr>
          <w:rFonts w:eastAsia="Calibri"/>
          <w:b/>
          <w:bCs/>
          <w:lang w:eastAsia="en-US"/>
        </w:rPr>
        <w:t xml:space="preserve"> = </w:t>
      </w:r>
      <w:r>
        <w:rPr>
          <w:rFonts w:eastAsia="Calibri"/>
          <w:b/>
          <w:bCs/>
          <w:color w:val="000000"/>
          <w:lang w:eastAsia="en-US"/>
        </w:rPr>
        <w:t>30 765,00</w:t>
      </w:r>
      <w:r>
        <w:rPr>
          <w:rFonts w:eastAsia="Calibri"/>
          <w:b/>
          <w:bCs/>
          <w:lang w:eastAsia="en-US"/>
        </w:rPr>
        <w:t xml:space="preserve"> рублей.</w:t>
      </w:r>
    </w:p>
    <w:p w:rsidR="00BB76F5" w:rsidRDefault="00BB76F5">
      <w:pPr>
        <w:jc w:val="both"/>
        <w:outlineLvl w:val="0"/>
        <w:rPr>
          <w:rFonts w:eastAsia="Calibri"/>
          <w:b/>
          <w:bCs/>
          <w:highlight w:val="yellow"/>
          <w:lang w:eastAsia="en-US"/>
        </w:rPr>
      </w:pPr>
    </w:p>
    <w:p w:rsidR="00BB76F5" w:rsidRDefault="00437C47">
      <w:pPr>
        <w:jc w:val="both"/>
        <w:outlineLvl w:val="0"/>
      </w:pPr>
      <w:r>
        <w:rPr>
          <w:rFonts w:eastAsia="Calibri"/>
          <w:b/>
          <w:bCs/>
          <w:lang w:eastAsia="en-US"/>
        </w:rPr>
        <w:t xml:space="preserve">Начальная (максимальная) цена контракта (стартовая цена) = </w:t>
      </w:r>
      <w:r>
        <w:rPr>
          <w:rFonts w:eastAsia="Calibri"/>
          <w:b/>
          <w:bCs/>
          <w:color w:val="000000"/>
          <w:lang w:eastAsia="en-US"/>
        </w:rPr>
        <w:t>30 765,00</w:t>
      </w:r>
      <w:r>
        <w:rPr>
          <w:rFonts w:eastAsia="Calibri"/>
          <w:b/>
          <w:bCs/>
          <w:lang w:eastAsia="en-US"/>
        </w:rPr>
        <w:t xml:space="preserve"> рублей.</w:t>
      </w:r>
    </w:p>
    <w:p w:rsidR="00BB76F5" w:rsidRDefault="00BB76F5">
      <w:pPr>
        <w:jc w:val="both"/>
        <w:outlineLvl w:val="0"/>
        <w:rPr>
          <w:rFonts w:eastAsia="Calibri"/>
          <w:b/>
          <w:bCs/>
          <w:highlight w:val="yellow"/>
          <w:lang w:eastAsia="en-US"/>
        </w:rPr>
      </w:pPr>
    </w:p>
    <w:p w:rsidR="00BB76F5" w:rsidRDefault="00437C47">
      <w:pPr>
        <w:ind w:left="-426" w:firstLine="708"/>
        <w:jc w:val="both"/>
        <w:outlineLvl w:val="0"/>
      </w:pPr>
      <w:r>
        <w:rPr>
          <w:bCs/>
          <w:lang w:eastAsia="zh-CN"/>
        </w:rPr>
        <w:t xml:space="preserve">НМЦК, рассчитанная с учетом положений Методических рекомендаций по применению методов определения начальной (максимальной) цены контракта, утвержденных Приказом Минэкономразвития России от 02.10.2013 № 567, составляет </w:t>
      </w:r>
      <w:r>
        <w:rPr>
          <w:rFonts w:eastAsia="Calibri"/>
          <w:b/>
          <w:bCs/>
          <w:color w:val="000000"/>
          <w:lang w:eastAsia="en-US"/>
        </w:rPr>
        <w:t xml:space="preserve">30 765,00 </w:t>
      </w:r>
      <w:r>
        <w:rPr>
          <w:b/>
          <w:bCs/>
          <w:lang w:eastAsia="zh-CN"/>
        </w:rPr>
        <w:t>рублей</w:t>
      </w:r>
      <w:r>
        <w:rPr>
          <w:bCs/>
          <w:lang w:eastAsia="zh-CN"/>
        </w:rPr>
        <w:t>.</w:t>
      </w:r>
    </w:p>
    <w:p w:rsidR="00BB76F5" w:rsidRDefault="00BB76F5">
      <w:pPr>
        <w:ind w:left="-426" w:firstLine="708"/>
        <w:jc w:val="both"/>
        <w:outlineLvl w:val="0"/>
        <w:rPr>
          <w:bCs/>
          <w:lang w:eastAsia="zh-CN"/>
        </w:rPr>
      </w:pPr>
    </w:p>
    <w:p w:rsidR="00BB76F5" w:rsidRDefault="00437C47">
      <w:pPr>
        <w:ind w:left="-426" w:firstLine="708"/>
        <w:jc w:val="both"/>
        <w:outlineLvl w:val="0"/>
      </w:pPr>
      <w:r>
        <w:rPr>
          <w:bCs/>
          <w:lang w:eastAsia="zh-CN"/>
        </w:rPr>
        <w:t>Заказчик вправе осуществлять закупку товаров, работ, услуг у единственного поставщика (подрядчика, исполнителя) по наименьшей цене контракта. В соответствии с пунктом 1.3 Методических рекомендаций по применению методов определения начальной (максимальной) цены контракта, утвержденных Приказом Минэкономразвития России от 02.10.2013 № 567, они применяются с учетом особенностей рынков конкретных товаров, работ, услуг, закупаемых для обеспечения государственных и муниципальных нужд.</w:t>
      </w:r>
    </w:p>
    <w:p w:rsidR="00BB76F5" w:rsidRDefault="00437C47">
      <w:pPr>
        <w:ind w:left="-426" w:firstLine="708"/>
        <w:jc w:val="both"/>
        <w:outlineLvl w:val="0"/>
      </w:pPr>
      <w:r>
        <w:rPr>
          <w:bCs/>
          <w:lang w:eastAsia="zh-CN"/>
        </w:rPr>
        <w:lastRenderedPageBreak/>
        <w:t>Определение НМЦК заказчик должен осуществлять с учетом необходимости достижения заданных целей обеспечения государственных и муниципальных нужд, а также из принципа ответственности за их достижение.</w:t>
      </w:r>
    </w:p>
    <w:p w:rsidR="00BB76F5" w:rsidRDefault="00437C47">
      <w:pPr>
        <w:ind w:left="-426" w:firstLine="708"/>
        <w:jc w:val="both"/>
        <w:outlineLvl w:val="0"/>
      </w:pPr>
      <w:r>
        <w:rPr>
          <w:bCs/>
          <w:lang w:eastAsia="zh-CN"/>
        </w:rPr>
        <w:t xml:space="preserve">Согласно позиции Минэкономразвития России, изложенной в письме от 08.04.2014 </w:t>
      </w:r>
      <w:r>
        <w:rPr>
          <w:bCs/>
          <w:color w:val="000000"/>
          <w:lang w:eastAsia="zh-CN"/>
        </w:rPr>
        <w:t>№</w:t>
      </w:r>
      <w:r>
        <w:rPr>
          <w:bCs/>
          <w:lang w:eastAsia="zh-CN"/>
        </w:rPr>
        <w:t> Д28и-443, и позиции Казначейства России, изложенной в письме от 22.12.2014 N 42-7.4-05/5.7-791, с учетом принципа эффективности использования бюджетных средств, установленного статьей 34 Бюджетного кодекса Российской Федерации, контракт следует заключать в пределах определенной НМЦК по цене, предложенной единственным поставщиком (подрядчиком, исполнителем), в том числе и по минимальной цене.</w:t>
      </w:r>
    </w:p>
    <w:p w:rsidR="00BB76F5" w:rsidRDefault="00437C47">
      <w:pPr>
        <w:ind w:left="-426" w:firstLine="708"/>
        <w:jc w:val="both"/>
        <w:outlineLvl w:val="0"/>
      </w:pPr>
      <w:r>
        <w:rPr>
          <w:bCs/>
          <w:lang w:eastAsia="zh-CN"/>
        </w:rPr>
        <w:t>Государственный контракт будет заключен в пределах определенной НМЦК по минимальной цене, предложенной единственным поставщиком (подрядчиком, исполнителем) по результатам проведения закупочной сессии.</w:t>
      </w:r>
    </w:p>
    <w:p w:rsidR="00BB76F5" w:rsidRDefault="00437C47">
      <w:pPr>
        <w:ind w:left="-426" w:firstLine="708"/>
        <w:jc w:val="both"/>
        <w:outlineLvl w:val="0"/>
      </w:pPr>
      <w:r>
        <w:rPr>
          <w:lang w:eastAsia="zh-CN"/>
        </w:rPr>
        <w:t xml:space="preserve">Наименьшую цену контракта предложило </w:t>
      </w:r>
      <w:r>
        <w:rPr>
          <w:rFonts w:ascii="Tinos" w:hAnsi="Tinos"/>
        </w:rPr>
        <w:t>ООО «</w:t>
      </w:r>
      <w:proofErr w:type="spellStart"/>
      <w:r>
        <w:rPr>
          <w:rFonts w:ascii="Tinos" w:hAnsi="Tinos"/>
        </w:rPr>
        <w:t>Инджини</w:t>
      </w:r>
      <w:proofErr w:type="spellEnd"/>
      <w:r>
        <w:rPr>
          <w:rFonts w:ascii="Tinos" w:hAnsi="Tinos"/>
        </w:rPr>
        <w:t xml:space="preserve">» (ИНН 6164127568) согласно коммерческому предложению от </w:t>
      </w:r>
      <w:r>
        <w:rPr>
          <w:rFonts w:ascii="Tinos" w:hAnsi="Tinos"/>
          <w:color w:val="000000"/>
        </w:rPr>
        <w:t>19.08.2026</w:t>
      </w:r>
      <w:r>
        <w:rPr>
          <w:rFonts w:ascii="Tinos" w:hAnsi="Tinos"/>
        </w:rPr>
        <w:t xml:space="preserve"> б/н (</w:t>
      </w:r>
      <w:proofErr w:type="spellStart"/>
      <w:r>
        <w:rPr>
          <w:rFonts w:ascii="Tinos" w:hAnsi="Tinos"/>
        </w:rPr>
        <w:t>вх</w:t>
      </w:r>
      <w:proofErr w:type="spellEnd"/>
      <w:r>
        <w:rPr>
          <w:rFonts w:ascii="Tinos" w:hAnsi="Tinos"/>
        </w:rPr>
        <w:t xml:space="preserve">. № </w:t>
      </w:r>
      <w:r>
        <w:rPr>
          <w:rFonts w:ascii="Tinos" w:hAnsi="Tinos"/>
          <w:color w:val="000000"/>
        </w:rPr>
        <w:t>2655</w:t>
      </w:r>
      <w:r>
        <w:rPr>
          <w:rFonts w:ascii="Tinos" w:hAnsi="Tinos"/>
        </w:rPr>
        <w:t xml:space="preserve"> от </w:t>
      </w:r>
      <w:r>
        <w:rPr>
          <w:rFonts w:ascii="Tinos" w:hAnsi="Tinos"/>
          <w:color w:val="000000"/>
        </w:rPr>
        <w:t>19.08.2026</w:t>
      </w:r>
      <w:r>
        <w:rPr>
          <w:rFonts w:ascii="Tinos" w:hAnsi="Tinos"/>
        </w:rPr>
        <w:t xml:space="preserve">) в размере </w:t>
      </w:r>
      <w:r>
        <w:rPr>
          <w:rFonts w:ascii="Tinos" w:hAnsi="Tinos"/>
          <w:color w:val="000000"/>
        </w:rPr>
        <w:t>25 600,00</w:t>
      </w:r>
      <w:r>
        <w:rPr>
          <w:rFonts w:ascii="Tinos" w:hAnsi="Tinos"/>
        </w:rPr>
        <w:t xml:space="preserve"> рублей. </w:t>
      </w:r>
    </w:p>
    <w:p w:rsidR="00BB76F5" w:rsidRDefault="00437C47">
      <w:pPr>
        <w:ind w:left="-426" w:firstLine="708"/>
        <w:jc w:val="both"/>
      </w:pPr>
      <w:r>
        <w:rPr>
          <w:lang w:eastAsia="zh-CN"/>
        </w:rPr>
        <w:t xml:space="preserve">Так как закупка проводится с использованием ЕАТ и в качестве стартовой цены возможно использование ценового предложения поставщика, то стартовая цена закупки на ЕАТ составляет </w:t>
      </w:r>
      <w:r>
        <w:rPr>
          <w:b/>
          <w:bCs/>
          <w:color w:val="000000"/>
        </w:rPr>
        <w:t>25 600,00 рублей</w:t>
      </w:r>
      <w:r>
        <w:rPr>
          <w:lang w:eastAsia="zh-CN"/>
        </w:rPr>
        <w:t>.</w:t>
      </w:r>
    </w:p>
    <w:p w:rsidR="00BB76F5" w:rsidRDefault="00BB76F5">
      <w:pPr>
        <w:ind w:left="-426" w:firstLine="540"/>
        <w:jc w:val="both"/>
        <w:outlineLvl w:val="0"/>
        <w:rPr>
          <w:bCs/>
          <w:lang w:eastAsia="zh-CN"/>
        </w:rPr>
      </w:pPr>
      <w:bookmarkStart w:id="0" w:name="_GoBack"/>
      <w:bookmarkEnd w:id="0"/>
    </w:p>
    <w:sectPr w:rsidR="00BB76F5">
      <w:headerReference w:type="default" r:id="rId12"/>
      <w:footerReference w:type="default" r:id="rId13"/>
      <w:pgSz w:w="11906" w:h="16838"/>
      <w:pgMar w:top="1134" w:right="850" w:bottom="1134" w:left="1701" w:header="708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1AEA" w:rsidRDefault="00871AEA">
      <w:r>
        <w:separator/>
      </w:r>
    </w:p>
  </w:endnote>
  <w:endnote w:type="continuationSeparator" w:id="0">
    <w:p w:rsidR="00871AEA" w:rsidRDefault="00871A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01"/>
    <w:family w:val="roman"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Tinos">
    <w:altName w:val="Times New Roman"/>
    <w:charset w:val="01"/>
    <w:family w:val="roman"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76F5" w:rsidRDefault="00BB76F5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1AEA" w:rsidRDefault="00871AEA">
      <w:r>
        <w:separator/>
      </w:r>
    </w:p>
  </w:footnote>
  <w:footnote w:type="continuationSeparator" w:id="0">
    <w:p w:rsidR="00871AEA" w:rsidRDefault="00871AE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8599227"/>
      <w:docPartObj>
        <w:docPartGallery w:val="Page Numbers (Top of Page)"/>
        <w:docPartUnique/>
      </w:docPartObj>
    </w:sdtPr>
    <w:sdtEndPr/>
    <w:sdtContent>
      <w:p w:rsidR="00BB76F5" w:rsidRDefault="00BB76F5">
        <w:pPr>
          <w:pStyle w:val="af4"/>
          <w:jc w:val="center"/>
          <w:rPr>
            <w:rFonts w:ascii="Times New Roman" w:hAnsi="Times New Roman" w:cs="Times New Roman"/>
            <w:sz w:val="24"/>
            <w:szCs w:val="24"/>
          </w:rPr>
        </w:pPr>
      </w:p>
      <w:p w:rsidR="00BB76F5" w:rsidRDefault="00871AEA">
        <w:pPr>
          <w:pStyle w:val="af4"/>
        </w:pP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1D2222"/>
    <w:multiLevelType w:val="multilevel"/>
    <w:tmpl w:val="536E15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36CC73F2"/>
    <w:multiLevelType w:val="multilevel"/>
    <w:tmpl w:val="CA34D85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B76F5"/>
    <w:rsid w:val="0021097C"/>
    <w:rsid w:val="00437C47"/>
    <w:rsid w:val="00871AEA"/>
    <w:rsid w:val="00BB76F5"/>
    <w:rsid w:val="00FC2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FCCC1E3-AF07-4BF6-AA20-0C991CC54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226C"/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DF226C"/>
  </w:style>
  <w:style w:type="character" w:customStyle="1" w:styleId="a4">
    <w:name w:val="Нижний колонтитул Знак"/>
    <w:basedOn w:val="a0"/>
    <w:uiPriority w:val="99"/>
    <w:qFormat/>
    <w:rsid w:val="00DF226C"/>
  </w:style>
  <w:style w:type="character" w:customStyle="1" w:styleId="CharStyle12">
    <w:name w:val="Char Style 12"/>
    <w:basedOn w:val="a0"/>
    <w:link w:val="Style11"/>
    <w:qFormat/>
    <w:rsid w:val="003C6058"/>
    <w:rPr>
      <w:sz w:val="25"/>
      <w:szCs w:val="25"/>
      <w:shd w:val="clear" w:color="auto" w:fill="FFFFFF"/>
    </w:rPr>
  </w:style>
  <w:style w:type="character" w:customStyle="1" w:styleId="a5">
    <w:name w:val="Текст сноски Знак"/>
    <w:basedOn w:val="a0"/>
    <w:uiPriority w:val="99"/>
    <w:qFormat/>
    <w:rsid w:val="003C6058"/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customStyle="1" w:styleId="a6">
    <w:name w:val="Привязка сноски"/>
    <w:rsid w:val="00532A6C"/>
    <w:rPr>
      <w:vertAlign w:val="superscript"/>
    </w:rPr>
  </w:style>
  <w:style w:type="character" w:customStyle="1" w:styleId="FootnoteCharacters">
    <w:name w:val="Footnote Characters"/>
    <w:basedOn w:val="a0"/>
    <w:uiPriority w:val="99"/>
    <w:semiHidden/>
    <w:unhideWhenUsed/>
    <w:qFormat/>
    <w:rsid w:val="00355AF7"/>
    <w:rPr>
      <w:vertAlign w:val="superscript"/>
    </w:rPr>
  </w:style>
  <w:style w:type="character" w:customStyle="1" w:styleId="a7">
    <w:name w:val="Символ сноски"/>
    <w:qFormat/>
    <w:rsid w:val="00532A6C"/>
  </w:style>
  <w:style w:type="character" w:customStyle="1" w:styleId="a8">
    <w:name w:val="Привязка концевой сноски"/>
    <w:rsid w:val="00532A6C"/>
    <w:rPr>
      <w:vertAlign w:val="superscript"/>
    </w:rPr>
  </w:style>
  <w:style w:type="character" w:customStyle="1" w:styleId="a9">
    <w:name w:val="Символ концевой сноски"/>
    <w:qFormat/>
    <w:rsid w:val="00532A6C"/>
  </w:style>
  <w:style w:type="character" w:customStyle="1" w:styleId="-">
    <w:name w:val="Интернет-ссылка"/>
    <w:basedOn w:val="a0"/>
    <w:unhideWhenUsed/>
    <w:rsid w:val="006759A5"/>
    <w:rPr>
      <w:color w:val="0563C1" w:themeColor="hyperlink"/>
      <w:u w:val="single"/>
    </w:rPr>
  </w:style>
  <w:style w:type="character" w:customStyle="1" w:styleId="aa">
    <w:name w:val="Посещённая гиперссылка"/>
    <w:basedOn w:val="a0"/>
    <w:uiPriority w:val="99"/>
    <w:semiHidden/>
    <w:unhideWhenUsed/>
    <w:rsid w:val="00C801DF"/>
    <w:rPr>
      <w:color w:val="954F72" w:themeColor="followedHyperlink"/>
      <w:u w:val="single"/>
    </w:rPr>
  </w:style>
  <w:style w:type="character" w:customStyle="1" w:styleId="9">
    <w:name w:val="Заголовок 9 Знак"/>
    <w:basedOn w:val="a0"/>
    <w:uiPriority w:val="9"/>
    <w:qFormat/>
    <w:rsid w:val="002D4F74"/>
    <w:rPr>
      <w:rFonts w:ascii="Times New Roman" w:eastAsia="Times New Roman" w:hAnsi="Times New Roman" w:cs="Times New Roman"/>
      <w:sz w:val="36"/>
      <w:szCs w:val="36"/>
      <w:lang w:eastAsia="ar-SA"/>
    </w:rPr>
  </w:style>
  <w:style w:type="character" w:customStyle="1" w:styleId="ab">
    <w:name w:val="Текст выноски Знак"/>
    <w:basedOn w:val="a0"/>
    <w:uiPriority w:val="99"/>
    <w:semiHidden/>
    <w:qFormat/>
    <w:rsid w:val="003A73FC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c">
    <w:name w:val="Выделение жирным"/>
    <w:qFormat/>
    <w:rPr>
      <w:b/>
      <w:bCs/>
    </w:rPr>
  </w:style>
  <w:style w:type="character" w:customStyle="1" w:styleId="ad">
    <w:name w:val="Символ нумерации"/>
    <w:qFormat/>
  </w:style>
  <w:style w:type="paragraph" w:customStyle="1" w:styleId="ae">
    <w:name w:val="Заголовок"/>
    <w:basedOn w:val="a"/>
    <w:next w:val="af"/>
    <w:qFormat/>
    <w:rsid w:val="00532A6C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f">
    <w:name w:val="Body Text"/>
    <w:basedOn w:val="a"/>
    <w:rsid w:val="00532A6C"/>
    <w:pPr>
      <w:spacing w:after="140" w:line="276" w:lineRule="auto"/>
    </w:pPr>
  </w:style>
  <w:style w:type="paragraph" w:styleId="af0">
    <w:name w:val="List"/>
    <w:basedOn w:val="af"/>
    <w:rsid w:val="00532A6C"/>
    <w:rPr>
      <w:rFonts w:ascii="PT Astra Serif" w:hAnsi="PT Astra Serif" w:cs="Noto Sans Devanagari"/>
    </w:rPr>
  </w:style>
  <w:style w:type="paragraph" w:styleId="af1">
    <w:name w:val="caption"/>
    <w:basedOn w:val="a"/>
    <w:qFormat/>
    <w:rsid w:val="00532A6C"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styleId="af2">
    <w:name w:val="index heading"/>
    <w:basedOn w:val="a"/>
    <w:qFormat/>
    <w:rsid w:val="00532A6C"/>
    <w:pPr>
      <w:suppressLineNumbers/>
    </w:pPr>
    <w:rPr>
      <w:rFonts w:ascii="PT Astra Serif" w:hAnsi="PT Astra Serif" w:cs="Noto Sans Devanagari"/>
    </w:rPr>
  </w:style>
  <w:style w:type="paragraph" w:customStyle="1" w:styleId="af3">
    <w:name w:val="Верхний и нижний колонтитулы"/>
    <w:basedOn w:val="a"/>
    <w:qFormat/>
    <w:rsid w:val="00532A6C"/>
  </w:style>
  <w:style w:type="paragraph" w:styleId="af4">
    <w:name w:val="header"/>
    <w:basedOn w:val="a"/>
    <w:uiPriority w:val="99"/>
    <w:unhideWhenUsed/>
    <w:rsid w:val="00DF226C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5">
    <w:name w:val="footer"/>
    <w:basedOn w:val="a"/>
    <w:uiPriority w:val="99"/>
    <w:unhideWhenUsed/>
    <w:rsid w:val="00DF226C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Style11">
    <w:name w:val="Style 11"/>
    <w:basedOn w:val="a"/>
    <w:link w:val="CharStyle12"/>
    <w:qFormat/>
    <w:rsid w:val="003C6058"/>
    <w:pPr>
      <w:widowControl w:val="0"/>
      <w:shd w:val="clear" w:color="auto" w:fill="FFFFFF"/>
      <w:spacing w:line="310" w:lineRule="exact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paragraph" w:styleId="af6">
    <w:name w:val="footnote text"/>
    <w:basedOn w:val="a"/>
    <w:uiPriority w:val="99"/>
    <w:unhideWhenUsed/>
    <w:rsid w:val="003C6058"/>
    <w:rPr>
      <w:sz w:val="20"/>
      <w:szCs w:val="20"/>
    </w:rPr>
  </w:style>
  <w:style w:type="paragraph" w:styleId="af7">
    <w:name w:val="No Spacing"/>
    <w:qFormat/>
    <w:rPr>
      <w:rFonts w:ascii="Times New Roman" w:eastAsia="Times New Roman" w:hAnsi="Times New Roman" w:cs="Times New Roman"/>
      <w:sz w:val="24"/>
      <w:szCs w:val="24"/>
    </w:rPr>
  </w:style>
  <w:style w:type="paragraph" w:customStyle="1" w:styleId="af8">
    <w:name w:val="Содержимое таблицы"/>
    <w:basedOn w:val="a"/>
    <w:qFormat/>
    <w:rsid w:val="00532A6C"/>
    <w:pPr>
      <w:suppressLineNumbers/>
    </w:pPr>
  </w:style>
  <w:style w:type="paragraph" w:customStyle="1" w:styleId="af9">
    <w:name w:val="Заголовок таблицы"/>
    <w:basedOn w:val="af8"/>
    <w:qFormat/>
    <w:rsid w:val="00532A6C"/>
    <w:pPr>
      <w:jc w:val="center"/>
    </w:pPr>
    <w:rPr>
      <w:b/>
      <w:bCs/>
    </w:rPr>
  </w:style>
  <w:style w:type="paragraph" w:styleId="afa">
    <w:name w:val="Body Text Indent"/>
    <w:basedOn w:val="a"/>
    <w:qFormat/>
    <w:rsid w:val="00532A6C"/>
    <w:pPr>
      <w:ind w:firstLine="709"/>
      <w:jc w:val="both"/>
    </w:pPr>
  </w:style>
  <w:style w:type="paragraph" w:styleId="afb">
    <w:name w:val="Balloon Text"/>
    <w:basedOn w:val="a"/>
    <w:uiPriority w:val="99"/>
    <w:semiHidden/>
    <w:unhideWhenUsed/>
    <w:qFormat/>
    <w:rsid w:val="003A73FC"/>
    <w:rPr>
      <w:rFonts w:ascii="Tahoma" w:hAnsi="Tahoma" w:cs="Tahoma"/>
      <w:sz w:val="16"/>
      <w:szCs w:val="16"/>
    </w:rPr>
  </w:style>
  <w:style w:type="table" w:styleId="afc">
    <w:name w:val="Table Grid"/>
    <w:basedOn w:val="a1"/>
    <w:rsid w:val="00DF226C"/>
    <w:rPr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wmf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wmf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B3D466-170E-43EB-8102-2268FF3730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1575</TotalTime>
  <Pages>3</Pages>
  <Words>750</Words>
  <Characters>4276</Characters>
  <Application>Microsoft Office Word</Application>
  <DocSecurity>0</DocSecurity>
  <Lines>35</Lines>
  <Paragraphs>10</Paragraphs>
  <ScaleCrop>false</ScaleCrop>
  <Company>RTA RF</Company>
  <LinksUpToDate>false</LinksUpToDate>
  <CharactersWithSpaces>5016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Вершовская Светлана Александровна</dc:creator>
  <dc:description/>
  <cp:lastModifiedBy>Вершовская Светлана Александровна</cp:lastModifiedBy>
  <cp:revision>486</cp:revision>
  <cp:lastPrinted>2026-03-04T09:26:00Z</cp:lastPrinted>
  <dcterms:created xsi:type="dcterms:W3CDTF">2022-01-27T09:35:00Z</dcterms:created>
  <dcterms:modified xsi:type="dcterms:W3CDTF">2026-09-04T07:24:00Z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RTA RF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