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shd w:val="clear" w:color="auto" w:fill="auto"/>
        <w:spacing w:lineRule="auto" w:line="240" w:before="120" w:after="0"/>
        <w:ind w:firstLine="567" w:left="36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BodyText"/>
        <w:shd w:val="clear" w:color="auto" w:fill="auto"/>
        <w:spacing w:lineRule="auto" w:line="240" w:before="120" w:after="0"/>
        <w:ind w:firstLine="567" w:left="360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 xml:space="preserve">ТЕХНИЧЕСКОЕ ЗАДАНИЕ </w:t>
      </w:r>
    </w:p>
    <w:p>
      <w:pPr>
        <w:pStyle w:val="BodyText"/>
        <w:shd w:val="clear" w:color="auto" w:fill="auto"/>
        <w:spacing w:lineRule="auto" w:line="240" w:before="120" w:after="0"/>
        <w:ind w:firstLine="567" w:left="360"/>
        <w:jc w:val="center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</w:r>
    </w:p>
    <w:p>
      <w:pPr>
        <w:pStyle w:val="BodyText"/>
        <w:shd w:val="clear" w:color="auto" w:fill="auto"/>
        <w:spacing w:lineRule="exact" w:line="259" w:before="0" w:after="0"/>
        <w:ind w:firstLine="567" w:right="340"/>
        <w:jc w:val="both"/>
        <w:rPr>
          <w:rFonts w:eastAsia="Times New Roman"/>
          <w:b/>
          <w:bCs/>
          <w:sz w:val="28"/>
          <w:szCs w:val="28"/>
          <w:lang w:val="ru-RU"/>
        </w:rPr>
      </w:pPr>
      <w:r>
        <w:rPr>
          <w:b/>
          <w:sz w:val="22"/>
          <w:szCs w:val="22"/>
          <w:lang w:val="ru-RU"/>
        </w:rPr>
        <w:t>на оказание услуг по техническому обслуживанию и текущему ремонту автомобилей.</w:t>
      </w:r>
    </w:p>
    <w:p>
      <w:pPr>
        <w:pStyle w:val="BodyText"/>
        <w:shd w:val="clear" w:color="auto" w:fill="auto"/>
        <w:spacing w:lineRule="exact" w:line="259" w:before="0" w:after="0"/>
        <w:ind w:hanging="0" w:right="340"/>
        <w:jc w:val="both"/>
        <w:rPr>
          <w:rFonts w:eastAsia="Times New Roman"/>
          <w:b/>
          <w:bCs/>
          <w:sz w:val="24"/>
          <w:szCs w:val="24"/>
          <w:lang w:val="ru-RU"/>
        </w:rPr>
      </w:pPr>
      <w:r>
        <w:rPr>
          <w:rFonts w:eastAsia="Times New Roman"/>
          <w:b/>
          <w:bCs/>
          <w:sz w:val="24"/>
          <w:szCs w:val="24"/>
          <w:lang w:val="ru-RU"/>
        </w:rPr>
      </w:r>
    </w:p>
    <w:p>
      <w:pPr>
        <w:pStyle w:val="BodyText"/>
        <w:shd w:val="clear" w:color="auto" w:fill="auto"/>
        <w:spacing w:lineRule="exact" w:line="259" w:before="0" w:after="0"/>
        <w:ind w:firstLine="567" w:right="340"/>
        <w:jc w:val="center"/>
        <w:rPr>
          <w:b/>
          <w:bCs/>
          <w:lang w:val="ru-RU"/>
        </w:rPr>
      </w:pPr>
      <w:r>
        <w:rPr>
          <w:b/>
          <w:lang w:val="ru-RU"/>
        </w:rPr>
        <w:t>УСЛОВИЯ ОКАЗАНИЯ УСЛУГ</w:t>
      </w:r>
    </w:p>
    <w:p>
      <w:pPr>
        <w:pStyle w:val="Normal"/>
        <w:jc w:val="center"/>
        <w:rPr>
          <w:b/>
          <w:bCs/>
        </w:rPr>
      </w:pPr>
      <w:r>
        <w:rPr>
          <w:b/>
          <w:bCs/>
        </w:rPr>
      </w:r>
    </w:p>
    <w:p>
      <w:pPr>
        <w:pStyle w:val="Normal"/>
        <w:ind w:firstLine="540"/>
        <w:jc w:val="both"/>
        <w:rPr/>
      </w:pPr>
      <w:r>
        <w:rPr/>
        <w:t>1. Оказываемые услуги (работы) по ремонту и техническому обслуживанию автомобилей Заказчика (Приложение №1 к техническому заданию), производятся на сервисном центре Исполнителя в г.Кирове, с использованием собственного оборудования, расходных материалов и запасных частей, рекомендованных к использованию заводом-изготовителем.</w:t>
      </w:r>
    </w:p>
    <w:p>
      <w:pPr>
        <w:pStyle w:val="Normal"/>
        <w:ind w:firstLine="540"/>
        <w:jc w:val="both"/>
        <w:rPr/>
      </w:pPr>
      <w:r>
        <w:rPr/>
        <w:t>2. Выполнение всех видов работ осуществляется в соответствии с техническими условиями, установленными для соответствующих марок автомобилей.</w:t>
      </w:r>
    </w:p>
    <w:p>
      <w:pPr>
        <w:pStyle w:val="Normal"/>
        <w:ind w:firstLine="540"/>
        <w:jc w:val="both"/>
        <w:rPr/>
      </w:pPr>
      <w:r>
        <w:rPr/>
        <w:t>3. Предварительное диагностирование объемов работ, а также количества и номенклатуры запасных частей, осуществляемое внешним осмотром без разборки и применения диагностического оборудования, производится без дополнительной оплаты.</w:t>
      </w:r>
    </w:p>
    <w:p>
      <w:pPr>
        <w:pStyle w:val="Normal"/>
        <w:ind w:firstLine="540"/>
        <w:jc w:val="both"/>
        <w:rPr/>
      </w:pPr>
      <w:r>
        <w:rPr/>
        <w:t>3. Фактический объем услуг по договору определяется Заказчиком, исходя из его потребностей. Услуги выполняются  на основании поданной Заказчиком заявки. В случае если в процессе выполнения работ будут выявлены дополнительные дефекты, требующие устранения, такие работы могут выполняться только с согласия Заказчика.</w:t>
      </w:r>
    </w:p>
    <w:p>
      <w:pPr>
        <w:pStyle w:val="Normal"/>
        <w:ind w:firstLine="540"/>
        <w:jc w:val="both"/>
        <w:rPr/>
      </w:pPr>
      <w:r>
        <w:rPr/>
        <w:t xml:space="preserve">4. Доставка автотранспорта к месту ремонта и обратно осуществляется силами и средствами Заказчика. </w:t>
      </w:r>
    </w:p>
    <w:p>
      <w:pPr>
        <w:pStyle w:val="Normal"/>
        <w:ind w:firstLine="540"/>
        <w:jc w:val="both"/>
        <w:rPr/>
      </w:pPr>
      <w:r>
        <w:rPr/>
        <w:t>5. Исполнитель предоставляет Заказчику бесплатное хранение автомобилей на охраняемой территории на время ожидания работ и после их окончания.</w:t>
      </w:r>
    </w:p>
    <w:p>
      <w:pPr>
        <w:pStyle w:val="Normal"/>
        <w:ind w:firstLine="540"/>
        <w:jc w:val="both"/>
        <w:rPr/>
      </w:pPr>
      <w:r>
        <w:rPr/>
        <w:t>6. Исполнителем обеспечивается одновременный прием не менее 2 автомобилей Заказчика для осуществления технического обслуживания и текущего ремонта без предварительной записи</w:t>
      </w:r>
    </w:p>
    <w:p>
      <w:pPr>
        <w:pStyle w:val="Normal"/>
        <w:ind w:firstLine="540"/>
        <w:jc w:val="both"/>
        <w:rPr/>
      </w:pPr>
      <w:r>
        <w:rPr/>
        <w:t>7. Исполнитель принимает на себя обязанности по утилизации отходов возникших при проведении ремонта автомобилей Заказчика.</w:t>
      </w:r>
    </w:p>
    <w:p>
      <w:pPr>
        <w:pStyle w:val="Normal"/>
        <w:ind w:firstLine="540"/>
        <w:jc w:val="both"/>
        <w:rPr/>
      </w:pPr>
      <w:r>
        <w:rPr/>
        <w:t>8. Исполнитель предоставляет представителю Заказчика возможность осуществления контроля, за выполняемыми работами по ремонту и техническому обслуживанию автотранспорта.</w:t>
      </w:r>
    </w:p>
    <w:p>
      <w:pPr>
        <w:pStyle w:val="Normal"/>
        <w:ind w:firstLine="540"/>
        <w:jc w:val="both"/>
        <w:rPr/>
      </w:pPr>
      <w:r>
        <w:rPr/>
        <w:t>9. Исполнитель возвращает замененные узлы, агрегаты Заказчику.</w:t>
      </w:r>
    </w:p>
    <w:p>
      <w:pPr>
        <w:pStyle w:val="Normal"/>
        <w:ind w:firstLine="540"/>
        <w:jc w:val="both"/>
        <w:rPr/>
      </w:pPr>
      <w:r>
        <w:rPr/>
        <w:t>10. Для проведения технического обслуживания за Заказчиком должен закрепляться квалифицированный персонал для выполнения в полном объеме всех работ по ТО и ремонту автотранспорта. По вопросам организации технического обслуживания и ремонта Исполнитель должен выполнять поручения и задачи специалистов Заказчика.</w:t>
      </w:r>
    </w:p>
    <w:p>
      <w:pPr>
        <w:pStyle w:val="Normal"/>
        <w:ind w:firstLine="540"/>
        <w:jc w:val="both"/>
        <w:rPr/>
      </w:pPr>
      <w:r>
        <w:rPr/>
        <w:t>11. Исполнитель выполняет работы по ремонту в соответствии с установленными эксплуатационными и ремонтными нормами, рекомендациями завода-изготовителя, с соблюдением требований «ПРАВИЛ ОКАЗАНИЯ УСЛУГ (ВЫПОЛНЕНИЯ РАБОТ) ПО ТЕХНИЧЕСКОМУ ОБСЛУЖИВАНИЮ И РЕМОНТУ АВТОМОТОТРАНСПОРТНЫХ СРЕДСТВ» - ПОСТАНОВЛЕНИЕ ПРАВИТЕЛЬСТВА РФ ОТ 11.04.2001Г. № 290.</w:t>
      </w:r>
    </w:p>
    <w:p>
      <w:pPr>
        <w:pStyle w:val="Normal"/>
        <w:ind w:firstLine="540"/>
        <w:jc w:val="both"/>
        <w:rPr/>
      </w:pPr>
      <w:r>
        <w:rPr/>
        <w:t>12. По требованию Заказчика Исполнитель обязан предоставить сертификаты соответствия на оригинальные запасные части, применяемые в процессе технического обслуживания и ремонта транспортных средств Заказчика согласно ТЕХНИЧЕСКОГО РЕГЛАМЕНТА О БЕЗОПАСНОСТИ ТРАНСПОРТНЫХ СРЕДСТВ – ПОСТАНОВЛЕНИЕ ПРАВИТЕЛЬСТВА РФ ОТ 10.09.09Г. № 720</w:t>
      </w:r>
    </w:p>
    <w:p>
      <w:pPr>
        <w:pStyle w:val="Normal"/>
        <w:ind w:firstLine="540"/>
        <w:jc w:val="both"/>
        <w:rPr/>
      </w:pPr>
      <w:r>
        <w:rPr/>
        <w:t xml:space="preserve">13. Транспортные средства прошедшие техническое обслуживание и ремонт должны отвечать требованиям, регламентирующим техническое состояние и оборудование транспортных средств, участвующих в дорожном движении, в части, относящейся к обеспечению безопасности дорожного движения (ПОСТАНОВЛЕНИЕ 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ПРАВИТЕЛЬСТВА РФ ОТ 23.10.1993Г. №1090 «О ПРАВИЛАХ ДОРОЖНОГО ДВИЖЕНИЯ»).</w:t>
      </w:r>
    </w:p>
    <w:p>
      <w:pPr>
        <w:pStyle w:val="Normal"/>
        <w:ind w:firstLine="540"/>
        <w:jc w:val="both"/>
        <w:rPr/>
      </w:pPr>
      <w:r>
        <w:rPr/>
        <w:t>13. Нормы времени на техническое обслуживание и ремонт автомобилей Заказчика должны соответствовать нормам, указанным в «СБОРНИКЕ НОРМ ВРЕМЕНИ НА ТЕХНИЧЕСКОЕ ОБСЛУЖИВАНИЕ И РЕМОНТ ЛЕГКОВЫХ, ГРУЗОВЫХ АВТОМОБИЛЕЙ И АВТОБУСОВ РД 03112178-1023-99» или при их отсутствии в строгом соответствии с трудоемкостью, установленной заводом-изготовителем автомобилей.</w:t>
      </w:r>
    </w:p>
    <w:p>
      <w:pPr>
        <w:pStyle w:val="Normal"/>
        <w:ind w:firstLine="540"/>
        <w:jc w:val="both"/>
        <w:rPr/>
      </w:pPr>
      <w:r>
        <w:rPr/>
      </w:r>
    </w:p>
    <w:p>
      <w:pPr>
        <w:pStyle w:val="ListParagraph"/>
        <w:numPr>
          <w:ilvl w:val="0"/>
          <w:numId w:val="1"/>
        </w:numPr>
        <w:jc w:val="center"/>
        <w:rPr>
          <w:b/>
          <w:bCs/>
          <w:u w:val="single"/>
        </w:rPr>
      </w:pPr>
      <w:r>
        <w:rPr>
          <w:b/>
          <w:bCs/>
        </w:rPr>
        <w:t>ПЕРЕЧЕНЬ ОКАЗЫВАЕМЫХ УСЛУГ И СРОКИ ИХ ИСПОЛНЕНИЯ</w:t>
      </w:r>
    </w:p>
    <w:p>
      <w:pPr>
        <w:pStyle w:val="Normal"/>
        <w:rPr>
          <w:b/>
          <w:bCs/>
          <w:u w:val="single"/>
        </w:rPr>
      </w:pPr>
      <w:r>
        <w:rPr>
          <w:b/>
          <w:bCs/>
          <w:u w:val="single"/>
        </w:rPr>
      </w:r>
    </w:p>
    <w:p>
      <w:pPr>
        <w:pStyle w:val="ListParagraph"/>
        <w:numPr>
          <w:ilvl w:val="0"/>
          <w:numId w:val="2"/>
        </w:numPr>
        <w:jc w:val="both"/>
        <w:rPr/>
      </w:pPr>
      <w:r>
        <w:rPr/>
        <w:t>Мойка автомобилей – в течении 1 часа по предварительной записи.</w:t>
      </w:r>
    </w:p>
    <w:p>
      <w:pPr>
        <w:pStyle w:val="ListParagraph"/>
        <w:numPr>
          <w:ilvl w:val="0"/>
          <w:numId w:val="2"/>
        </w:numPr>
        <w:ind w:firstLine="567" w:left="0"/>
        <w:jc w:val="both"/>
        <w:rPr/>
      </w:pPr>
      <w:r>
        <w:rPr/>
        <w:t>Шиномонтажные работы всех видов – начало работ не позднее 1 часа с момента подачи заявки.</w:t>
      </w:r>
    </w:p>
    <w:p>
      <w:pPr>
        <w:pStyle w:val="ListParagraph"/>
        <w:numPr>
          <w:ilvl w:val="0"/>
          <w:numId w:val="2"/>
        </w:numPr>
        <w:ind w:firstLine="567" w:left="0"/>
        <w:jc w:val="both"/>
        <w:rPr/>
      </w:pPr>
      <w:r>
        <w:rPr/>
        <w:t>Контрольно-диагностические работы на подвеске автомобиля, включая регулировку углов установки колес на специализированном стенде – в течении рабочего дня после подачи заявки.</w:t>
      </w:r>
    </w:p>
    <w:p>
      <w:pPr>
        <w:pStyle w:val="ListParagraph"/>
        <w:numPr>
          <w:ilvl w:val="0"/>
          <w:numId w:val="2"/>
        </w:numPr>
        <w:ind w:firstLine="567" w:left="0"/>
        <w:jc w:val="both"/>
        <w:rPr/>
      </w:pPr>
      <w:r>
        <w:rPr/>
        <w:t>Контрольно-диагностические работы двигателей автомобилей – в течении одного рабочего дня после подачи заявки .</w:t>
      </w:r>
    </w:p>
    <w:p>
      <w:pPr>
        <w:pStyle w:val="ListParagraph"/>
        <w:numPr>
          <w:ilvl w:val="0"/>
          <w:numId w:val="2"/>
        </w:numPr>
        <w:ind w:firstLine="567" w:left="0"/>
        <w:jc w:val="both"/>
        <w:rPr/>
      </w:pPr>
      <w:r>
        <w:rPr/>
        <w:t>Периодическое техническое обслуживание автомобилей - в течении одного рабочего дня после подачи заявки (без дополнительных работ).</w:t>
      </w:r>
    </w:p>
    <w:p>
      <w:pPr>
        <w:pStyle w:val="ListParagraph"/>
        <w:numPr>
          <w:ilvl w:val="0"/>
          <w:numId w:val="2"/>
        </w:numPr>
        <w:ind w:firstLine="567" w:left="0"/>
        <w:jc w:val="both"/>
        <w:rPr/>
      </w:pPr>
      <w:r>
        <w:rPr/>
        <w:t>Текущий ремонт подвески и ходовой части автомобилей - начало работ не позднее одного рабочего дня после подачи заявки.</w:t>
      </w:r>
    </w:p>
    <w:p>
      <w:pPr>
        <w:pStyle w:val="ListParagraph"/>
        <w:numPr>
          <w:ilvl w:val="0"/>
          <w:numId w:val="2"/>
        </w:numPr>
        <w:ind w:firstLine="567" w:left="0"/>
        <w:jc w:val="both"/>
        <w:rPr/>
      </w:pPr>
      <w:r>
        <w:rPr/>
        <w:t>Текущий ремонт всех автомобильных агрегатов, включая двигатель - начало работ не позднее одного рабочего дня, окончание – не позднее четырех рабочих дней после подачи заявки.</w:t>
      </w:r>
    </w:p>
    <w:p>
      <w:pPr>
        <w:pStyle w:val="ListParagraph"/>
        <w:numPr>
          <w:ilvl w:val="0"/>
          <w:numId w:val="2"/>
        </w:numPr>
        <w:ind w:firstLine="567" w:left="0"/>
        <w:jc w:val="both"/>
        <w:rPr/>
      </w:pPr>
      <w:r>
        <w:rPr/>
        <w:t>Замена агрегатов автомобилей, включая двигатель – не более двух рабочих дней после подачи заявки.</w:t>
      </w:r>
    </w:p>
    <w:p>
      <w:pPr>
        <w:pStyle w:val="ListParagraph"/>
        <w:numPr>
          <w:ilvl w:val="0"/>
          <w:numId w:val="2"/>
        </w:numPr>
        <w:ind w:firstLine="567" w:left="0"/>
        <w:jc w:val="both"/>
        <w:rPr/>
      </w:pPr>
      <w:r>
        <w:rPr/>
        <w:t>Кузовной ремонт автомобилей, включая замену кузовных деталей, сварочные работы и рихтовку – начало работ не позднее двух рабочих дней после подачи заявки.</w:t>
      </w:r>
    </w:p>
    <w:p>
      <w:pPr>
        <w:pStyle w:val="ListParagraph"/>
        <w:numPr>
          <w:ilvl w:val="0"/>
          <w:numId w:val="2"/>
        </w:numPr>
        <w:ind w:firstLine="567" w:left="0"/>
        <w:jc w:val="both"/>
        <w:rPr/>
      </w:pPr>
      <w:r>
        <w:rPr/>
        <w:t>Покраска деталей автомобилей после проведения кузовных работ, включая подготовительные работы, шпатлевку и сушку в специализированной камере – не более четырех рабочих дней после подачи заявки.</w:t>
      </w:r>
    </w:p>
    <w:p>
      <w:pPr>
        <w:pStyle w:val="ListParagraph"/>
        <w:ind w:left="927"/>
        <w:rPr/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1060" w:leader="none"/>
        </w:tabs>
        <w:jc w:val="both"/>
        <w:rPr>
          <w:b/>
          <w:bCs/>
        </w:rPr>
      </w:pPr>
      <w:r>
        <w:rPr>
          <w:b/>
          <w:bCs/>
        </w:rPr>
        <w:t>ТРЕБОВАНИЯ К КАЧЕСТВУ ОКАЗЫВАЕМЫХ УСЛУГ, ИСПОЛЬЗУЕМЫХ МАТЕРИАЛОВ И ЗАПАСНЫХ ЧАСТЕЙ</w:t>
      </w:r>
    </w:p>
    <w:p>
      <w:pPr>
        <w:pStyle w:val="Normal"/>
        <w:jc w:val="center"/>
        <w:rPr>
          <w:b/>
          <w:bCs/>
        </w:rPr>
      </w:pPr>
      <w:r>
        <w:rPr>
          <w:b/>
          <w:bCs/>
        </w:rPr>
      </w:r>
    </w:p>
    <w:p>
      <w:pPr>
        <w:pStyle w:val="Normal"/>
        <w:tabs>
          <w:tab w:val="clear" w:pos="708"/>
          <w:tab w:val="left" w:pos="5665" w:leader="none"/>
        </w:tabs>
        <w:ind w:firstLine="540"/>
        <w:jc w:val="both"/>
        <w:rPr/>
      </w:pPr>
      <w:r>
        <w:rPr/>
        <w:t>1. Срок предоставления гарантии качества на выполнение работ по ремонту и обслуживанию транспортных средств со дня подписания акта выполненных работ должен составлять:</w:t>
      </w:r>
    </w:p>
    <w:p>
      <w:pPr>
        <w:pStyle w:val="Normal"/>
        <w:tabs>
          <w:tab w:val="clear" w:pos="708"/>
          <w:tab w:val="left" w:pos="5665" w:leader="none"/>
        </w:tabs>
        <w:ind w:firstLine="540"/>
        <w:jc w:val="both"/>
        <w:rPr/>
      </w:pPr>
      <w:r>
        <w:rPr/>
        <w:t>- на слесарные работы – не менее 3 месяцев;</w:t>
      </w:r>
    </w:p>
    <w:p>
      <w:pPr>
        <w:pStyle w:val="Normal"/>
        <w:tabs>
          <w:tab w:val="clear" w:pos="708"/>
          <w:tab w:val="left" w:pos="5665" w:leader="none"/>
        </w:tabs>
        <w:ind w:firstLine="540"/>
        <w:jc w:val="both"/>
        <w:rPr/>
      </w:pPr>
      <w:r>
        <w:rPr/>
        <w:t>- на ремонт агрегатов – не менее 3 месяцев;</w:t>
      </w:r>
    </w:p>
    <w:p>
      <w:pPr>
        <w:pStyle w:val="Normal"/>
        <w:tabs>
          <w:tab w:val="clear" w:pos="708"/>
          <w:tab w:val="left" w:pos="5665" w:leader="none"/>
        </w:tabs>
        <w:ind w:firstLine="540"/>
        <w:jc w:val="both"/>
        <w:rPr/>
      </w:pPr>
      <w:r>
        <w:rPr/>
        <w:t>- на малярно-кузовные работы – не менее 6 месяцев;</w:t>
      </w:r>
    </w:p>
    <w:p>
      <w:pPr>
        <w:pStyle w:val="Normal"/>
        <w:tabs>
          <w:tab w:val="clear" w:pos="708"/>
          <w:tab w:val="left" w:pos="5665" w:leader="none"/>
        </w:tabs>
        <w:ind w:firstLine="540"/>
        <w:jc w:val="both"/>
        <w:rPr/>
      </w:pPr>
      <w:r>
        <w:rPr/>
        <w:t>- на техническое обслуживание – до следующего ТО (пробег определяется инструкцией изготовителя);</w:t>
      </w:r>
    </w:p>
    <w:p>
      <w:pPr>
        <w:pStyle w:val="Normal"/>
        <w:tabs>
          <w:tab w:val="clear" w:pos="708"/>
          <w:tab w:val="left" w:pos="5665" w:leader="none"/>
        </w:tabs>
        <w:ind w:firstLine="540"/>
        <w:jc w:val="both"/>
        <w:rPr/>
      </w:pPr>
      <w:r>
        <w:rPr/>
        <w:t>- текущий ремонт – не менее 20 календарных дней или не менее 2000 км пробега;</w:t>
      </w:r>
    </w:p>
    <w:p>
      <w:pPr>
        <w:pStyle w:val="Normal"/>
        <w:tabs>
          <w:tab w:val="clear" w:pos="708"/>
          <w:tab w:val="left" w:pos="5665" w:leader="none"/>
        </w:tabs>
        <w:ind w:firstLine="540"/>
        <w:jc w:val="both"/>
        <w:rPr/>
      </w:pPr>
      <w:r>
        <w:rPr/>
        <w:t>- на запасные части (за исключением расходных) – не менее 3 месяцев.</w:t>
      </w:r>
    </w:p>
    <w:p>
      <w:pPr>
        <w:pStyle w:val="Normal"/>
        <w:tabs>
          <w:tab w:val="clear" w:pos="708"/>
          <w:tab w:val="left" w:pos="5665" w:leader="none"/>
        </w:tabs>
        <w:ind w:firstLine="540"/>
        <w:jc w:val="both"/>
        <w:rPr/>
      </w:pPr>
      <w:r>
        <w:rPr/>
        <w:t xml:space="preserve">2. В случае обнаружения в ходе приема-сдачи выполненных работ либо во время эксплуатации в гарантийный срок, при правильной эксплуатации автомобиля, недостатков в выполненных работах, либо несоответствия качества используемых материалов, данные </w:t>
      </w:r>
    </w:p>
    <w:p>
      <w:pPr>
        <w:pStyle w:val="Normal"/>
        <w:tabs>
          <w:tab w:val="clear" w:pos="708"/>
          <w:tab w:val="left" w:pos="5665" w:leader="none"/>
        </w:tabs>
        <w:jc w:val="both"/>
        <w:rPr/>
      </w:pPr>
      <w:r>
        <w:rPr/>
      </w:r>
    </w:p>
    <w:p>
      <w:pPr>
        <w:pStyle w:val="Normal"/>
        <w:tabs>
          <w:tab w:val="clear" w:pos="708"/>
          <w:tab w:val="left" w:pos="5665" w:leader="none"/>
        </w:tabs>
        <w:jc w:val="both"/>
        <w:rPr/>
      </w:pPr>
      <w:r>
        <w:rPr/>
      </w:r>
    </w:p>
    <w:p>
      <w:pPr>
        <w:pStyle w:val="Normal"/>
        <w:tabs>
          <w:tab w:val="clear" w:pos="708"/>
          <w:tab w:val="left" w:pos="5665" w:leader="none"/>
        </w:tabs>
        <w:jc w:val="both"/>
        <w:rPr/>
      </w:pPr>
      <w:r>
        <w:rPr/>
        <w:t>недостатки  подлежат исправлению силами Исполнителя, в первоочередном порядке, и за его счет в течение  не более трех дней со дня обнаружения.</w:t>
      </w:r>
    </w:p>
    <w:p>
      <w:pPr>
        <w:pStyle w:val="Normal"/>
        <w:tabs>
          <w:tab w:val="clear" w:pos="708"/>
          <w:tab w:val="left" w:pos="5665" w:leader="none"/>
        </w:tabs>
        <w:ind w:firstLine="540"/>
        <w:jc w:val="both"/>
        <w:rPr/>
      </w:pPr>
      <w:r>
        <w:rPr/>
        <w:t>3. В случае выхода из строя замененных запасных частей полностью или их комплектующих, по вине завода изготовителя, в течение гарантийного срока эксплуатации, устранение неисправностей вплоть до их замены производится за счет Исполнителя. При этом гарантийный срок на выполненные работы и используемые при выполнении ремонта запасные части продлевается на период гарантийного ремонта с момента уведомления о выходе из строя комплектующих (запасных частей), до дня устранения выявленных дефектов и неисправностей.</w:t>
      </w:r>
    </w:p>
    <w:p>
      <w:pPr>
        <w:pStyle w:val="Normal"/>
        <w:tabs>
          <w:tab w:val="clear" w:pos="708"/>
          <w:tab w:val="left" w:pos="5665" w:leader="none"/>
        </w:tabs>
        <w:ind w:firstLine="540"/>
        <w:jc w:val="both"/>
        <w:rPr/>
      </w:pPr>
      <w:r>
        <w:rPr/>
        <w:t>4. Устанавливаемые, при выполнении всех видов ремонта запасные части должны быть новыми, произведенными официальными производителями. Использование восстановленных запасных частей не допускается.</w:t>
      </w:r>
    </w:p>
    <w:p>
      <w:pPr>
        <w:pStyle w:val="NoSpacing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jc w:val="right"/>
        <w:rPr/>
      </w:pPr>
      <w:r>
        <w:rPr/>
        <w:t>Приложение №1</w:t>
      </w:r>
    </w:p>
    <w:p>
      <w:pPr>
        <w:pStyle w:val="Normal"/>
        <w:jc w:val="right"/>
        <w:rPr/>
      </w:pPr>
      <w:r>
        <w:rPr/>
        <w:t>к техническому заданию</w:t>
      </w:r>
    </w:p>
    <w:p>
      <w:pPr>
        <w:pStyle w:val="Normal"/>
        <w:jc w:val="center"/>
        <w:rPr/>
      </w:pPr>
      <w:r>
        <w:rPr/>
        <w:t>СПИСОК АВТОМОБИЛЕЙ:</w:t>
      </w:r>
    </w:p>
    <w:p>
      <w:pPr>
        <w:pStyle w:val="Normal"/>
        <w:jc w:val="center"/>
        <w:rPr/>
      </w:pPr>
      <w:r>
        <w:rPr/>
      </w:r>
    </w:p>
    <w:tbl>
      <w:tblPr>
        <w:tblW w:w="6225" w:type="dxa"/>
        <w:jc w:val="center"/>
        <w:tblInd w:w="0" w:type="dxa"/>
        <w:tblLayout w:type="fixed"/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844"/>
        <w:gridCol w:w="2975"/>
        <w:gridCol w:w="2406"/>
      </w:tblGrid>
      <w:tr>
        <w:trPr/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jc w:val="center"/>
              <w:rPr>
                <w:rFonts w:eastAsia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</w:rPr>
              <w:t>№</w:t>
            </w:r>
          </w:p>
          <w:p>
            <w:pPr>
              <w:pStyle w:val="Normal"/>
              <w:spacing w:lineRule="auto" w:line="257" w:before="0" w:after="160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</w:rPr>
              <w:t>п/п</w:t>
            </w:r>
          </w:p>
        </w:tc>
        <w:tc>
          <w:tcPr>
            <w:tcW w:w="2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="Calibri" w:eastAsiaTheme="minorHAnsi"/>
                <w:b/>
                <w:bCs/>
                <w:sz w:val="28"/>
                <w:szCs w:val="28"/>
                <w:lang w:eastAsia="en-US"/>
              </w:rPr>
            </w:r>
          </w:p>
          <w:p>
            <w:pPr>
              <w:pStyle w:val="Normal"/>
              <w:spacing w:lineRule="auto" w:line="257" w:before="0" w:after="160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</w:rPr>
              <w:t>марка</w:t>
            </w:r>
          </w:p>
        </w:tc>
        <w:tc>
          <w:tcPr>
            <w:tcW w:w="2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="Calibri" w:eastAsiaTheme="minorHAnsi"/>
                <w:b/>
                <w:bCs/>
                <w:sz w:val="28"/>
                <w:szCs w:val="28"/>
                <w:lang w:eastAsia="en-US"/>
              </w:rPr>
            </w:r>
          </w:p>
          <w:p>
            <w:pPr>
              <w:pStyle w:val="Normal"/>
              <w:spacing w:lineRule="auto" w:line="257" w:before="0" w:after="160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</w:rPr>
              <w:t>Гос.№</w:t>
            </w:r>
          </w:p>
        </w:tc>
      </w:tr>
      <w:tr>
        <w:trPr/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spacing w:lineRule="auto" w:line="257" w:before="0" w:after="160"/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2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spacing w:lineRule="auto" w:line="257" w:before="0" w:after="160"/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</w:rPr>
              <w:t>ГАЗ-270710</w:t>
            </w:r>
          </w:p>
        </w:tc>
        <w:tc>
          <w:tcPr>
            <w:tcW w:w="2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spacing w:lineRule="auto" w:line="257" w:before="0" w:after="160"/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</w:rPr>
              <w:t>К 379 НА</w:t>
            </w:r>
          </w:p>
        </w:tc>
      </w:tr>
      <w:tr>
        <w:trPr/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spacing w:lineRule="auto" w:line="257" w:before="0" w:after="160"/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spacing w:lineRule="auto" w:line="257" w:before="0" w:after="16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</w:rPr>
              <w:t>УАЗ-ПАТРИОТ</w:t>
            </w:r>
          </w:p>
        </w:tc>
        <w:tc>
          <w:tcPr>
            <w:tcW w:w="2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spacing w:lineRule="auto" w:line="257" w:before="0" w:after="16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</w:rPr>
              <w:t>Р 643 РА</w:t>
            </w:r>
          </w:p>
        </w:tc>
      </w:tr>
      <w:tr>
        <w:trPr/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spacing w:lineRule="auto" w:line="257" w:before="0" w:after="16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2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spacing w:lineRule="auto" w:line="257" w:before="0" w:after="160"/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</w:rPr>
              <w:t>УАЗ-396254</w:t>
            </w:r>
          </w:p>
        </w:tc>
        <w:tc>
          <w:tcPr>
            <w:tcW w:w="2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spacing w:lineRule="auto" w:line="257" w:before="0" w:after="160"/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</w:rPr>
              <w:t>К 672 НА</w:t>
            </w:r>
          </w:p>
        </w:tc>
      </w:tr>
      <w:tr>
        <w:trPr/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spacing w:lineRule="auto" w:line="257" w:before="0" w:after="16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spacing w:lineRule="auto" w:line="257" w:before="0" w:after="16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МИЦУБИСИ ГАЛАНТ 2,4</w:t>
            </w:r>
          </w:p>
        </w:tc>
        <w:tc>
          <w:tcPr>
            <w:tcW w:w="2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spacing w:lineRule="auto" w:line="257" w:before="0" w:after="16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М 647 НР</w:t>
            </w:r>
          </w:p>
        </w:tc>
      </w:tr>
      <w:tr>
        <w:trPr/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spacing w:lineRule="auto" w:line="257" w:before="0" w:after="16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2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spacing w:lineRule="auto" w:line="257" w:before="0" w:after="160"/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</w:rPr>
              <w:t>УАЗ-ПАТРИОТ</w:t>
            </w:r>
          </w:p>
        </w:tc>
        <w:tc>
          <w:tcPr>
            <w:tcW w:w="2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spacing w:lineRule="auto" w:line="257" w:before="0" w:after="160"/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</w:rPr>
              <w:t>К 830 ОУ</w:t>
            </w:r>
          </w:p>
        </w:tc>
      </w:tr>
      <w:tr>
        <w:trPr/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spacing w:lineRule="auto" w:line="257" w:before="0" w:after="16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spacing w:lineRule="auto" w:line="257" w:before="0" w:after="16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МИЦУБИСИ-ПАДЖЕРО</w:t>
            </w:r>
          </w:p>
        </w:tc>
        <w:tc>
          <w:tcPr>
            <w:tcW w:w="2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spacing w:lineRule="auto" w:line="257" w:before="0" w:after="16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У 502 КУ</w:t>
            </w:r>
          </w:p>
        </w:tc>
      </w:tr>
      <w:tr>
        <w:trPr/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spacing w:lineRule="auto" w:line="257" w:before="0" w:after="16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spacing w:lineRule="auto" w:line="257" w:before="0" w:after="16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ФИАТ-ДУКАТО</w:t>
            </w:r>
          </w:p>
        </w:tc>
        <w:tc>
          <w:tcPr>
            <w:tcW w:w="2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spacing w:lineRule="auto" w:line="257" w:before="0" w:after="16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У 302 КУ</w:t>
            </w:r>
          </w:p>
        </w:tc>
      </w:tr>
      <w:tr>
        <w:trPr/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spacing w:lineRule="auto" w:line="257" w:before="0" w:after="16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spacing w:lineRule="auto" w:line="257" w:before="0" w:after="160"/>
              <w:jc w:val="center"/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en-US"/>
              </w:rPr>
              <w:t>HAKO-CITIMASTER</w:t>
            </w:r>
          </w:p>
        </w:tc>
        <w:tc>
          <w:tcPr>
            <w:tcW w:w="2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spacing w:lineRule="auto" w:line="257" w:before="0" w:after="16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en-US"/>
              </w:rPr>
              <w:t xml:space="preserve">38-09 </w:t>
            </w:r>
            <w:r>
              <w:rPr>
                <w:sz w:val="28"/>
                <w:szCs w:val="28"/>
              </w:rPr>
              <w:t>КС</w:t>
            </w:r>
          </w:p>
        </w:tc>
      </w:tr>
    </w:tbl>
    <w:p>
      <w:pPr>
        <w:pStyle w:val="Normal"/>
        <w:jc w:val="center"/>
        <w:rPr/>
      </w:pPr>
      <w:r>
        <w:rPr/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jc w:val="center"/>
        <w:rPr>
          <w:b/>
          <w:bCs/>
        </w:rPr>
      </w:pPr>
      <w:r>
        <w:rPr>
          <w:b/>
          <w:bCs/>
        </w:rPr>
        <w:t>Механик гаража                 Бельтюков М.Ю.</w:t>
      </w:r>
    </w:p>
    <w:p>
      <w:pPr>
        <w:pStyle w:val="Normal"/>
        <w:rPr/>
      </w:pPr>
      <w:r>
        <w:rPr/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851" w:gutter="0" w:header="284" w:top="851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alibri">
    <w:charset w:val="cc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>
        <w:b/>
        <w:color w:val="808080"/>
      </w:rPr>
    </w:pPr>
    <w:r>
      <w:rPr>
        <w:b/>
        <w:color w:val="808080"/>
      </w:rPr>
    </w:r>
  </w:p>
  <w:p>
    <w:pPr>
      <w:pStyle w:val="Normal"/>
      <w:jc w:val="right"/>
      <w:rPr/>
    </w:pPr>
    <w:r>
      <w:rPr>
        <w:b/>
        <w:color w:val="808080"/>
        <w:sz w:val="20"/>
        <w:szCs w:val="20"/>
      </w:rPr>
      <w:t>Приложение № 1 к Документации № ОЗП-03-2014/Э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>
        <w:b/>
        <w:color w:val="808080"/>
      </w:rPr>
    </w:pPr>
    <w:r>
      <w:rPr>
        <w:b/>
        <w:color w:val="808080"/>
      </w:rPr>
    </w:r>
  </w:p>
  <w:p>
    <w:pPr>
      <w:pStyle w:val="Normal"/>
      <w:jc w:val="right"/>
      <w:rPr/>
    </w:pPr>
    <w:r>
      <w:rPr>
        <w:b/>
        <w:color w:val="808080"/>
        <w:sz w:val="20"/>
        <w:szCs w:val="20"/>
      </w:rPr>
      <w:t>Приложение № 1 к Документации № ОЗП-03-2014/Э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/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/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40"/>
  <w:defaultTabStop w:val="708"/>
  <w:autoHyphenation w:val="true"/>
  <w:hyphenationZone w:val="0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0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0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32660c"/>
    <w:pPr>
      <w:widowControl/>
      <w:bidi w:val="0"/>
      <w:spacing w:lineRule="auto" w:line="240" w:before="0" w:after="0"/>
      <w:jc w:val="left"/>
    </w:pPr>
    <w:rPr>
      <w:rFonts w:ascii="Times New Roman" w:hAnsi="Times New Roman" w:eastAsia="Calibri" w:cs="Times New Roman" w:eastAsiaTheme="minorHAnsi"/>
      <w:color w:val="auto"/>
      <w:kern w:val="0"/>
      <w:sz w:val="24"/>
      <w:szCs w:val="24"/>
      <w:lang w:eastAsia="zh-CN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Основной текст Знак"/>
    <w:basedOn w:val="DefaultParagraphFont"/>
    <w:qFormat/>
    <w:rsid w:val="0032660c"/>
    <w:rPr>
      <w:rFonts w:ascii="Times New Roman" w:hAnsi="Times New Roman" w:eastAsia="Calibri" w:cs="Times New Roman"/>
      <w:sz w:val="21"/>
      <w:szCs w:val="20"/>
      <w:shd w:fill="FFFFFF" w:val="clear"/>
      <w:lang w:val="en-US" w:eastAsia="zh-CN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Style14"/>
    <w:rsid w:val="0032660c"/>
    <w:pPr>
      <w:shd w:val="clear" w:color="auto" w:fill="FFFFFF"/>
      <w:spacing w:lineRule="atLeast" w:line="240" w:before="0" w:after="300"/>
      <w:ind w:hanging="420"/>
    </w:pPr>
    <w:rPr>
      <w:sz w:val="21"/>
      <w:szCs w:val="20"/>
      <w:lang w:val="en-US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"/>
    </w:rPr>
  </w:style>
  <w:style w:type="paragraph" w:styleId="NoSpacing">
    <w:name w:val="No Spacing"/>
    <w:qFormat/>
    <w:rsid w:val="0032660c"/>
    <w:pPr>
      <w:widowControl/>
      <w:bidi w:val="0"/>
      <w:spacing w:lineRule="auto" w:line="240" w:before="0" w:after="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eastAsia="zh-CN" w:val="ru-RU" w:bidi="ar-SA"/>
    </w:rPr>
  </w:style>
  <w:style w:type="paragraph" w:styleId="ListParagraph">
    <w:name w:val="List Paragraph"/>
    <w:basedOn w:val="Normal"/>
    <w:qFormat/>
    <w:rsid w:val="0032660c"/>
    <w:pPr>
      <w:ind w:left="720"/>
    </w:pPr>
    <w:rPr/>
  </w:style>
  <w:style w:type="paragraph" w:styleId="Style17">
    <w:name w:val="Колонтитулы"/>
    <w:basedOn w:val="Normal"/>
    <w:qFormat/>
    <w:pPr/>
    <w:rPr/>
  </w:style>
  <w:style w:type="paragraph" w:styleId="Header">
    <w:name w:val="header"/>
    <w:basedOn w:val="Style17"/>
    <w:pPr/>
    <w:rPr/>
  </w:style>
  <w:style w:type="numbering" w:styleId="Style18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Application>LibreOffice/26.2.5.2$Windows_X86_64 LibreOffice_project/cd7284b4cbbfeb507e630c1aac019f4157393acb</Application>
  <AppVersion>15.0000</AppVersion>
  <Pages>3</Pages>
  <Words>1053</Words>
  <Characters>6004</Characters>
  <CharactersWithSpaces>7043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2022-04-15T11:26:00Z</dcterms:created>
  <dc:creator>beltiukov</dc:creator>
  <dc:description/>
  <dc:language>ru-RU</dc:language>
  <cp:lastModifiedBy>beltiukov</cp:lastModifiedBy>
  <dcterms:modified xsi:type="dcterms:W3CDTF">2023-07-11T12:57:00Z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