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0" w:name="bookmark0"/>
      <w:bookmarkEnd w:id="0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 xml:space="preserve">ДОГОВОР№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на выполнение работ по проведению поверки.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г. Волгоград</w:t>
        <w:tab/>
        <w:tab/>
        <w:tab/>
        <w:tab/>
        <w:tab/>
        <w:tab/>
        <w:tab/>
        <w:tab/>
        <w:tab/>
        <w:t>“</w:t>
        <w:tab/>
        <w:t>”                       2026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_______________________________________, аккредитованное на проведение поверки средств измерений (номер записи об аккредитации в реестре аккредитованных лиц____________________________, именуемое в дальнейшем Исполнитель, в лице директора-_____________________________________, действующего на основании Устава с одной стороны, и Федеральное бюджетное учреждение «Администрация Волго-Донского бассейна внутренних водных путей» именуемое в дальнейшем Заказчик, в лице начальника Волгоградских электрических сетей - филиала Федерального бюджетного учреждения «Администрация Волго-Донского бассейна внутренних водных путей» Жучкина Олега Викторовича, действующего на основании Положения и доверенности №11 от 05.02.2026 года, с другой стороны заключили настоящий Договор о нижеследующем: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1" w:name="bookmark3"/>
      <w:bookmarkEnd w:id="1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Предмет договора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Заказчик поручает, а Исполнитель принимает на себя обязательства по проведению поверки средств измерений (далее - СИ), принадлежащих Заказчику, в соответствии с требованиями Приказа Минпромторга России от 31 июля 2020 г. № 2510 "Об утверждении порядка проведения поверки средств измерений, требований к знаку поверки и содержанию свидетельства о поверке" и требованиями нормативных документов на методы и средства поверки.</w:t>
      </w:r>
    </w:p>
    <w:p>
      <w:pPr>
        <w:pStyle w:val="Normal"/>
        <w:spacing w:lineRule="auto" w:line="240" w:before="0" w:after="0"/>
        <w:ind w:start="567" w:hanging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Обязанности Сторон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2" w:name="bookmark5"/>
      <w:bookmarkEnd w:id="2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Заказчик обязуется: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Представлять Исполнителю СИ на поверку в количестве и в сроки, указанные в заявке. Сроки представления СИ должны быть согласованы с Исполнителем.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Представлять СИ на поверку, полностью укомплектованными, в упаковке, предотвращающей порчу СИ при транспортировке, а также по требованию Исполнителя с приложением технического описания, инструкции по эксплуатации, методики поверки. Все представляемые СИ должны иметь индивидуальный номер.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Хрупкие СИ представляются Исполнителю в упаковке, исключающей порчу СИ при транспортировке.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 согласовании заявки Исполнитель проверяет полноту предоставленной информации, уточняет место проведения поверки и сроки представления СИ на поверку. Исполнитель вправе отказать в утверждении заявки и вернуть его на доработку Заказчику, если информация о СИ является неполной.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 отсутствии возможности, по объективным причинам, представить СИ на поверку в сроки, установленные заявкой уведомить Исполнителя об изменении объема работ, для чего обратиться к Исполнителю с письменным заявлением о корректировке заявки не позднее, чем за 1 месяц до наступления даты поверки.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случае проведения работ по настоящему договору у Заказчика обеспечить Исполнителю надлежащие условия для выполнения работ и сохранность на территории Заказчика СИ, оборудования, представленных Заказчиком для выполнения работ, а также оборудования (эталонов) Исполнителя, при необходимости (по согласованию между Сторонами) предоставить транспорт для доставки специалистов Исполнителя и эталонов к месту проведения работ.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сроки и в порядке, установленные настоящим договором, принять и оплатить выполненные работы, в том числе в случае признания СИ непригодными к применению и оформления на СИ извещения о непригодности.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3" w:name="bookmark7"/>
      <w:bookmarkEnd w:id="3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Исполнитель обязуется: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Выполнить поверку СИ в соответствии с требованиями нормативных документов в объеме и в сроки, установленные настоящим договором.</w:t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ru-RU"/>
        </w:rPr>
        <w:t>Выдать Заказчику СИ с оформленными результатами поверки в соответствии с требованиями Приказа Минпромторга России от 31 июля 2020 г. № 2510 "Об утверждении порядка проведения поверки средств измерений, требований к знаку поверки и содержанию свидетельства о поверке" и требованиями нормативных документов на методы и средства поверки.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Стоимость работ и порядок расчетов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ru-RU"/>
        </w:rPr>
        <w:t>Общая сумма Договора составляет  1000,0 рублей (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одна тысяча рублей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00 копеек)</w:t>
      </w: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без НДС.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Цена Договора включает в себя: стоимость услуг, расходы на уплату всех налогов и сборов, страхование, транспортные расходы, расходы по переадресовке транспорта и другие возможные накладные расходы Поставщика и других обязательных платежей.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Цена Договора является твердой и определяется на весь срок его исполнения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Оплата выполнения работ производится на основании Акта выполненных работ, путем перечисления денежных средств на счет Исполнителя в течение 10 (десяти) рабочих дней, с момента подписания Заказчиком Акта выполненных работ выполненных работ.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Авансовые платежи по Договору не предусмотрены.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Оплата осуществляется в рублях Российской Федерации за счет средств бюджетных учреждений.</w:t>
      </w:r>
    </w:p>
    <w:p>
      <w:pPr>
        <w:pStyle w:val="Normal"/>
        <w:spacing w:lineRule="auto" w:line="240" w:before="0" w:after="0"/>
        <w:ind w:start="567" w:hanging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4" w:name="bookmark2"/>
      <w:bookmarkEnd w:id="4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Сроки выполнения и порядок сдачи-приемки работ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ru-RU"/>
        </w:rPr>
        <w:t>Исполнитель выполняет работы, предусмотренные настоящим договором, не позднее 30 июня 2026г. в сроки согласованные с Заказчиком.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случае невозможности выполнения работ в установленные настоящим договором сроки по вине Заказчика (неполная комплектация СИ и др.), сроки выполнения работ сдвигаются на время, затраченное Заказчиком на устранение препятствий к выполнению работ.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По окончании работ Заказчик получает два экземпляра акта выполненных работ, оформленных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Работы считаются принятыми после подписания Сторонами акта приема-сдачи работ. После подписания акта выполненных работ Заказчик возвращает Исполнителю один экземпляр акта. В случае наличия обоснованных претензий по качеству выполненных работ Заказчик направляет Исполнителю мотивированный отказ от подписания акта выполненных работ. Если в течение 30 дней с момента поверки СИ от Заказчика не поступит подписанный акт выполненных работ или мотивированный отказ от его подписания, работы считаются принятыми Заказчиком.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bookmarkStart w:id="5" w:name="bookmark4"/>
      <w:bookmarkEnd w:id="5"/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Ответственность Сторон и порядок разрешения споров.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Исполнитель обеспечивает сохранность СИ, испытательного оборудования, представленных для выполнения работ по настоящему договору на территории Заказчика. В случае их утери или повреждения Исполнитель возмещает Заказчику убытки в размере стоимости утерянного СИ, испытательного оборудования или в размере понижения их стоимости. При этом стоимость СИ, испытательного оборудования определяется по рыночным ценам с учетом их износа.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Все претензии по состоянию и комплектности СИ, испытательного оборудования принимаются Исполнителем при выдаче СИ, испытательного оборудования из поверки. После получения СИ, испытательного оборудования Заказчиком такие претензии Исполнителем не принимаются. При обнаружении скрытых недостатков в состоянии СИ, испытательного оборудования в течение 10 рабочих дней после их получения у Исполнителя, Заказчик в течение 2 рабочих дней письменно извещает об этом Исполнителя. Наличие недостатков и причины их возникновения устанавливается двусторонней комиссией Заказчика и Исполнителя в течение 7 рабочих дней.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За неисполнение (ненадлежащее исполнение) настоящего контракта Стороны несут ответственность в соответствии с действующим законодательством РФ.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. Стороны несут ответственность за нарушение принятых на себя обязательств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Споры, возникающие из настоящего договора, подлежат урегулированию путем переговоров между Сторонами, а при не достижении согласия - в арбитражном суде Волгоградской области.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start="0" w:firstLine="567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ru-RU"/>
        </w:rPr>
        <w:t>Дополнительные условия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ru-RU"/>
        </w:rPr>
        <w:t>Договор вступает в силу с даты его подписания Сторонами и действует по 31.12.2026 г, а в части взаиморасчетов до полного их завершения.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 (форс-мажорные обстоятельства). При наступлении форс</w:t>
        <w:softHyphen/>
        <w:t>мажорных обстоятельств каждая Сторона должна без промедления известить о них в письменном виде другую Сторону. Извещение должно содержать данные о характере обстоятельств. Факты, содержащиеся в уведомлении, должны быть подтверждены торговой палатой или другой компетентной организацией соответствующей Стороны.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случаях наступления форс-мажорных обстоятельств,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Если форс-мажорные обстоятельства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контракта.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течение срока действия договора любая из Сторон вправе предложить другой Стороне внести в договор изменения или дополнения, оформляемые двусторонним соглашением.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 не заключении соглашения об изменении или дополнении договора в месячный срок с момента получения проекта изменений (дополнений) другой Стороной, Сторона-инициатор внесения изменений (дополнений) в договор вправе расторгнуть договор в одностороннем порядке, за 10 дней письменно известив об этом другую Сторону.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В случае изменения наименования, адреса, банковских реквизитов Сторона настоящего договора обязана в 10-дневный срок письменно уведомить об этом другую Сторону.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Normal"/>
        <w:numPr>
          <w:ilvl w:val="1"/>
          <w:numId w:val="1"/>
        </w:numPr>
        <w:tabs>
          <w:tab w:val="left" w:pos="993" w:leader="none"/>
        </w:tabs>
        <w:spacing w:lineRule="auto" w:line="240" w:before="0" w:after="0"/>
        <w:ind w:start="0" w:firstLine="56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лицами и скреплены печатями Сторон.</w:t>
      </w:r>
    </w:p>
    <w:p>
      <w:pPr>
        <w:pStyle w:val="Normal"/>
        <w:spacing w:lineRule="auto" w:line="240" w:before="0" w:after="0"/>
        <w:ind w:start="567" w:hanging="0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jc w:val="center"/>
        <w:rPr/>
      </w:pPr>
      <w:r>
        <w:rPr/>
        <w:t>Адреса и банковские реквизиты Сторон</w:t>
      </w:r>
    </w:p>
    <w:tbl>
      <w:tblPr>
        <w:tblW w:w="10281" w:type="dxa"/>
        <w:jc w:val="start"/>
        <w:tblInd w:w="-108" w:type="dxa"/>
        <w:tblBorders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0"/>
        <w:gridCol w:w="5141"/>
      </w:tblGrid>
      <w:tr>
        <w:trPr/>
        <w:tc>
          <w:tcPr>
            <w:tcW w:w="5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___________</w:t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(подпись)                  (инициалы, фамилия) </w:t>
            </w:r>
          </w:p>
          <w:p>
            <w:pPr>
              <w:pStyle w:val="Normal"/>
              <w:spacing w:lineRule="auto" w:line="240" w:before="0" w:after="0"/>
              <w:ind w:start="360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«___» _________20____ г.</w:t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м.п.</w:t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>
            <w:pPr>
              <w:pStyle w:val="1"/>
              <w:ind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ФБУ "Администрация "Волго-Дон"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400082, г. Волгоград, ул. Фадеева, 35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г.Волгоград,111, ул.Бутурлиновская,26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/ КПП 3448009717 / 344801001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1023404365786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УФК по Волгоградской области, (ФБУ «Администрация «Волго-Дон» л/с 20296Х59300)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ОКЦ №4 ЮГУ Банка России//УФК по Волгоградской области г.Волгоград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40102810445370000021 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03214643000000012900 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011806101</w:t>
            </w:r>
          </w:p>
          <w:p>
            <w:pPr>
              <w:pStyle w:val="1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 (8442) 63-33-37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mail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: </w:t>
            </w:r>
            <w:hyperlink r:id="rId2">
              <w:r>
                <w:rPr>
                  <w:rStyle w:val="Style15"/>
                  <w:rFonts w:eastAsia="Times New Roman" w:cs="Times New Roman" w:ascii="Times New Roman" w:hAnsi="Times New Roman"/>
                  <w:lang w:val="en-US" w:eastAsia="ru-RU"/>
                </w:rPr>
                <w:t>ves</w:t>
              </w:r>
              <w:r>
                <w:rPr>
                  <w:rStyle w:val="Style15"/>
                  <w:rFonts w:eastAsia="Times New Roman" w:cs="Times New Roman" w:ascii="Times New Roman" w:hAnsi="Times New Roman"/>
                  <w:lang w:eastAsia="ru-RU"/>
                </w:rPr>
                <w:t>@</w:t>
              </w:r>
              <w:r>
                <w:rPr>
                  <w:rStyle w:val="Style15"/>
                  <w:rFonts w:eastAsia="Times New Roman" w:cs="Times New Roman" w:ascii="Times New Roman" w:hAnsi="Times New Roman"/>
                  <w:lang w:val="en-US" w:eastAsia="ru-RU"/>
                </w:rPr>
                <w:t>vdgbu</w:t>
              </w:r>
              <w:r>
                <w:rPr>
                  <w:rStyle w:val="Style15"/>
                  <w:rFonts w:eastAsia="Times New Roman" w:cs="Times New Roman" w:ascii="Times New Roman" w:hAnsi="Times New Roman"/>
                  <w:lang w:eastAsia="ru-RU"/>
                </w:rPr>
                <w:t>.</w:t>
              </w:r>
              <w:r>
                <w:rPr>
                  <w:rStyle w:val="Style15"/>
                  <w:rFonts w:eastAsia="Times New Roman" w:cs="Times New Roman" w:ascii="Times New Roman" w:hAnsi="Times New Roman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/О.В.Жучкин/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(подпись)                  (инициалы, фамилия)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«___» __________20____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м.п.</w:t>
            </w:r>
          </w:p>
          <w:p>
            <w:pPr>
              <w:pStyle w:val="Normal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4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14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start="360" w:hanging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  <w:r>
        <w:br w:type="page"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start="680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start="680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к договору №_____________</w:t>
      </w:r>
    </w:p>
    <w:p>
      <w:pPr>
        <w:pStyle w:val="Normal"/>
        <w:spacing w:lineRule="auto" w:line="240" w:before="0" w:after="0"/>
        <w:ind w:start="680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от «___» _______2026г.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>Спецификация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tbl>
      <w:tblPr>
        <w:tblW w:w="9082" w:type="dxa"/>
        <w:jc w:val="start"/>
        <w:tblInd w:w="0" w:type="dxa"/>
        <w:tblBorders>
          <w:top w:val="single" w:sz="4" w:space="0" w:color="000000"/>
          <w:start w:val="single" w:sz="4" w:space="0" w:color="000000"/>
        </w:tblBorders>
        <w:tblCellMar>
          <w:top w:w="0" w:type="dxa"/>
          <w:start w:w="-5" w:type="dxa"/>
          <w:bottom w:w="0" w:type="dxa"/>
          <w:end w:w="0" w:type="dxa"/>
        </w:tblCellMar>
      </w:tblPr>
      <w:tblGrid>
        <w:gridCol w:w="507"/>
        <w:gridCol w:w="4482"/>
        <w:gridCol w:w="1325"/>
        <w:gridCol w:w="1199"/>
        <w:gridCol w:w="1569"/>
      </w:tblGrid>
      <w:tr>
        <w:trPr>
          <w:trHeight w:val="1061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  <w:tcMar>
              <w:star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482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  <w:tcMar>
              <w:star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325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  <w:tcMar>
              <w:star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</w:tcBorders>
            <w:shd w:fill="auto" w:val="clear"/>
            <w:tcMar>
              <w:star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tcMar>
              <w:star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Стоимость услуги, руб.</w:t>
            </w:r>
          </w:p>
        </w:tc>
      </w:tr>
      <w:tr>
        <w:trPr>
          <w:trHeight w:val="548" w:hRule="atLeast"/>
        </w:trPr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Поверка счетчика воды на месте эксплуатации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083291917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(до ближайшего выхода воды ориентировочно 1м)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Волгоградская обл.,пос.Кирова,ул.Прикальнальная,180</w:t>
            </w:r>
          </w:p>
        </w:tc>
        <w:tc>
          <w:tcPr>
            <w:tcW w:w="1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 шт.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tbl>
      <w:tblPr>
        <w:tblW w:w="9571" w:type="dxa"/>
        <w:jc w:val="start"/>
        <w:tblInd w:w="-108" w:type="dxa"/>
        <w:tblBorders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44"/>
        <w:gridCol w:w="4927"/>
      </w:tblGrid>
      <w:tr>
        <w:trPr/>
        <w:tc>
          <w:tcPr>
            <w:tcW w:w="46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_______________/ ________________/</w:t>
            </w:r>
          </w:p>
        </w:tc>
        <w:tc>
          <w:tcPr>
            <w:tcW w:w="4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ВЭС-филиал ФБУ «Администрация «Волго-Дон»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начальник ВЭС-филиала ФБУ «Администрации «Волго-Дон»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_________________/ О.В.Жучкин/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134" w:right="70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start"/>
      <w:pPr>
        <w:tabs>
          <w:tab w:val="num" w:pos="708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/>
        <w:u w:val="none"/>
        <w:b/>
        <w:szCs w:val="22"/>
        <w:iCs/>
        <w:bCs/>
        <w:w w:val="100"/>
        <w:rFonts w:ascii="Times New Roman" w:hAnsi="Times New Roman" w:eastAsia="Times New Roman" w:cs="Times New Roman"/>
        <w:color w:val="000000"/>
        <w:lang w:eastAsia="ru-RU"/>
      </w:rPr>
    </w:lvl>
    <w:lvl w:ilvl="1">
      <w:start w:val="1"/>
      <w:numFmt w:val="decimal"/>
      <w:lvlText w:val="%1.%2."/>
      <w:lvlJc w:val="start"/>
      <w:pPr>
        <w:tabs>
          <w:tab w:val="num" w:pos="708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/>
        <w:u w:val="none"/>
        <w:b/>
        <w:szCs w:val="22"/>
        <w:iCs/>
        <w:bCs/>
        <w:w w:val="100"/>
        <w:rFonts w:ascii="Times New Roman" w:hAnsi="Times New Roman" w:eastAsia="Times New Roman" w:cs="Times New Roman"/>
        <w:color w:val="000000"/>
        <w:lang w:eastAsia="ru-RU"/>
      </w:rPr>
    </w:lvl>
    <w:lvl w:ilvl="2">
      <w:start w:val="1"/>
      <w:numFmt w:val="decimal"/>
      <w:lvlText w:val="%1.%2.%3"/>
      <w:lvlJc w:val="start"/>
      <w:pPr>
        <w:tabs>
          <w:tab w:val="num" w:pos="708"/>
        </w:tabs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3">
      <w:start w:val="1"/>
      <w:numFmt w:val="decimal"/>
      <w:lvlText w:val="%2.%3.%4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4">
      <w:start w:val="1"/>
      <w:numFmt w:val="decimal"/>
      <w:lvlText w:val="%3.%4.%5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5">
      <w:start w:val="1"/>
      <w:numFmt w:val="decimal"/>
      <w:lvlText w:val="%4.%5.%6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6">
      <w:start w:val="1"/>
      <w:numFmt w:val="decimal"/>
      <w:lvlText w:val="%5.%6.%7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7">
      <w:start w:val="1"/>
      <w:numFmt w:val="decimal"/>
      <w:lvlText w:val="%6.%7.%8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8">
      <w:start w:val="1"/>
      <w:numFmt w:val="decimal"/>
      <w:lvlText w:val="%7.%8.%9"/>
      <w:lvlJc w:val="start"/>
      <w:pPr>
        <w:ind w:star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eastAsia="ru-RU"/>
    </w:rPr>
  </w:style>
  <w:style w:type="character" w:styleId="WW8Num1z2">
    <w:name w:val="WW8Num1z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2z0">
    <w:name w:val="WW8Num2z0"/>
    <w:qFormat/>
    <w:rPr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563C1"/>
      <w:u w:val="single"/>
    </w:rPr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Абзац списка"/>
    <w:basedOn w:val="Normal"/>
    <w:qFormat/>
    <w:pPr>
      <w:spacing w:before="0" w:after="200"/>
      <w:ind w:start="720" w:hanging="0"/>
      <w:contextualSpacing/>
    </w:pPr>
    <w:rPr/>
  </w:style>
  <w:style w:type="paragraph" w:styleId="1">
    <w:name w:val="Обычный1"/>
    <w:qFormat/>
    <w:pPr>
      <w:widowControl w:val="false"/>
      <w:suppressAutoHyphens w:val="true"/>
      <w:ind w:firstLine="400"/>
      <w:jc w:val="both"/>
    </w:pPr>
    <w:rPr>
      <w:rFonts w:ascii="Times New Roman" w:hAnsi="Times New Roman" w:eastAsia="Arial" w:cs="Times New Roman"/>
      <w:color w:val="auto"/>
      <w:sz w:val="24"/>
      <w:szCs w:val="20"/>
      <w:lang w:val="ru-RU" w:bidi="ar-SA" w:eastAsia="zh-CN"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s@vdgbu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LibreOffice/5.4.4.2$Windows_X86_64 LibreOffice_project/2524958677847fb3bb44820e40380acbe820f960</Application>
  <Pages>4</Pages>
  <Words>1333</Words>
  <Characters>9380</Characters>
  <CharactersWithSpaces>10694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2025-11-26T10:41:00Z</dcterms:created>
  <dc:creator>VES-texnik</dc:creator>
  <dc:description/>
  <dc:language>ru-RU</dc:language>
  <cp:lastModifiedBy>Ксения Михайлова</cp:lastModifiedBy>
  <cp:lastPrinted>2026-05-20T11:31:00Z</cp:lastPrinted>
  <dcterms:modified xsi:type="dcterms:W3CDTF">2026-06-01T16:05:00Z</dcterms:modified>
  <cp:revision>23</cp:revision>
  <dc:subject/>
  <dc:title/>
</cp:coreProperties>
</file>