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 w:val="0"/>
        <w:jc w:val="center"/>
        <w:spacing w:before="120" w:after="0" w:line="238" w:lineRule="auto"/>
        <w:rPr>
          <w:rFonts w:eastAsia="Calibri"/>
          <w:b/>
          <w:bCs/>
          <w:sz w:val="22"/>
          <w:szCs w:val="22"/>
          <w:highlight w:val="none"/>
        </w:rPr>
        <w:suppressLineNumbers w:val="0"/>
      </w:pPr>
      <w:r>
        <w:rPr>
          <w:rFonts w:eastAsia="Calibri"/>
          <w:b/>
          <w:bCs/>
          <w:sz w:val="22"/>
          <w:szCs w:val="22"/>
          <w:highlight w:val="none"/>
        </w:rPr>
      </w:r>
      <w:r>
        <w:rPr>
          <w:rFonts w:eastAsia="Calibri"/>
          <w:b/>
          <w:bCs/>
          <w:sz w:val="22"/>
          <w:szCs w:val="22"/>
          <w:highlight w:val="none"/>
        </w:rPr>
      </w:r>
      <w:r>
        <w:rPr>
          <w:rFonts w:eastAsia="Calibri"/>
          <w:b/>
          <w:bCs/>
          <w:sz w:val="22"/>
          <w:szCs w:val="22"/>
          <w:highlight w:val="none"/>
        </w:rPr>
      </w:r>
    </w:p>
    <w:p>
      <w:pPr>
        <w:pStyle w:val="104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  <w:t xml:space="preserve">ТЕХНИЧЕСКОЕ ЗАДАНИЕ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104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b/>
          <w:sz w:val="22"/>
          <w:szCs w:val="22"/>
        </w:rPr>
        <w:t xml:space="preserve">на </w:t>
      </w:r>
      <w:r>
        <w:rPr>
          <w:b/>
          <w:sz w:val="22"/>
          <w:szCs w:val="22"/>
        </w:rPr>
        <w:t xml:space="preserve">поставку питьевой бутилированной воды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center"/>
        <w:rPr>
          <w:rFonts w:ascii="Times New Roman" w:hAnsi="Times New Roman" w:cs="Times New Roman"/>
          <w:b/>
          <w:bCs/>
          <w:color w:val="0000ff" w:themeColor="hyperlink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color w:val="0563c1" w:themeColor="hyperlink"/>
          <w:sz w:val="22"/>
          <w:szCs w:val="22"/>
          <w:u w:val="single"/>
        </w:rPr>
      </w:r>
      <w:r>
        <w:rPr>
          <w:rFonts w:ascii="Times New Roman" w:hAnsi="Times New Roman" w:cs="Times New Roman"/>
          <w:b/>
          <w:bCs/>
          <w:color w:val="0000ff" w:themeColor="hyperlink"/>
          <w:sz w:val="22"/>
          <w:szCs w:val="22"/>
          <w:u w:val="single"/>
        </w:rPr>
      </w:r>
      <w:r>
        <w:rPr>
          <w:rFonts w:ascii="Times New Roman" w:hAnsi="Times New Roman" w:cs="Times New Roman"/>
          <w:b/>
          <w:bCs/>
          <w:color w:val="0000ff" w:themeColor="hyperlink"/>
          <w:sz w:val="22"/>
          <w:szCs w:val="22"/>
          <w:u w:val="single"/>
        </w:rPr>
      </w:r>
    </w:p>
    <w:p>
      <w:pPr>
        <w:contextualSpacing/>
        <w:ind w:left="0" w:right="0" w:firstLine="709"/>
        <w:jc w:val="both"/>
        <w:shd w:val="clear" w:color="auto" w:fill="auto"/>
        <w:widowControl/>
        <w:tabs>
          <w:tab w:val="left" w:pos="284" w:leader="none"/>
          <w:tab w:val="left" w:pos="567" w:leader="none"/>
          <w:tab w:val="left" w:pos="1134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Настоящее Техническое задание определяет порядок оказания услуг для нужд </w:t>
      </w:r>
      <w:r>
        <w:rPr>
          <w:b/>
          <w:color w:val="auto"/>
          <w:sz w:val="22"/>
          <w:szCs w:val="22"/>
        </w:rPr>
        <w:t xml:space="preserve">Управления Федеральной службы государственной регистрации, кадастра и картографии по Красноярскому краю </w:t>
      </w:r>
      <w:r>
        <w:rPr>
          <w:rFonts w:ascii="Times New Roman" w:hAnsi="Times New Roman" w:cs="Times New Roman"/>
          <w:b/>
          <w:sz w:val="22"/>
          <w:szCs w:val="22"/>
        </w:rPr>
        <w:t xml:space="preserve">(Управление </w:t>
      </w:r>
      <w:r>
        <w:rPr>
          <w:rFonts w:ascii="Times New Roman" w:hAnsi="Times New Roman" w:cs="Times New Roman"/>
          <w:b/>
          <w:sz w:val="22"/>
          <w:szCs w:val="22"/>
        </w:rPr>
        <w:t xml:space="preserve">Росреестра</w:t>
      </w:r>
      <w:r>
        <w:rPr>
          <w:rFonts w:ascii="Times New Roman" w:hAnsi="Times New Roman" w:cs="Times New Roman"/>
          <w:b/>
          <w:sz w:val="22"/>
          <w:szCs w:val="22"/>
        </w:rPr>
        <w:t xml:space="preserve"> по Красноярскому краю)</w:t>
      </w:r>
      <w:r>
        <w:rPr>
          <w:sz w:val="22"/>
          <w:szCs w:val="22"/>
        </w:rPr>
        <w:t xml:space="preserve"> в 2026 году.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0"/>
        <w:jc w:val="left"/>
        <w:shd w:val="clear" w:color="auto" w:fill="auto"/>
        <w:widowControl/>
        <w:tabs>
          <w:tab w:val="left" w:pos="0" w:leader="none"/>
          <w:tab w:val="left" w:pos="851" w:leader="none"/>
          <w:tab w:val="left" w:pos="1418" w:leader="none"/>
        </w:tabs>
        <w:rPr>
          <w:spacing w:val="1"/>
          <w:sz w:val="24"/>
          <w:szCs w:val="24"/>
        </w:rPr>
      </w:pPr>
      <w:r>
        <w:rPr>
          <w:b/>
          <w:sz w:val="22"/>
          <w:szCs w:val="22"/>
        </w:rPr>
        <w:t xml:space="preserve">             1. Предмет закупки: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поставка питьевой бутилированной </w:t>
      </w:r>
      <w:r>
        <w:rPr>
          <w:sz w:val="22"/>
          <w:szCs w:val="22"/>
        </w:rPr>
        <w:t xml:space="preserve">воды</w:t>
      </w:r>
      <w:r>
        <w:rPr>
          <w:sz w:val="22"/>
          <w:szCs w:val="22"/>
        </w:rPr>
        <w:t xml:space="preserve">.</w:t>
      </w:r>
      <w:r>
        <w:rPr>
          <w:spacing w:val="1"/>
          <w:sz w:val="24"/>
          <w:szCs w:val="24"/>
        </w:rPr>
      </w:r>
      <w:r>
        <w:rPr>
          <w:spacing w:val="1"/>
          <w:sz w:val="24"/>
          <w:szCs w:val="24"/>
        </w:rPr>
      </w:r>
    </w:p>
    <w:p>
      <w:pPr>
        <w:pStyle w:val="978"/>
        <w:contextualSpacing/>
        <w:ind w:left="0" w:right="0" w:firstLine="709"/>
        <w:jc w:val="both"/>
        <w:spacing w:before="0" w:after="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2. Код по ОКПД 2: </w:t>
      </w:r>
      <w:r>
        <w:rPr>
          <w:sz w:val="22"/>
          <w:szCs w:val="22"/>
        </w:rPr>
        <w:t xml:space="preserve">11.07.11.121.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</w:r>
      <w:r>
        <w:rPr>
          <w:rFonts w:ascii="Times New Roman" w:hAnsi="Times New Roman" w:cs="Times New Roman"/>
          <w:bCs/>
          <w:sz w:val="22"/>
          <w:szCs w:val="22"/>
        </w:rPr>
      </w:r>
    </w:p>
    <w:p>
      <w:pPr>
        <w:ind w:left="0" w:right="0" w:firstLine="709"/>
        <w:jc w:val="both"/>
        <w:shd w:val="clear" w:color="auto" w:fill="auto"/>
        <w:widowControl/>
        <w:tabs>
          <w:tab w:val="left" w:pos="851" w:leader="none"/>
        </w:tabs>
        <w:rPr>
          <w:rFonts w:ascii="Times New Roman" w:hAnsi="Times New Roman"/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3. Срок поставки товара: </w:t>
      </w:r>
      <w:r>
        <w:rPr>
          <w:rFonts w:ascii="Times New Roman" w:hAnsi="Times New Roman"/>
          <w:sz w:val="22"/>
          <w:szCs w:val="22"/>
          <w:highlight w:val="white"/>
        </w:rPr>
        <w:t xml:space="preserve">в течение 24 (двадцати четырех) часов с даты заключения Контракта</w:t>
      </w:r>
      <w:r>
        <w:rPr>
          <w:rFonts w:ascii="Times New Roman" w:hAnsi="Times New Roman"/>
          <w:sz w:val="22"/>
          <w:szCs w:val="22"/>
          <w:highlight w:val="white"/>
        </w:rPr>
        <w:t xml:space="preserve">.</w:t>
      </w:r>
      <w:r>
        <w:rPr>
          <w:rFonts w:ascii="Times New Roman" w:hAnsi="Times New Roman"/>
          <w:sz w:val="22"/>
          <w:szCs w:val="22"/>
          <w:highlight w:val="none"/>
        </w:rPr>
      </w:r>
      <w:r>
        <w:rPr>
          <w:rFonts w:ascii="Times New Roman" w:hAnsi="Times New Roman"/>
          <w:sz w:val="22"/>
          <w:szCs w:val="22"/>
          <w:highlight w:val="none"/>
        </w:rPr>
      </w:r>
    </w:p>
    <w:p>
      <w:pPr>
        <w:ind w:left="0" w:right="0" w:firstLine="709"/>
        <w:jc w:val="both"/>
        <w:shd w:val="clear" w:color="auto" w:fill="auto"/>
        <w:widowControl/>
        <w:tabs>
          <w:tab w:val="left" w:pos="851" w:leader="none"/>
        </w:tabs>
        <w:rPr>
          <w:sz w:val="22"/>
          <w:szCs w:val="22"/>
        </w:rPr>
      </w:pPr>
      <w:r>
        <w:rPr>
          <w:rFonts w:eastAsia="Calibri"/>
          <w:sz w:val="22"/>
          <w:szCs w:val="22"/>
          <w:highlight w:val="none"/>
          <w:lang w:eastAsia="en-US"/>
        </w:rPr>
      </w:r>
      <w:r>
        <w:rPr>
          <w:rFonts w:ascii="Times New Roman" w:hAnsi="Times New Roman"/>
          <w:color w:val="auto"/>
          <w:sz w:val="22"/>
          <w:szCs w:val="22"/>
        </w:rPr>
        <w:t xml:space="preserve">Поставщик обязан уведомить Заказчика не менее чем за 2 (два) часа о времени поставки Товара по телефону 8 (391) </w:t>
      </w:r>
      <w:r>
        <w:rPr>
          <w:rFonts w:ascii="Times New Roman" w:hAnsi="Times New Roman" w:eastAsia="Times New Roman" w:cs="Times New Roman"/>
          <w:color w:val="auto"/>
          <w:sz w:val="22"/>
          <w:szCs w:val="22"/>
        </w:rPr>
        <w:t xml:space="preserve">2-265-683</w:t>
      </w:r>
      <w:r>
        <w:rPr>
          <w:rFonts w:ascii="Times New Roman" w:hAnsi="Times New Roman"/>
          <w:color w:val="auto"/>
          <w:sz w:val="22"/>
          <w:szCs w:val="22"/>
        </w:rPr>
        <w:t xml:space="preserve">, 226-56-24 или </w:t>
      </w:r>
      <w:r>
        <w:rPr>
          <w:rFonts w:ascii="Times New Roman" w:hAnsi="Times New Roman"/>
          <w:color w:val="auto"/>
          <w:sz w:val="22"/>
          <w:szCs w:val="22"/>
          <w:highlight w:val="none"/>
        </w:rPr>
        <w:t xml:space="preserve">226-56-</w:t>
      </w:r>
      <w:r>
        <w:rPr>
          <w:rFonts w:ascii="Times New Roman" w:hAnsi="Times New Roman"/>
          <w:color w:val="auto"/>
          <w:sz w:val="22"/>
          <w:szCs w:val="22"/>
          <w:highlight w:val="none"/>
        </w:rPr>
        <w:t xml:space="preserve">87 (диспетчер).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709"/>
        <w:jc w:val="both"/>
        <w:shd w:val="clear" w:color="auto" w:fill="auto"/>
        <w:widowControl/>
        <w:tabs>
          <w:tab w:val="left" w:pos="851" w:leader="none"/>
        </w:tabs>
        <w:rPr>
          <w:rFonts w:ascii="Times New Roman" w:hAnsi="Times New Roman"/>
          <w:sz w:val="22"/>
          <w:szCs w:val="22"/>
        </w:rPr>
      </w:pPr>
      <w:r>
        <w:rPr>
          <w:rFonts w:eastAsia="Calibri"/>
          <w:sz w:val="22"/>
          <w:szCs w:val="22"/>
          <w:highlight w:val="none"/>
          <w:lang w:eastAsia="en-US"/>
        </w:rPr>
      </w:r>
      <w:r>
        <w:rPr>
          <w:b/>
          <w:sz w:val="22"/>
          <w:szCs w:val="22"/>
          <w:lang w:eastAsia="en-US"/>
        </w:rPr>
        <w:t xml:space="preserve">4. Место поставки товара:</w:t>
      </w:r>
      <w:r>
        <w:rPr>
          <w:rFonts w:eastAsia="Calibri"/>
          <w:sz w:val="22"/>
          <w:szCs w:val="22"/>
          <w:highlight w:val="none"/>
          <w:lang w:eastAsia="en-US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П</w:t>
      </w:r>
      <w:r>
        <w:rPr>
          <w:rFonts w:ascii="Times New Roman" w:hAnsi="Times New Roman"/>
          <w:sz w:val="22"/>
          <w:szCs w:val="22"/>
        </w:rPr>
        <w:t xml:space="preserve">оставка товара осуществляется Поставщиком по адресу: </w:t>
      </w:r>
      <w:r>
        <w:rPr>
          <w:rFonts w:ascii="Times New Roman" w:hAnsi="Times New Roman"/>
          <w:sz w:val="22"/>
          <w:szCs w:val="22"/>
          <w:highlight w:val="white"/>
        </w:rPr>
        <w:t xml:space="preserve">Россия, Красноярский край, 660021, г. Красноярск, ул. Дубровинского, д. 114, пом. 2 (</w:t>
      </w:r>
      <w:r>
        <w:rPr>
          <w:sz w:val="22"/>
          <w:szCs w:val="22"/>
        </w:rPr>
        <w:t xml:space="preserve">склад 2 этаж</w:t>
      </w:r>
      <w:r>
        <w:rPr>
          <w:rFonts w:ascii="Times New Roman" w:hAnsi="Times New Roman"/>
          <w:sz w:val="22"/>
          <w:szCs w:val="22"/>
          <w:highlight w:val="white"/>
        </w:rPr>
        <w:t xml:space="preserve">)</w:t>
      </w:r>
      <w:r>
        <w:rPr>
          <w:rFonts w:ascii="Times New Roman" w:hAnsi="Times New Roman"/>
          <w:sz w:val="22"/>
          <w:szCs w:val="22"/>
        </w:rPr>
        <w:t xml:space="preserve"> в рабочие дни: с понедельника по четверг с 08-00 часов до 17-00 часов, пятница с 08-00 часов до 15-45 часов, обед с 12-00 часов до 12-45 часов по местному времени.
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ind w:left="0" w:right="0" w:firstLine="708"/>
        <w:jc w:val="both"/>
        <w:spacing w:after="0" w:line="240" w:lineRule="auto"/>
        <w:shd w:val="clear" w:color="auto" w:fill="ffffff"/>
        <w:widowControl w:val="off"/>
        <w:rPr>
          <w:color w:val="auto"/>
          <w:sz w:val="22"/>
          <w:szCs w:val="22"/>
        </w:rPr>
      </w:pPr>
      <w:r>
        <w:rPr>
          <w:b/>
          <w:sz w:val="22"/>
          <w:szCs w:val="22"/>
          <w:lang w:eastAsia="en-US"/>
        </w:rPr>
        <w:t xml:space="preserve">5. </w:t>
      </w:r>
      <w:r>
        <w:rPr>
          <w:b/>
          <w:sz w:val="22"/>
          <w:szCs w:val="22"/>
          <w:lang w:eastAsia="en-US"/>
        </w:rPr>
        <w:t xml:space="preserve">Требования к качественным, количественным и функциональным характеристикам товара, требования к комплектности (объемам) поставки: </w:t>
      </w:r>
      <w:r>
        <w:rPr>
          <w:color w:val="auto"/>
          <w:sz w:val="22"/>
          <w:szCs w:val="22"/>
        </w:rPr>
      </w:r>
      <w:r>
        <w:rPr>
          <w:color w:val="auto"/>
          <w:sz w:val="22"/>
          <w:szCs w:val="22"/>
        </w:rPr>
      </w:r>
    </w:p>
    <w:tbl>
      <w:tblPr>
        <w:tblW w:w="1040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1692"/>
        <w:gridCol w:w="851"/>
        <w:gridCol w:w="709"/>
        <w:gridCol w:w="1984"/>
        <w:gridCol w:w="4595"/>
      </w:tblGrid>
      <w:tr>
        <w:tblPrEx/>
        <w:trPr>
          <w:jc w:val="center"/>
          <w:trHeight w:val="15"/>
        </w:trPr>
        <w:tc>
          <w:tcPr>
            <w:shd w:val="clear" w:color="ffffff" w:fill="ffffff"/>
            <w:tcW w:w="57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 xml:space="preserve">п</w:t>
            </w:r>
            <w:r>
              <w:rPr>
                <w:sz w:val="20"/>
                <w:szCs w:val="20"/>
              </w:rPr>
              <w:t xml:space="preserve">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69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товара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Ед. изм.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shd w:val="clear" w:color="ffffff" w:fill="ffffff"/>
            <w:tcW w:w="657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Требуемое значение характеристики товара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jc w:val="center"/>
          <w:trHeight w:val="234"/>
        </w:trPr>
        <w:tc>
          <w:tcPr>
            <w:tcW w:w="571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92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Питьевая бутилированная в</w:t>
            </w:r>
            <w:r>
              <w:rPr>
                <w:sz w:val="20"/>
                <w:szCs w:val="20"/>
              </w:rPr>
              <w:t xml:space="preserve">ода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Наименование показателя</w:t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5" w:type="dxa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Требуемое значение показателя</w:t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55"/>
        </w:trPr>
        <w:tc>
          <w:tcPr>
            <w:tcW w:w="571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692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ind w:firstLine="0"/>
              <w:shd w:val="clear" w:color="auto" w:fill="auto"/>
              <w:widowControl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Вид</w:t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5" w:type="dxa"/>
            <w:textDirection w:val="lrTb"/>
            <w:noWrap w:val="false"/>
          </w:tcPr>
          <w:p>
            <w:pPr>
              <w:ind w:firstLine="0"/>
              <w:jc w:val="left"/>
              <w:spacing w:after="160" w:line="259" w:lineRule="auto"/>
              <w:shd w:val="clear" w:color="auto" w:fill="auto"/>
              <w:widowControl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</w:rPr>
              <w:t xml:space="preserve">Вода питьевая, артезианская, прозрачная, без посторонних включений, запаха, вкуса, поверхностной плёнки и осадка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05"/>
        </w:trPr>
        <w:tc>
          <w:tcPr>
            <w:tcW w:w="571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692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ind w:firstLine="0"/>
              <w:shd w:val="clear" w:color="auto" w:fill="auto"/>
              <w:widowControl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Тип</w:t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5" w:type="dxa"/>
            <w:textDirection w:val="lrTb"/>
            <w:noWrap w:val="false"/>
          </w:tcPr>
          <w:p>
            <w:pPr>
              <w:ind w:firstLine="0"/>
              <w:jc w:val="left"/>
              <w:spacing w:after="160" w:line="259" w:lineRule="auto"/>
              <w:shd w:val="clear" w:color="auto" w:fill="auto"/>
              <w:widowControl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</w:rPr>
              <w:t xml:space="preserve">негазированная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18"/>
        </w:trPr>
        <w:tc>
          <w:tcPr>
            <w:tcW w:w="571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692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ind w:firstLine="0"/>
              <w:shd w:val="clear" w:color="auto" w:fill="auto"/>
              <w:widowControl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Назначение</w:t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5" w:type="dxa"/>
            <w:textDirection w:val="lrTb"/>
            <w:noWrap w:val="false"/>
          </w:tcPr>
          <w:p>
            <w:pPr>
              <w:ind w:firstLine="0"/>
              <w:jc w:val="left"/>
              <w:spacing w:after="160" w:line="259" w:lineRule="auto"/>
              <w:shd w:val="clear" w:color="auto" w:fill="auto"/>
              <w:widowControl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для ежедневного употребления</w:t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30"/>
        </w:trPr>
        <w:tc>
          <w:tcPr>
            <w:tcW w:w="571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692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ind w:firstLine="0"/>
              <w:shd w:val="clear" w:color="auto" w:fill="auto"/>
              <w:widowControl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Категория</w:t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5" w:type="dxa"/>
            <w:textDirection w:val="lrTb"/>
            <w:noWrap w:val="false"/>
          </w:tcPr>
          <w:p>
            <w:pPr>
              <w:ind w:firstLine="0"/>
              <w:jc w:val="left"/>
              <w:spacing w:after="160" w:line="259" w:lineRule="auto"/>
              <w:shd w:val="clear" w:color="auto" w:fill="auto"/>
              <w:widowControl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не ниже первой категории</w:t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300"/>
        </w:trPr>
        <w:tc>
          <w:tcPr>
            <w:tcW w:w="571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692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ind w:firstLine="0"/>
              <w:shd w:val="clear" w:color="auto" w:fill="auto"/>
              <w:widowControl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Объем нетто</w:t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5" w:type="dxa"/>
            <w:textDirection w:val="lrTb"/>
            <w:noWrap w:val="false"/>
          </w:tcPr>
          <w:p>
            <w:pPr>
              <w:ind w:firstLine="0"/>
              <w:jc w:val="left"/>
              <w:spacing w:after="160" w:line="259" w:lineRule="auto"/>
              <w:shd w:val="clear" w:color="auto" w:fill="auto"/>
              <w:widowControl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0,5 литра</w:t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2997"/>
        </w:trPr>
        <w:tc>
          <w:tcPr>
            <w:tcW w:w="571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692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jc w:val="center"/>
              <w:shd w:val="clear" w:color="auto" w:fill="auto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ind w:firstLine="0"/>
              <w:shd w:val="clear" w:color="auto" w:fill="auto"/>
              <w:widowControl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Соответствие требованиям</w:t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5" w:type="dxa"/>
            <w:textDirection w:val="lrTb"/>
            <w:noWrap w:val="false"/>
          </w:tcPr>
          <w:p>
            <w:pPr>
              <w:ind w:firstLine="0"/>
              <w:shd w:val="clear" w:color="auto" w:fill="auto"/>
              <w:widowControl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bCs/>
                <w:sz w:val="20"/>
                <w:szCs w:val="20"/>
              </w:rPr>
              <w:t xml:space="preserve">Товар должен иметь сертификат качества. Поставляемый Товар должен соответствовать требованиям ГОСТ 32220-2013 «Межгосударственный стандарт. Вода питьевая, </w:t>
            </w:r>
            <w:r>
              <w:rPr>
                <w:rFonts w:eastAsiaTheme="minorEastAsia"/>
                <w:bCs/>
                <w:sz w:val="20"/>
                <w:szCs w:val="20"/>
              </w:rPr>
              <w:t xml:space="preserve">расфасованная в емкости. Общие технические условия» и СанПиН 2.1.4.1116-2002 «Питьевая вода. Гигиенические требования к качеству воды, расфасованной в емкости. Контроль качества».</w:t>
            </w:r>
            <w:r>
              <w:rPr>
                <w:rFonts w:eastAsiaTheme="minorEastAsia"/>
                <w:sz w:val="20"/>
                <w:szCs w:val="20"/>
              </w:rPr>
            </w:r>
            <w:r>
              <w:rPr>
                <w:rFonts w:eastAsiaTheme="minorEastAsia"/>
                <w:sz w:val="20"/>
                <w:szCs w:val="20"/>
              </w:rPr>
            </w:r>
          </w:p>
          <w:p>
            <w:pPr>
              <w:ind w:firstLine="0"/>
              <w:shd w:val="clear" w:color="auto" w:fill="auto"/>
              <w:widowControl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ТР ЕАЭС 044/2017 "О безопасности упакованной питьевой воды, включая природную минеральную воду» ТР ТС 021/2011 «О безопасности пищевой продукции». 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</w:tr>
    </w:tbl>
    <w:p>
      <w:pPr>
        <w:ind w:left="0" w:right="0" w:firstLine="708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color w:val="auto"/>
          <w:sz w:val="22"/>
          <w:szCs w:val="22"/>
          <w:highlight w:val="none"/>
        </w:rPr>
      </w:pPr>
      <w:r>
        <w:rPr>
          <w:color w:val="auto"/>
          <w:sz w:val="22"/>
          <w:szCs w:val="22"/>
        </w:rPr>
      </w:r>
      <w:r>
        <w:rPr>
          <w:b/>
          <w:sz w:val="22"/>
          <w:szCs w:val="22"/>
          <w:lang w:eastAsia="en-US"/>
        </w:rPr>
        <w:t xml:space="preserve">6. Требования к безопасности товара: </w:t>
      </w:r>
      <w:r>
        <w:rPr>
          <w:sz w:val="22"/>
          <w:szCs w:val="22"/>
          <w:lang w:eastAsia="en-US"/>
        </w:rPr>
        <w:t xml:space="preserve">Поставщик гарантирует качество и безопасность поставляемого товара в соответствии с действующими стандартами, утвер</w:t>
      </w:r>
      <w:r>
        <w:rPr>
          <w:sz w:val="22"/>
          <w:szCs w:val="22"/>
          <w:lang w:eastAsia="en-US"/>
        </w:rPr>
        <w:t xml:space="preserve">жденными в отношении данного вида товара, а также соответствие товара требованиям ГОСТ Российской Федерации и показателям качества технических характеристик поставляемого товара. Товар должен отвечать требованиям качества, безопасности жизни и здоровья, ох</w:t>
      </w:r>
      <w:r>
        <w:rPr>
          <w:sz w:val="22"/>
          <w:szCs w:val="22"/>
          <w:lang w:eastAsia="en-US"/>
        </w:rPr>
        <w:t xml:space="preserve">раны окружающей среды (санитарным нормам и правилам, государственным стандартам), а также требованиям сертификации, безопасности, лицензирования, если такие требования предъявляются к соответствующим товарам законодательством Российской Федерации. В случае</w:t>
      </w:r>
      <w:r>
        <w:rPr>
          <w:sz w:val="22"/>
          <w:szCs w:val="22"/>
          <w:lang w:eastAsia="en-US"/>
        </w:rPr>
        <w:t xml:space="preserve">,</w:t>
      </w:r>
      <w:r>
        <w:rPr>
          <w:sz w:val="22"/>
          <w:szCs w:val="22"/>
          <w:lang w:eastAsia="en-US"/>
        </w:rPr>
        <w:t xml:space="preserve"> если поставленный товар подлежит сертификации, то Поставщик предоставляет Заказчику соответствующие документы в момент сдачи - приемки товара.</w:t>
      </w:r>
      <w:r>
        <w:rPr>
          <w:rFonts w:ascii="Times New Roman" w:hAnsi="Times New Roman"/>
          <w:color w:val="auto"/>
          <w:sz w:val="22"/>
          <w:szCs w:val="22"/>
          <w:highlight w:val="none"/>
        </w:rPr>
      </w:r>
      <w:r>
        <w:rPr>
          <w:rFonts w:ascii="Times New Roman" w:hAnsi="Times New Roman"/>
          <w:color w:val="auto"/>
          <w:sz w:val="22"/>
          <w:szCs w:val="22"/>
          <w:highlight w:val="none"/>
        </w:rPr>
      </w:r>
    </w:p>
    <w:p>
      <w:pPr>
        <w:contextualSpacing/>
        <w:ind w:left="0" w:right="0" w:firstLine="709"/>
        <w:jc w:val="both"/>
        <w:shd w:val="clear" w:color="auto" w:fill="auto"/>
        <w:widowControl/>
        <w:rPr>
          <w:b/>
          <w:sz w:val="24"/>
          <w:szCs w:val="24"/>
        </w:rPr>
      </w:pPr>
      <w:r>
        <w:rPr>
          <w:b/>
          <w:sz w:val="22"/>
          <w:szCs w:val="22"/>
          <w:lang w:eastAsia="en-US"/>
        </w:rPr>
        <w:t xml:space="preserve">7. Нормативные документы, согласно которым установлены требования: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left="0" w:right="0" w:firstLine="0"/>
        <w:jc w:val="both"/>
        <w:shd w:val="clear" w:color="auto" w:fill="auto"/>
        <w:widowControl/>
        <w:rPr>
          <w:rFonts w:eastAsia="Andale Sans UI"/>
          <w:sz w:val="24"/>
          <w:szCs w:val="24"/>
        </w:rPr>
      </w:pPr>
      <w:r>
        <w:rPr>
          <w:sz w:val="22"/>
          <w:szCs w:val="22"/>
        </w:rPr>
        <w:t xml:space="preserve">- </w:t>
      </w:r>
      <w:hyperlink r:id="rId12" w:tooltip="https://docs.eaeunion.org/docs/ru-ru/01414757/cncd_05092017_45" w:history="1">
        <w:r>
          <w:rPr>
            <w:rFonts w:eastAsia="Andale Sans UI"/>
            <w:sz w:val="22"/>
            <w:szCs w:val="22"/>
            <w:shd w:val="clear" w:color="auto" w:fill="ffffff"/>
          </w:rPr>
          <w:t xml:space="preserve">Технический регламент Евразийского экономического союза «О безопасности упакованной питьевой воды, включая природную минеральную воду</w:t>
        </w:r>
        <w:r>
          <w:rPr>
            <w:rFonts w:eastAsia="Andale Sans UI"/>
            <w:sz w:val="22"/>
            <w:szCs w:val="22"/>
            <w:shd w:val="clear" w:color="auto" w:fill="ffffff"/>
          </w:rPr>
          <w:t xml:space="preserve">» (</w:t>
        </w:r>
        <w:r>
          <w:rPr>
            <w:rFonts w:eastAsia="Andale Sans UI"/>
            <w:sz w:val="22"/>
            <w:szCs w:val="22"/>
            <w:shd w:val="clear" w:color="auto" w:fill="ffffff"/>
          </w:rPr>
          <w:t xml:space="preserve">ТР ЕАЭС 044/2017)​</w:t>
        </w:r>
      </w:hyperlink>
      <w:r>
        <w:rPr>
          <w:rFonts w:eastAsia="Andale Sans UI"/>
          <w:sz w:val="22"/>
          <w:szCs w:val="22"/>
        </w:rPr>
        <w:t xml:space="preserve">;</w:t>
      </w:r>
      <w:r>
        <w:rPr>
          <w:rFonts w:eastAsia="Andale Sans UI"/>
          <w:sz w:val="24"/>
          <w:szCs w:val="24"/>
        </w:rPr>
      </w:r>
      <w:r>
        <w:rPr>
          <w:rFonts w:eastAsia="Andale Sans UI"/>
          <w:sz w:val="24"/>
          <w:szCs w:val="24"/>
        </w:rPr>
      </w:r>
    </w:p>
    <w:p>
      <w:pPr>
        <w:ind w:left="0" w:right="0" w:firstLine="0"/>
        <w:jc w:val="both"/>
        <w:keepNext/>
        <w:rPr>
          <w:bCs/>
          <w:sz w:val="24"/>
          <w:szCs w:val="24"/>
        </w:rPr>
        <w:outlineLvl w:val="0"/>
      </w:pPr>
      <w:r>
        <w:rPr>
          <w:rFonts w:eastAsia="Andale Sans UI"/>
          <w:sz w:val="22"/>
          <w:szCs w:val="22"/>
        </w:rPr>
        <w:t xml:space="preserve">- Технический регламент Таможенного Союза «</w:t>
      </w:r>
      <w:r>
        <w:rPr>
          <w:bCs/>
          <w:sz w:val="22"/>
          <w:szCs w:val="22"/>
        </w:rPr>
        <w:t xml:space="preserve">О безопасности упаковки» (</w:t>
      </w:r>
      <w:r>
        <w:rPr>
          <w:bCs/>
          <w:sz w:val="22"/>
          <w:szCs w:val="22"/>
        </w:rPr>
        <w:t xml:space="preserve">ТР</w:t>
      </w:r>
      <w:r>
        <w:rPr>
          <w:bCs/>
          <w:sz w:val="22"/>
          <w:szCs w:val="22"/>
        </w:rPr>
        <w:t xml:space="preserve"> ТС 005/2011);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ind w:left="0" w:right="0" w:firstLine="0"/>
        <w:jc w:val="both"/>
        <w:shd w:val="clear" w:color="auto" w:fill="auto"/>
        <w:rPr>
          <w:rFonts w:eastAsia="Andale Sans UI"/>
          <w:sz w:val="24"/>
          <w:szCs w:val="24"/>
        </w:rPr>
      </w:pPr>
      <w:r>
        <w:rPr>
          <w:rFonts w:eastAsia="Andale Sans UI"/>
          <w:sz w:val="22"/>
          <w:szCs w:val="22"/>
        </w:rPr>
        <w:t xml:space="preserve">- Технический регламент Таможенного Союза «О безопасности пищевой продукции» (</w:t>
      </w:r>
      <w:r>
        <w:rPr>
          <w:rFonts w:eastAsia="Andale Sans UI"/>
          <w:sz w:val="22"/>
          <w:szCs w:val="22"/>
        </w:rPr>
        <w:t xml:space="preserve">ТР</w:t>
      </w:r>
      <w:r>
        <w:rPr>
          <w:rFonts w:eastAsia="Andale Sans UI"/>
          <w:sz w:val="22"/>
          <w:szCs w:val="22"/>
        </w:rPr>
        <w:t xml:space="preserve"> ТС 021/2011);</w:t>
      </w:r>
      <w:r>
        <w:rPr>
          <w:rFonts w:eastAsia="Andale Sans UI"/>
          <w:sz w:val="24"/>
          <w:szCs w:val="24"/>
        </w:rPr>
      </w:r>
      <w:r>
        <w:rPr>
          <w:rFonts w:eastAsia="Andale Sans UI"/>
          <w:sz w:val="24"/>
          <w:szCs w:val="24"/>
        </w:rPr>
      </w:r>
    </w:p>
    <w:p>
      <w:pPr>
        <w:ind w:left="0" w:right="0" w:firstLine="0"/>
        <w:jc w:val="both"/>
        <w:shd w:val="clear" w:color="auto" w:fill="auto"/>
        <w:rPr>
          <w:rFonts w:eastAsia="Andale Sans UI"/>
          <w:sz w:val="24"/>
          <w:szCs w:val="24"/>
        </w:rPr>
      </w:pPr>
      <w:r>
        <w:rPr>
          <w:rFonts w:eastAsia="Andale Sans UI"/>
          <w:sz w:val="22"/>
          <w:szCs w:val="22"/>
        </w:rPr>
        <w:t xml:space="preserve">- Технический регламент Таможенного Союза «Пищевая продукция в части ее маркировки» (</w:t>
      </w:r>
      <w:r>
        <w:rPr>
          <w:rFonts w:eastAsia="Andale Sans UI"/>
          <w:sz w:val="22"/>
          <w:szCs w:val="22"/>
        </w:rPr>
        <w:t xml:space="preserve">ТР</w:t>
      </w:r>
      <w:r>
        <w:rPr>
          <w:rFonts w:eastAsia="Andale Sans UI"/>
          <w:sz w:val="22"/>
          <w:szCs w:val="22"/>
        </w:rPr>
        <w:t xml:space="preserve"> ТС 022/2011);</w:t>
      </w:r>
      <w:r>
        <w:rPr>
          <w:rFonts w:eastAsia="Andale Sans UI"/>
          <w:sz w:val="24"/>
          <w:szCs w:val="24"/>
        </w:rPr>
      </w:r>
      <w:r>
        <w:rPr>
          <w:rFonts w:eastAsia="Andale Sans UI"/>
          <w:sz w:val="24"/>
          <w:szCs w:val="24"/>
        </w:rPr>
      </w:r>
    </w:p>
    <w:p>
      <w:pPr>
        <w:ind w:left="0" w:right="0" w:firstLine="0"/>
        <w:jc w:val="both"/>
        <w:shd w:val="clear" w:color="auto" w:fill="auto"/>
        <w:rPr>
          <w:rFonts w:eastAsia="Andale Sans UI"/>
          <w:sz w:val="24"/>
          <w:szCs w:val="24"/>
        </w:rPr>
      </w:pPr>
      <w:r>
        <w:rPr>
          <w:rFonts w:eastAsia="Andale Sans UI"/>
          <w:sz w:val="22"/>
          <w:szCs w:val="22"/>
        </w:rPr>
        <w:t xml:space="preserve">- Федеральный закон «О санитарно-эпидемиологическом благополучии населения» от 30.03.1999 № 52-ФЗ;</w:t>
      </w:r>
      <w:r>
        <w:rPr>
          <w:rFonts w:eastAsia="Andale Sans UI"/>
          <w:sz w:val="24"/>
          <w:szCs w:val="24"/>
        </w:rPr>
      </w:r>
      <w:r>
        <w:rPr>
          <w:rFonts w:eastAsia="Andale Sans UI"/>
          <w:sz w:val="24"/>
          <w:szCs w:val="24"/>
        </w:rPr>
      </w:r>
    </w:p>
    <w:p>
      <w:pPr>
        <w:ind w:left="0" w:right="0" w:firstLine="0"/>
        <w:jc w:val="both"/>
        <w:shd w:val="clear" w:color="auto" w:fill="auto"/>
        <w:rPr>
          <w:rFonts w:eastAsia="Andale Sans UI"/>
          <w:sz w:val="24"/>
          <w:szCs w:val="24"/>
        </w:rPr>
      </w:pPr>
      <w:r>
        <w:rPr>
          <w:rFonts w:eastAsia="Andale Sans UI"/>
          <w:sz w:val="22"/>
          <w:szCs w:val="22"/>
        </w:rPr>
        <w:t xml:space="preserve">- Федеральный закон «О качестве и безопасности пищевых продуктов» от 02.01.2000 N 29-ФЗ;</w:t>
      </w:r>
      <w:r>
        <w:rPr>
          <w:rFonts w:eastAsia="Andale Sans UI"/>
          <w:sz w:val="24"/>
          <w:szCs w:val="24"/>
        </w:rPr>
      </w:r>
      <w:r>
        <w:rPr>
          <w:rFonts w:eastAsia="Andale Sans UI"/>
          <w:sz w:val="24"/>
          <w:szCs w:val="24"/>
        </w:rPr>
      </w:r>
    </w:p>
    <w:p>
      <w:pPr>
        <w:ind w:left="0" w:right="0" w:firstLine="0"/>
        <w:jc w:val="both"/>
        <w:shd w:val="clear" w:color="auto" w:fill="auto"/>
        <w:widowControl/>
        <w:rPr>
          <w:sz w:val="24"/>
          <w:szCs w:val="24"/>
        </w:rPr>
      </w:pPr>
      <w:r>
        <w:rPr>
          <w:sz w:val="22"/>
          <w:szCs w:val="22"/>
        </w:rPr>
        <w:t xml:space="preserve"> - ГОСТ 32220-2013 «Межгосударственный стандарт. Вода питьевая, расфасованная в емкости. Общие технические условия»;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shd w:val="clear" w:color="auto" w:fill="auto"/>
        <w:widowControl/>
        <w:rPr>
          <w:sz w:val="24"/>
          <w:szCs w:val="24"/>
        </w:rPr>
      </w:pPr>
      <w:r>
        <w:rPr>
          <w:sz w:val="22"/>
          <w:szCs w:val="22"/>
        </w:rPr>
        <w:t xml:space="preserve">- ГОСТ </w:t>
      </w:r>
      <w:r>
        <w:rPr>
          <w:sz w:val="22"/>
          <w:szCs w:val="22"/>
        </w:rPr>
        <w:t xml:space="preserve">Р</w:t>
      </w:r>
      <w:r>
        <w:rPr>
          <w:sz w:val="22"/>
          <w:szCs w:val="22"/>
        </w:rPr>
        <w:t xml:space="preserve"> 51232-98 «Вода питьевая. Общие требования к организации и методам контроля качества»;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shd w:val="clear" w:color="auto" w:fill="auto"/>
        <w:widowControl/>
        <w:rPr>
          <w:sz w:val="24"/>
          <w:szCs w:val="24"/>
        </w:rPr>
      </w:pPr>
      <w:r>
        <w:rPr>
          <w:sz w:val="22"/>
          <w:szCs w:val="22"/>
        </w:rPr>
        <w:t xml:space="preserve">- </w:t>
      </w:r>
      <w:r>
        <w:rPr>
          <w:rFonts w:eastAsia="Andale Sans UI"/>
          <w:sz w:val="22"/>
          <w:szCs w:val="22"/>
        </w:rPr>
        <w:t xml:space="preserve">ГОСТ 34534-2019 «Упаковка. Бутыли полимерные для пищевых жидкостей. Общие технические условия»;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shd w:val="clear" w:color="auto" w:fill="auto"/>
        <w:widowControl/>
        <w:rPr>
          <w:rFonts w:eastAsia="Andale Sans UI"/>
          <w:sz w:val="24"/>
          <w:szCs w:val="24"/>
        </w:rPr>
      </w:pPr>
      <w:r>
        <w:rPr>
          <w:sz w:val="22"/>
          <w:szCs w:val="22"/>
        </w:rPr>
        <w:t xml:space="preserve">- СанПиН 2.1.4.1116-02 «</w:t>
      </w:r>
      <w:r>
        <w:rPr>
          <w:rFonts w:eastAsia="Andale Sans UI"/>
          <w:sz w:val="22"/>
          <w:szCs w:val="22"/>
        </w:rPr>
        <w:t xml:space="preserve">Питьевая вода. Гигиенические требования к качеству воды, расфасованной в емкости. Контроль качества».</w:t>
      </w:r>
      <w:r>
        <w:rPr>
          <w:rFonts w:eastAsia="Andale Sans UI"/>
          <w:sz w:val="24"/>
          <w:szCs w:val="24"/>
        </w:rPr>
      </w:r>
      <w:r>
        <w:rPr>
          <w:rFonts w:eastAsia="Andale Sans UI"/>
          <w:sz w:val="24"/>
          <w:szCs w:val="24"/>
        </w:rPr>
      </w:r>
    </w:p>
    <w:p>
      <w:pPr>
        <w:ind w:left="0" w:right="0" w:firstLine="709"/>
        <w:jc w:val="both"/>
        <w:shd w:val="clear" w:color="auto" w:fill="auto"/>
        <w:widowControl/>
        <w:tabs>
          <w:tab w:val="left" w:pos="317" w:leader="none"/>
        </w:tabs>
        <w:rPr>
          <w:sz w:val="24"/>
          <w:szCs w:val="24"/>
        </w:rPr>
      </w:pPr>
      <w:r>
        <w:rPr>
          <w:sz w:val="22"/>
          <w:szCs w:val="22"/>
        </w:rPr>
        <w:t xml:space="preserve">Доку</w:t>
      </w:r>
      <w:r>
        <w:rPr>
          <w:sz w:val="22"/>
          <w:szCs w:val="22"/>
        </w:rPr>
        <w:t xml:space="preserve">менты, подтверждающие соответствие продукции: сертификаты, удостоверения качества. Свидетельство о государственной регистрации </w:t>
      </w:r>
      <w:r>
        <w:rPr>
          <w:sz w:val="22"/>
          <w:szCs w:val="22"/>
        </w:rPr>
        <w:t xml:space="preserve">питьевой </w:t>
      </w:r>
      <w:r>
        <w:rPr>
          <w:sz w:val="22"/>
          <w:szCs w:val="22"/>
        </w:rPr>
        <w:t xml:space="preserve">бутилированной  воды.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shd w:val="clear" w:color="auto" w:fill="auto"/>
        <w:widowControl/>
        <w:rPr>
          <w:sz w:val="24"/>
          <w:szCs w:val="24"/>
        </w:rPr>
      </w:pPr>
      <w:r>
        <w:rPr>
          <w:sz w:val="22"/>
          <w:szCs w:val="22"/>
        </w:rPr>
        <w:t xml:space="preserve">Упакованная вода не должна содержать: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shd w:val="clear" w:color="auto" w:fill="auto"/>
        <w:widowControl/>
        <w:rPr>
          <w:sz w:val="24"/>
          <w:szCs w:val="24"/>
        </w:rPr>
      </w:pPr>
      <w:r>
        <w:rPr>
          <w:sz w:val="22"/>
          <w:szCs w:val="22"/>
        </w:rPr>
        <w:t xml:space="preserve"> - патогенных кишечных микроорганизмов, способных вызвать заболевания при употреблении воды;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shd w:val="clear" w:color="auto" w:fill="auto"/>
        <w:widowControl/>
        <w:rPr>
          <w:sz w:val="24"/>
          <w:szCs w:val="24"/>
        </w:rPr>
      </w:pPr>
      <w:r>
        <w:rPr>
          <w:sz w:val="22"/>
          <w:szCs w:val="22"/>
        </w:rPr>
        <w:t xml:space="preserve">- индикаторных бактерий и вирусов;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shd w:val="clear" w:color="auto" w:fill="auto"/>
        <w:tabs>
          <w:tab w:val="left" w:pos="677" w:leader="none"/>
        </w:tabs>
        <w:rPr>
          <w:sz w:val="24"/>
          <w:szCs w:val="24"/>
        </w:rPr>
      </w:pPr>
      <w:r>
        <w:rPr>
          <w:sz w:val="22"/>
          <w:szCs w:val="22"/>
        </w:rPr>
        <w:t xml:space="preserve">- превышения предельно допустимых концентраций по каждому из компонентов.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shd w:val="clear" w:color="auto" w:fill="auto"/>
        <w:widowControl/>
        <w:tabs>
          <w:tab w:val="left" w:pos="317" w:leader="none"/>
        </w:tabs>
        <w:rPr>
          <w:b/>
          <w:sz w:val="24"/>
          <w:szCs w:val="24"/>
        </w:rPr>
      </w:pPr>
      <w:r>
        <w:rPr>
          <w:sz w:val="22"/>
          <w:szCs w:val="22"/>
        </w:rPr>
        <w:t xml:space="preserve">Вода должна быть прозрачная, без посторонних включений, вкусов и запахов, поверхностной пленки и осадка, безопасна для потребления человеком в отношении микробиологических, паразитарных и радиологических показателей, безвредн</w:t>
      </w:r>
      <w:r>
        <w:rPr>
          <w:sz w:val="22"/>
          <w:szCs w:val="22"/>
        </w:rPr>
        <w:t xml:space="preserve">а по химическому составу, иметь благоприятные органолептические свойства.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left="0" w:right="0" w:firstLine="709"/>
        <w:jc w:val="both"/>
        <w:shd w:val="clear" w:color="auto" w:fill="auto"/>
        <w:widowControl/>
        <w:tabs>
          <w:tab w:val="left" w:pos="0" w:leader="none"/>
          <w:tab w:val="left" w:pos="851" w:leader="none"/>
          <w:tab w:val="left" w:pos="1134" w:leader="none"/>
          <w:tab w:val="left" w:pos="1418" w:leader="none"/>
        </w:tabs>
        <w:rPr>
          <w:sz w:val="24"/>
          <w:szCs w:val="24"/>
        </w:rPr>
      </w:pPr>
      <w:r>
        <w:rPr>
          <w:b/>
          <w:sz w:val="22"/>
          <w:szCs w:val="22"/>
          <w:lang w:eastAsia="en-US"/>
        </w:rPr>
        <w:t xml:space="preserve">7. Общие требования, предъявляемые к поставке товара, требования к объему гарантий качества, требования к сроку гарантий качества: </w:t>
      </w:r>
      <w:r>
        <w:rPr>
          <w:sz w:val="22"/>
          <w:szCs w:val="22"/>
          <w:lang w:eastAsia="en-US"/>
        </w:rPr>
        <w:t xml:space="preserve">поставляемый товар должен быть новым и сертифицированным в Российской Федерации, а также свободным от прав на него третьих лиц и других обременений. П</w:t>
      </w:r>
      <w:r>
        <w:rPr>
          <w:sz w:val="22"/>
          <w:szCs w:val="22"/>
        </w:rPr>
        <w:t xml:space="preserve">редлагаемый к поставке товар должен быть изготовлен в соответствии со стандартами качества и ГОСТ </w:t>
      </w:r>
      <w:r>
        <w:rPr>
          <w:sz w:val="22"/>
          <w:szCs w:val="22"/>
        </w:rPr>
        <w:t xml:space="preserve">Р</w:t>
      </w:r>
      <w:r>
        <w:rPr>
          <w:sz w:val="22"/>
          <w:szCs w:val="22"/>
        </w:rPr>
        <w:t xml:space="preserve"> ИСО 9001-2015 «Система менеджмента качества».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shd w:val="clear" w:color="auto" w:fill="auto"/>
        <w:widowControl/>
        <w:tabs>
          <w:tab w:val="left" w:pos="426" w:leader="none"/>
        </w:tabs>
        <w:rPr>
          <w:sz w:val="24"/>
          <w:szCs w:val="24"/>
        </w:rPr>
      </w:pPr>
      <w:r>
        <w:rPr>
          <w:sz w:val="22"/>
          <w:szCs w:val="22"/>
        </w:rPr>
        <w:t xml:space="preserve">Товар должен иметь необходимые маркировки, наклейки. Упаковка и маркировка товара должны соответствовать требованиям ГОСТ Российской Федерации. Маркировка упаковки должна строго соответствовать маркировке товара.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shd w:val="clear" w:color="auto" w:fill="auto"/>
        <w:widowControl/>
        <w:tabs>
          <w:tab w:val="left" w:pos="426" w:leader="none"/>
        </w:tabs>
        <w:rPr>
          <w:sz w:val="24"/>
          <w:szCs w:val="24"/>
        </w:rPr>
      </w:pPr>
      <w:r>
        <w:rPr>
          <w:sz w:val="22"/>
          <w:szCs w:val="22"/>
        </w:rPr>
        <w:t xml:space="preserve">Требования к качеству товара в соответствии с требованиями: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left="0" w:right="0" w:firstLine="0"/>
        <w:jc w:val="both"/>
        <w:shd w:val="clear" w:color="auto" w:fill="auto"/>
        <w:widowControl/>
        <w:tabs>
          <w:tab w:val="left" w:pos="0" w:leader="none"/>
        </w:tabs>
        <w:rPr>
          <w:b/>
          <w:sz w:val="24"/>
          <w:szCs w:val="24"/>
        </w:rPr>
      </w:pPr>
      <w:r>
        <w:rPr>
          <w:sz w:val="22"/>
          <w:szCs w:val="22"/>
        </w:rPr>
        <w:t xml:space="preserve">- ФЗ от 01.03.2020 № 47-ФЗ «О качестве и безопасности пищевых продуктов»;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contextualSpacing/>
        <w:ind w:left="0" w:right="0" w:firstLine="0"/>
        <w:jc w:val="both"/>
        <w:shd w:val="clear" w:color="auto" w:fill="auto"/>
        <w:widowControl/>
        <w:tabs>
          <w:tab w:val="left" w:pos="0" w:leader="none"/>
        </w:tabs>
        <w:rPr>
          <w:b/>
          <w:sz w:val="24"/>
          <w:szCs w:val="24"/>
        </w:rPr>
      </w:pPr>
      <w:r>
        <w:rPr>
          <w:sz w:val="22"/>
          <w:szCs w:val="22"/>
        </w:rPr>
        <w:t xml:space="preserve">- Решение Совета Евразийской экономической комиссии от 23.06.2017 № 45 «О техническом регламенте Евразийского экономического союза «О безопасности упакованной питьевой воды, включая природную минеральную воду».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left="0" w:right="0" w:firstLine="709"/>
        <w:jc w:val="both"/>
        <w:shd w:val="clear" w:color="auto" w:fill="auto"/>
        <w:widowControl/>
        <w:rPr>
          <w:sz w:val="24"/>
          <w:szCs w:val="24"/>
        </w:rPr>
      </w:pPr>
      <w:r>
        <w:rPr>
          <w:sz w:val="22"/>
          <w:szCs w:val="22"/>
        </w:rPr>
        <w:t xml:space="preserve">Срок годности воды: не более 12 (двенадцати) месяцев со дня разлива, но не менее 6 (шести) месяцев со дня поставки. На момент поставки товара срок от даты разлива должен быть не более 1 месяца.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shd w:val="clear" w:color="auto" w:fill="auto"/>
        <w:rPr>
          <w:rFonts w:eastAsia="Andale Sans UI"/>
          <w:sz w:val="24"/>
          <w:szCs w:val="24"/>
        </w:rPr>
        <w:suppressLineNumbers w:val="0"/>
      </w:pPr>
      <w:r>
        <w:rPr>
          <w:rFonts w:eastAsia="Andale Sans UI"/>
          <w:sz w:val="22"/>
          <w:szCs w:val="22"/>
        </w:rPr>
        <w:t xml:space="preserve">Поставщик гарантирует, что качество поставляемого Товара соответствует требованиям стандартов, установленных в Российской Федерации для данного вида Товара. Поставл</w:t>
      </w:r>
      <w:r>
        <w:rPr>
          <w:rFonts w:eastAsia="Andale Sans UI"/>
          <w:sz w:val="22"/>
          <w:szCs w:val="22"/>
        </w:rPr>
        <w:t xml:space="preserve">яемый Товар маркирован, в том числе и на русском языке, в соответствии с установленными для данного вида Товаров стандартами и техническими условиями, а также иными требованиями, предъявляемыми к поставляемому </w:t>
      </w:r>
      <w:r>
        <w:rPr>
          <w:rFonts w:eastAsia="Andale Sans UI"/>
          <w:sz w:val="22"/>
          <w:szCs w:val="22"/>
        </w:rPr>
        <w:t xml:space="preserve">Товару законодательством Российской Федерации.</w:t>
      </w:r>
      <w:r>
        <w:rPr>
          <w:rFonts w:eastAsia="Andale Sans UI"/>
          <w:sz w:val="24"/>
          <w:szCs w:val="24"/>
        </w:rPr>
      </w:r>
      <w:r>
        <w:rPr>
          <w:rFonts w:eastAsia="Andale Sans UI"/>
          <w:sz w:val="24"/>
          <w:szCs w:val="24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shd w:val="clear" w:color="auto" w:fill="auto"/>
        <w:rPr>
          <w:rFonts w:eastAsia="Andale Sans UI"/>
          <w:sz w:val="24"/>
          <w:szCs w:val="24"/>
        </w:rPr>
        <w:suppressLineNumbers w:val="0"/>
      </w:pPr>
      <w:r>
        <w:rPr>
          <w:rFonts w:eastAsia="Andale Sans UI"/>
          <w:sz w:val="22"/>
          <w:szCs w:val="22"/>
        </w:rPr>
        <w:t xml:space="preserve">Поставщик гарантирует соответствие поставляемого Товара вышеуказанным требованиям в течение всего </w:t>
      </w:r>
      <w:r>
        <w:rPr>
          <w:rFonts w:eastAsia="Andale Sans UI"/>
          <w:sz w:val="22"/>
          <w:szCs w:val="22"/>
        </w:rPr>
        <w:t xml:space="preserve">срока действия договора.</w:t>
      </w:r>
      <w:r>
        <w:rPr>
          <w:rFonts w:eastAsia="Andale Sans UI"/>
          <w:sz w:val="24"/>
          <w:szCs w:val="24"/>
        </w:rPr>
      </w:r>
      <w:r>
        <w:rPr>
          <w:rFonts w:eastAsia="Andale Sans UI"/>
          <w:sz w:val="24"/>
          <w:szCs w:val="24"/>
        </w:rPr>
      </w:r>
    </w:p>
    <w:p>
      <w:pPr>
        <w:ind w:left="0" w:right="0" w:firstLine="709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Поставщик гарантирует качество и соответствие поставляемого Товара условиям и стандартам при его транспортировке и хранении, а также замену дефектного Товара на Товар надлежащего качества.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shd w:val="clear" w:color="auto" w:fill="auto"/>
        <w:widowControl/>
        <w:rPr>
          <w:sz w:val="24"/>
          <w:szCs w:val="24"/>
        </w:rPr>
      </w:pPr>
      <w:r>
        <w:rPr>
          <w:sz w:val="22"/>
          <w:szCs w:val="22"/>
        </w:rPr>
        <w:t xml:space="preserve">Вывоз и замена Товара производится Поставщиком за собственный счет.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left="0" w:right="0" w:firstLine="709"/>
        <w:jc w:val="both"/>
        <w:shd w:val="clear" w:color="auto" w:fill="auto"/>
        <w:widowControl/>
        <w:tabs>
          <w:tab w:val="left" w:pos="426" w:leader="none"/>
        </w:tabs>
        <w:rPr>
          <w:b/>
          <w:sz w:val="24"/>
          <w:szCs w:val="24"/>
        </w:rPr>
      </w:pPr>
      <w:r>
        <w:rPr>
          <w:b/>
          <w:sz w:val="22"/>
          <w:szCs w:val="22"/>
          <w:lang w:eastAsia="en-US"/>
        </w:rPr>
        <w:t xml:space="preserve">8. Требования к упаковке товара.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left="0" w:right="0" w:firstLine="709"/>
        <w:jc w:val="both"/>
        <w:shd w:val="clear" w:color="auto" w:fill="auto"/>
        <w:widowControl/>
        <w:rPr>
          <w:sz w:val="24"/>
          <w:szCs w:val="24"/>
        </w:rPr>
      </w:pPr>
      <w:r>
        <w:rPr>
          <w:bCs/>
          <w:sz w:val="22"/>
          <w:szCs w:val="22"/>
        </w:rPr>
        <w:t xml:space="preserve">Т</w:t>
      </w:r>
      <w:r>
        <w:rPr>
          <w:sz w:val="22"/>
          <w:szCs w:val="22"/>
        </w:rPr>
        <w:t xml:space="preserve">овар должен поставляться в таре: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left="0" w:right="0" w:firstLine="709"/>
        <w:jc w:val="both"/>
        <w:shd w:val="clear" w:color="auto" w:fill="auto"/>
        <w:widowControl/>
        <w:rPr>
          <w:sz w:val="24"/>
          <w:szCs w:val="24"/>
        </w:rPr>
      </w:pPr>
      <w:r>
        <w:rPr>
          <w:sz w:val="22"/>
          <w:szCs w:val="22"/>
        </w:rPr>
        <w:t xml:space="preserve">На бутылях должна быть специальная пластиковая (одноразовая, из пищевого полиэтилена) пробка и защитная </w:t>
      </w:r>
      <w:r>
        <w:rPr>
          <w:sz w:val="22"/>
          <w:szCs w:val="22"/>
        </w:rPr>
        <w:t xml:space="preserve">термоусадочная</w:t>
      </w:r>
      <w:r>
        <w:rPr>
          <w:sz w:val="22"/>
          <w:szCs w:val="22"/>
        </w:rPr>
        <w:t xml:space="preserve"> пленка с нанесением маркировки на крышке (дата розлива). Бутыли должны быть чистыми, без трещин и деформаций. Упаковка (тара) товара и </w:t>
      </w:r>
      <w:r>
        <w:rPr>
          <w:sz w:val="22"/>
          <w:szCs w:val="22"/>
        </w:rPr>
        <w:t xml:space="preserve">комплектующих</w:t>
      </w:r>
      <w:r>
        <w:rPr>
          <w:sz w:val="22"/>
          <w:szCs w:val="22"/>
        </w:rPr>
        <w:t xml:space="preserve"> товара должна отвечать требованиям безопасности жизни и здоровья и охраны окружающей среды (санитарным </w:t>
      </w:r>
      <w:r>
        <w:rPr>
          <w:sz w:val="22"/>
          <w:szCs w:val="22"/>
        </w:rPr>
        <w:t xml:space="preserve">нормам и правилам, государственным стандартам), иметь необходимые маркировки, наклейки, пломбы.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left="0" w:right="0" w:firstLine="709"/>
        <w:jc w:val="both"/>
        <w:shd w:val="clear" w:color="auto" w:fill="auto"/>
        <w:widowControl/>
        <w:tabs>
          <w:tab w:val="left" w:pos="426" w:leader="none"/>
        </w:tabs>
        <w:rPr>
          <w:b/>
          <w:sz w:val="24"/>
          <w:szCs w:val="24"/>
        </w:rPr>
      </w:pPr>
      <w:r>
        <w:rPr>
          <w:b/>
          <w:sz w:val="22"/>
          <w:szCs w:val="22"/>
          <w:lang w:eastAsia="en-US"/>
        </w:rPr>
        <w:t xml:space="preserve">9. Условия поставки и порядок приемки товара.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left="0" w:right="0" w:firstLine="709"/>
        <w:jc w:val="both"/>
        <w:shd w:val="clear" w:color="auto" w:fill="auto"/>
        <w:widowControl/>
        <w:tabs>
          <w:tab w:val="left" w:pos="426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Поставщик обязуется за свой счет осуществить доставку товара, погрузочно-разгрузочные работы (в </w:t>
      </w:r>
      <w:r>
        <w:rPr>
          <w:sz w:val="22"/>
          <w:szCs w:val="22"/>
        </w:rPr>
        <w:t xml:space="preserve">т.ч</w:t>
      </w:r>
      <w:r>
        <w:rPr>
          <w:sz w:val="22"/>
          <w:szCs w:val="22"/>
        </w:rPr>
        <w:t xml:space="preserve">. подъем и спуск на этаж).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709"/>
        <w:jc w:val="both"/>
        <w:spacing w:after="0" w:line="240" w:lineRule="auto"/>
        <w:shd w:val="clear" w:color="auto" w:fill="ffffff"/>
        <w:widowControl w:val="off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Не допускается сбрасывание товара при разгрузке, транспортирование волоком и другие действия, которые могут причинить повреждения товару.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709"/>
        <w:jc w:val="both"/>
        <w:shd w:val="clear" w:color="auto" w:fill="auto"/>
        <w:widowControl/>
        <w:tabs>
          <w:tab w:val="left" w:pos="426" w:leader="none"/>
        </w:tabs>
        <w:rPr>
          <w:sz w:val="24"/>
          <w:szCs w:val="24"/>
        </w:rPr>
      </w:pPr>
      <w:r>
        <w:rPr>
          <w:sz w:val="22"/>
          <w:szCs w:val="22"/>
        </w:rPr>
        <w:t xml:space="preserve">В стоимость товара должны быть включены: доставка и разгрузка до указанного помещения Заказчика, уплата налогов, таможенных пошлин, сборов и других обязательных платежей.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shd w:val="clear" w:color="auto" w:fill="auto"/>
        <w:widowControl/>
        <w:tabs>
          <w:tab w:val="left" w:pos="426" w:leader="none"/>
        </w:tabs>
        <w:rPr>
          <w:sz w:val="24"/>
          <w:szCs w:val="24"/>
        </w:rPr>
      </w:pPr>
      <w:r>
        <w:rPr>
          <w:sz w:val="22"/>
          <w:szCs w:val="22"/>
        </w:rPr>
        <w:t xml:space="preserve">Порядок и время поставки товара должны быть согласованы с Заказчиком до поставки товара. </w:t>
      </w:r>
      <w:r>
        <w:rPr>
          <w:sz w:val="22"/>
          <w:szCs w:val="22"/>
          <w:lang w:eastAsia="en-US"/>
        </w:rPr>
        <w:t xml:space="preserve">Поставка товара должна осуществляться Поставщиком в соответствии с режимом рабочего времени Заказчика, указанным в настоящем техническом задании при этом Поставщик обязан строго соблюдать </w:t>
      </w:r>
      <w:r>
        <w:rPr>
          <w:sz w:val="22"/>
          <w:szCs w:val="22"/>
        </w:rPr>
        <w:t xml:space="preserve">внутриобъектный</w:t>
      </w:r>
      <w:r>
        <w:rPr>
          <w:sz w:val="22"/>
          <w:szCs w:val="22"/>
        </w:rPr>
        <w:t xml:space="preserve"> режим, действующий на территории Заказчика, правила техники безопасности, пожарной безопасности и охраны труда.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shd w:val="clear" w:color="auto" w:fill="auto"/>
        <w:widowControl/>
        <w:tabs>
          <w:tab w:val="left" w:pos="426" w:leader="none"/>
        </w:tabs>
        <w:rPr>
          <w:sz w:val="24"/>
          <w:szCs w:val="24"/>
        </w:rPr>
      </w:pPr>
      <w:r>
        <w:rPr>
          <w:sz w:val="22"/>
          <w:szCs w:val="22"/>
        </w:rPr>
        <w:t xml:space="preserve">Отгрузка товара со склада Поставщика должна осуществляться силами Поставщика и за счет средств Поставщика в указанное Заказчиком место поставки.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left="0" w:right="0" w:firstLine="709"/>
        <w:jc w:val="both"/>
        <w:shd w:val="clear" w:color="auto" w:fill="auto"/>
        <w:widowControl/>
        <w:tabs>
          <w:tab w:val="left" w:pos="426" w:leader="none"/>
        </w:tabs>
        <w:rPr>
          <w:b/>
          <w:sz w:val="24"/>
          <w:szCs w:val="24"/>
        </w:rPr>
      </w:pPr>
      <w:r>
        <w:rPr>
          <w:b/>
          <w:sz w:val="22"/>
          <w:szCs w:val="22"/>
          <w:lang w:eastAsia="en-US"/>
        </w:rPr>
        <w:t xml:space="preserve">10.Другие требования.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left="0" w:right="0" w:firstLine="709"/>
        <w:jc w:val="both"/>
        <w:shd w:val="clear" w:color="auto" w:fill="auto"/>
        <w:widowControl/>
        <w:tabs>
          <w:tab w:val="left" w:pos="426" w:leader="none"/>
        </w:tabs>
        <w:rPr>
          <w:sz w:val="24"/>
          <w:szCs w:val="24"/>
        </w:rPr>
      </w:pPr>
      <w:r>
        <w:rPr>
          <w:sz w:val="22"/>
          <w:szCs w:val="22"/>
        </w:rPr>
        <w:t xml:space="preserve">В целях проверки соответ</w:t>
      </w:r>
      <w:r>
        <w:rPr>
          <w:sz w:val="22"/>
          <w:szCs w:val="22"/>
        </w:rPr>
        <w:t xml:space="preserve">ствия поставленного товара требованиям договора и, в том числе, требованиям, указанным в настоящем Техническом задании, Заказчик вправе привлекать независимых экспертов, выбор которых осуществляется в соответствии с законодательством Российской Федерации.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shd w:val="clear" w:color="auto" w:fill="auto"/>
        <w:widowControl/>
        <w:tabs>
          <w:tab w:val="left" w:pos="426" w:leader="none"/>
        </w:tabs>
        <w:rPr>
          <w:sz w:val="24"/>
          <w:szCs w:val="24"/>
        </w:rPr>
      </w:pPr>
      <w:r>
        <w:rPr>
          <w:sz w:val="22"/>
          <w:szCs w:val="22"/>
        </w:rPr>
        <w:t xml:space="preserve"> 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left="0" w:firstLine="708"/>
        <w:jc w:val="both"/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left="0" w:firstLine="708"/>
        <w:jc w:val="both"/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0"/>
        <w:spacing w:before="0" w:after="0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Начальник отдела материально-технического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0"/>
        <w:spacing w:before="0" w:after="0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обеспечения Управления                                                                           </w:t>
        <w:tab/>
        <w:t xml:space="preserve">                       М.В. Лазовская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Cs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Cs/>
          <w:sz w:val="20"/>
          <w:szCs w:val="20"/>
          <w:highlight w:val="none"/>
        </w:rPr>
        <w:t xml:space="preserve">Исп.: Ст.специалист 3 р. 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Cs/>
          <w:sz w:val="20"/>
          <w:szCs w:val="20"/>
          <w:highlight w:val="none"/>
        </w:rPr>
        <w:t xml:space="preserve">отдела</w:t>
      </w:r>
      <w:r>
        <w:rPr>
          <w:rFonts w:ascii="Times New Roman" w:hAnsi="Times New Roman" w:eastAsia="Times New Roman" w:cs="Times New Roman"/>
          <w:bCs/>
          <w:sz w:val="20"/>
          <w:szCs w:val="20"/>
          <w:highlight w:val="none"/>
        </w:rPr>
        <w:t xml:space="preserve"> МТО</w:t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Cs/>
          <w:sz w:val="20"/>
          <w:szCs w:val="20"/>
          <w:highlight w:val="none"/>
        </w:rPr>
        <w:t xml:space="preserve">Т.Е. Красева</w:t>
      </w:r>
      <w:r>
        <w:rPr>
          <w:rFonts w:ascii="Times New Roman" w:hAnsi="Times New Roman" w:cs="Times New Roman"/>
          <w:sz w:val="18"/>
          <w:szCs w:val="18"/>
          <w:highlight w:val="none"/>
        </w:rPr>
      </w:r>
      <w:r>
        <w:rPr>
          <w:rFonts w:ascii="Times New Roman" w:hAnsi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Cs/>
          <w:sz w:val="20"/>
          <w:szCs w:val="20"/>
          <w:highlight w:val="none"/>
        </w:rPr>
        <w:t xml:space="preserve">Тел.: (8391) 2-225-212, доб.212</w:t>
      </w:r>
      <w:r>
        <w:rPr>
          <w:rFonts w:ascii="Times New Roman" w:hAnsi="Times New Roman" w:cs="Times New Roman"/>
          <w:sz w:val="18"/>
          <w:szCs w:val="18"/>
          <w:highlight w:val="none"/>
        </w:rPr>
      </w:r>
      <w:r>
        <w:rPr>
          <w:rFonts w:ascii="Times New Roman" w:hAnsi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cs="Times New Roman"/>
          <w:sz w:val="18"/>
          <w:szCs w:val="18"/>
        </w:rPr>
        <w:suppressLineNumbers w:val="0"/>
      </w:pPr>
      <w:r>
        <w:rPr>
          <w:rFonts w:ascii="Times New Roman" w:hAnsi="Times New Roman" w:eastAsia="Times New Roman" w:cs="Times New Roman"/>
          <w:bCs/>
          <w:sz w:val="20"/>
          <w:szCs w:val="20"/>
          <w:highlight w:val="none"/>
        </w:rPr>
        <w:t xml:space="preserve">Эл. адрес: omto07@r24.rosreestr.ru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contextualSpacing/>
        <w:ind w:left="0" w:firstLine="708"/>
        <w:jc w:val="both"/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-426"/>
        <w:jc w:val="center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sectPr>
      <w:footerReference w:type="default" r:id="rId9"/>
      <w:footerReference w:type="first" r:id="rId10"/>
      <w:footnotePr/>
      <w:endnotePr/>
      <w:type w:val="nextPage"/>
      <w:pgSz w:w="11906" w:h="16838" w:orient="portrait"/>
      <w:pgMar w:top="437" w:right="720" w:bottom="527" w:left="720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ndale Sans UI">
    <w:panose1 w:val="02000603000000000000"/>
  </w:font>
  <w:font w:name="Symbol">
    <w:panose1 w:val="05010000000000000000"/>
  </w:font>
  <w:font w:name="Liberation Sans">
    <w:panose1 w:val="020B0604020202020204"/>
  </w:font>
  <w:font w:name="Wingdings">
    <w:panose1 w:val="05010000000000000000"/>
  </w:font>
  <w:font w:name="GaramondC">
    <w:panose1 w:val="02000603000000000000"/>
  </w:font>
  <w:font w:name="Tahoma">
    <w:panose1 w:val="020B0604030504040204"/>
  </w:font>
  <w:font w:name="Courier New">
    <w:panose1 w:val="02070309020205020404"/>
  </w:font>
  <w:font w:name="IJLCL E+ Helvetica">
    <w:panose1 w:val="02000603000000000000"/>
  </w:font>
  <w:font w:name="Calibri">
    <w:panose1 w:val="020F0502020204030204"/>
  </w:font>
  <w:font w:name="Cambria">
    <w:panose1 w:val="0204050305040603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2"/>
      <w:jc w:val="center"/>
    </w:pPr>
    <w:fldSimple w:instr="PAGE \* MERGEFORMAT">
      <w:r>
        <w:t xml:space="preserve">1</w:t>
      </w:r>
    </w:fldSimple>
    <w:r/>
    <w:r/>
  </w:p>
  <w:p>
    <w:pPr>
      <w:pStyle w:val="1022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8915846"/>
      <w:docPartObj>
        <w:docPartGallery w:val="Page Numbers (Bottom of Page)"/>
        <w:docPartUnique w:val="true"/>
      </w:docPartObj>
      <w:rPr/>
    </w:sdtPr>
    <w:sdtContent>
      <w:p>
        <w:pPr>
          <w:pStyle w:val="1022"/>
          <w:jc w:val="right"/>
        </w:pPr>
        <w:r/>
        <w:r/>
      </w:p>
    </w:sdtContent>
  </w:sdt>
  <w:p>
    <w:pPr>
      <w:pStyle w:val="102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  <w:tabs>
          <w:tab w:val="num" w:pos="502" w:leader="none"/>
        </w:tabs>
      </w:pPr>
      <w:rPr>
        <w:rFonts w:hint="default"/>
        <w:b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4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380" w:hanging="840"/>
      </w:pPr>
      <w:rPr>
        <w:rFonts w:hint="default"/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 w:ascii="Times New Roman" w:hAnsi="Times New Roman"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21" w:hanging="360"/>
        <w:tabs>
          <w:tab w:val="num" w:pos="3621" w:leader="none"/>
        </w:tabs>
      </w:pPr>
      <w:rPr>
        <w:rFonts w:cs="Times New Roman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</w:abstractNum>
  <w:abstractNum w:abstractNumId="2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14" w:hanging="504"/>
        <w:tabs>
          <w:tab w:val="num" w:pos="1430" w:leader="none"/>
        </w:tabs>
      </w:pPr>
      <w:rPr>
        <w:rFonts w:cs="Times New Roman"/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088" w:hanging="648"/>
        <w:tabs>
          <w:tab w:val="num" w:pos="216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  <w:rPr>
        <w:rFonts w:cs="Times New Roman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</w:abstractNum>
  <w:abstractNum w:abstractNumId="29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196" w:hanging="360"/>
        <w:tabs>
          <w:tab w:val="num" w:pos="3196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916" w:hanging="360"/>
        <w:tabs>
          <w:tab w:val="num" w:pos="3916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4636" w:hanging="180"/>
        <w:tabs>
          <w:tab w:val="num" w:pos="4636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5356" w:hanging="360"/>
        <w:tabs>
          <w:tab w:val="num" w:pos="5356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6076" w:hanging="360"/>
        <w:tabs>
          <w:tab w:val="num" w:pos="6076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6796" w:hanging="180"/>
        <w:tabs>
          <w:tab w:val="num" w:pos="6796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7516" w:hanging="360"/>
        <w:tabs>
          <w:tab w:val="num" w:pos="7516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8236" w:hanging="360"/>
        <w:tabs>
          <w:tab w:val="num" w:pos="8236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8956" w:hanging="180"/>
        <w:tabs>
          <w:tab w:val="num" w:pos="8956" w:leader="none"/>
        </w:tabs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32">
    <w:multiLevelType w:val="hybridMultilevel"/>
    <w:lvl w:ilvl="0">
      <w:start w:val="1"/>
      <w:numFmt w:val="decimal"/>
      <w:isLgl/>
      <w:suff w:val="tab"/>
      <w:lvlText w:val="11.%1."/>
      <w:lvlJc w:val="left"/>
      <w:pPr>
        <w:ind w:left="4298" w:hanging="720"/>
        <w:tabs>
          <w:tab w:val="num" w:pos="429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80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80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nothing"/>
      <w:lvlText w:val="%1."/>
      <w:lvlJc w:val="left"/>
      <w:pPr>
        <w:ind w:left="397" w:hanging="397"/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4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6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2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8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5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0" w:hanging="180"/>
      </w:p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5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5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0" w:hanging="180"/>
      </w:pPr>
    </w:lvl>
  </w:abstractNum>
  <w:num w:numId="1">
    <w:abstractNumId w:val="26"/>
  </w:num>
  <w:num w:numId="2">
    <w:abstractNumId w:val="7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28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8"/>
  </w:num>
  <w:num w:numId="9">
    <w:abstractNumId w:val="20"/>
  </w:num>
  <w:num w:numId="10">
    <w:abstractNumId w:val="0"/>
  </w:num>
  <w:num w:numId="11">
    <w:abstractNumId w:val="1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</w:num>
  <w:num w:numId="13">
    <w:abstractNumId w:val="16"/>
  </w:num>
  <w:num w:numId="14">
    <w:abstractNumId w:val="5"/>
  </w:num>
  <w:num w:numId="15">
    <w:abstractNumId w:val="2"/>
  </w:num>
  <w:num w:numId="16">
    <w:abstractNumId w:val="6"/>
  </w:num>
  <w:num w:numId="17">
    <w:abstractNumId w:val="30"/>
  </w:num>
  <w:num w:numId="18">
    <w:abstractNumId w:val="3"/>
  </w:num>
  <w:num w:numId="19">
    <w:abstractNumId w:val="23"/>
  </w:num>
  <w:num w:numId="20">
    <w:abstractNumId w:val="1"/>
  </w:num>
  <w:num w:numId="21">
    <w:abstractNumId w:val="9"/>
  </w:num>
  <w:num w:numId="22">
    <w:abstractNumId w:val="11"/>
  </w:num>
  <w:num w:numId="23">
    <w:abstractNumId w:val="21"/>
  </w:num>
  <w:num w:numId="24">
    <w:abstractNumId w:val="32"/>
  </w:num>
  <w:num w:numId="25">
    <w:abstractNumId w:val="14"/>
  </w:num>
  <w:num w:numId="26">
    <w:abstractNumId w:val="18"/>
  </w:num>
  <w:num w:numId="27">
    <w:abstractNumId w:val="12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5"/>
  </w:num>
  <w:num w:numId="31">
    <w:abstractNumId w:val="13"/>
  </w:num>
  <w:num w:numId="32">
    <w:abstractNumId w:val="24"/>
  </w:num>
  <w:num w:numId="33">
    <w:abstractNumId w:val="25"/>
  </w:num>
  <w:num w:numId="34">
    <w:abstractNumId w:val="27"/>
  </w:num>
  <w:num w:numId="35">
    <w:abstractNumId w:val="10"/>
  </w:num>
  <w:num w:numId="36">
    <w:abstractNumId w:val="33"/>
  </w:num>
  <w:num w:numId="37">
    <w:abstractNumId w:val="34"/>
  </w:num>
  <w:num w:numId="38">
    <w:abstractNumId w:val="35"/>
  </w:num>
  <w:num w:numId="39">
    <w:abstractNumId w:val="36"/>
  </w:num>
  <w:num w:numId="40">
    <w:abstractNumId w:val="37"/>
  </w:num>
  <w:num w:numId="41">
    <w:abstractNumId w:val="38"/>
  </w:num>
  <w:num w:numId="42">
    <w:abstractNumId w:val="39"/>
  </w:num>
  <w:num w:numId="43">
    <w:abstractNumId w:val="40"/>
  </w:num>
  <w:num w:numId="44">
    <w:abstractNumId w:val="41"/>
  </w:num>
  <w:num w:numId="45">
    <w:abstractNumId w:val="42"/>
  </w:num>
  <w:num w:numId="46">
    <w:abstractNumId w:val="43"/>
  </w:num>
  <w:num w:numId="47">
    <w:abstractNumId w:val="44"/>
  </w:num>
  <w:num w:numId="48">
    <w:abstractNumId w:val="45"/>
  </w:num>
  <w:num w:numId="49">
    <w:abstractNumId w:val="46"/>
  </w:num>
  <w:num w:numId="50">
    <w:abstractNumId w:val="47"/>
  </w:num>
  <w:num w:numId="51">
    <w:abstractNumId w:val="48"/>
  </w:num>
  <w:num w:numId="52">
    <w:abstractNumId w:val="49"/>
  </w:num>
  <w:num w:numId="53">
    <w:abstractNumId w:val="50"/>
  </w:num>
  <w:num w:numId="54">
    <w:abstractNumId w:val="51"/>
  </w:num>
  <w:num w:numId="55">
    <w:abstractNumId w:val="52"/>
  </w:num>
  <w:num w:numId="56">
    <w:abstractNumId w:val="53"/>
  </w:num>
  <w:num w:numId="57">
    <w:abstractNumId w:val="54"/>
  </w:num>
  <w:num w:numId="58">
    <w:abstractNumId w:val="55"/>
  </w:num>
  <w:num w:numId="59">
    <w:abstractNumId w:val="56"/>
  </w:num>
  <w:num w:numId="60">
    <w:abstractNumId w:val="57"/>
  </w:num>
  <w:num w:numId="61">
    <w:abstractNumId w:val="5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12">
    <w:name w:val="Heading 1 Char"/>
    <w:basedOn w:val="984"/>
    <w:link w:val="979"/>
    <w:uiPriority w:val="9"/>
    <w:rPr>
      <w:rFonts w:ascii="Arial" w:hAnsi="Arial" w:eastAsia="Arial" w:cs="Arial"/>
      <w:sz w:val="40"/>
      <w:szCs w:val="40"/>
    </w:rPr>
  </w:style>
  <w:style w:type="character" w:styleId="813">
    <w:name w:val="Heading 2 Char"/>
    <w:basedOn w:val="984"/>
    <w:link w:val="980"/>
    <w:uiPriority w:val="9"/>
    <w:rPr>
      <w:rFonts w:ascii="Arial" w:hAnsi="Arial" w:eastAsia="Arial" w:cs="Arial"/>
      <w:sz w:val="34"/>
    </w:rPr>
  </w:style>
  <w:style w:type="character" w:styleId="814">
    <w:name w:val="Heading 3 Char"/>
    <w:basedOn w:val="984"/>
    <w:link w:val="981"/>
    <w:uiPriority w:val="9"/>
    <w:rPr>
      <w:rFonts w:ascii="Arial" w:hAnsi="Arial" w:eastAsia="Arial" w:cs="Arial"/>
      <w:sz w:val="30"/>
      <w:szCs w:val="30"/>
    </w:rPr>
  </w:style>
  <w:style w:type="character" w:styleId="815">
    <w:name w:val="Heading 4 Char"/>
    <w:basedOn w:val="984"/>
    <w:link w:val="982"/>
    <w:uiPriority w:val="9"/>
    <w:rPr>
      <w:rFonts w:ascii="Arial" w:hAnsi="Arial" w:eastAsia="Arial" w:cs="Arial"/>
      <w:b/>
      <w:bCs/>
      <w:sz w:val="26"/>
      <w:szCs w:val="26"/>
    </w:rPr>
  </w:style>
  <w:style w:type="character" w:styleId="816">
    <w:name w:val="Heading 5 Char"/>
    <w:basedOn w:val="984"/>
    <w:link w:val="983"/>
    <w:uiPriority w:val="9"/>
    <w:rPr>
      <w:rFonts w:ascii="Arial" w:hAnsi="Arial" w:eastAsia="Arial" w:cs="Arial"/>
      <w:b/>
      <w:bCs/>
      <w:sz w:val="24"/>
      <w:szCs w:val="24"/>
    </w:rPr>
  </w:style>
  <w:style w:type="paragraph" w:styleId="817">
    <w:name w:val="Heading 6"/>
    <w:basedOn w:val="978"/>
    <w:next w:val="978"/>
    <w:link w:val="81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18">
    <w:name w:val="Heading 6 Char"/>
    <w:basedOn w:val="984"/>
    <w:link w:val="817"/>
    <w:uiPriority w:val="9"/>
    <w:rPr>
      <w:rFonts w:ascii="Arial" w:hAnsi="Arial" w:eastAsia="Arial" w:cs="Arial"/>
      <w:b/>
      <w:bCs/>
      <w:sz w:val="22"/>
      <w:szCs w:val="22"/>
    </w:rPr>
  </w:style>
  <w:style w:type="paragraph" w:styleId="819">
    <w:name w:val="Heading 7"/>
    <w:basedOn w:val="978"/>
    <w:next w:val="978"/>
    <w:link w:val="82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20">
    <w:name w:val="Heading 7 Char"/>
    <w:basedOn w:val="984"/>
    <w:link w:val="81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21">
    <w:name w:val="Heading 8"/>
    <w:basedOn w:val="978"/>
    <w:next w:val="978"/>
    <w:link w:val="82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22">
    <w:name w:val="Heading 8 Char"/>
    <w:basedOn w:val="984"/>
    <w:link w:val="821"/>
    <w:uiPriority w:val="9"/>
    <w:rPr>
      <w:rFonts w:ascii="Arial" w:hAnsi="Arial" w:eastAsia="Arial" w:cs="Arial"/>
      <w:i/>
      <w:iCs/>
      <w:sz w:val="22"/>
      <w:szCs w:val="22"/>
    </w:rPr>
  </w:style>
  <w:style w:type="paragraph" w:styleId="823">
    <w:name w:val="Heading 9"/>
    <w:basedOn w:val="978"/>
    <w:next w:val="978"/>
    <w:link w:val="82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24">
    <w:name w:val="Heading 9 Char"/>
    <w:basedOn w:val="984"/>
    <w:link w:val="823"/>
    <w:uiPriority w:val="9"/>
    <w:rPr>
      <w:rFonts w:ascii="Arial" w:hAnsi="Arial" w:eastAsia="Arial" w:cs="Arial"/>
      <w:i/>
      <w:iCs/>
      <w:sz w:val="21"/>
      <w:szCs w:val="21"/>
    </w:rPr>
  </w:style>
  <w:style w:type="character" w:styleId="825">
    <w:name w:val="Title Char"/>
    <w:basedOn w:val="984"/>
    <w:link w:val="1010"/>
    <w:uiPriority w:val="10"/>
    <w:rPr>
      <w:sz w:val="48"/>
      <w:szCs w:val="48"/>
    </w:rPr>
  </w:style>
  <w:style w:type="paragraph" w:styleId="826">
    <w:name w:val="Subtitle"/>
    <w:basedOn w:val="978"/>
    <w:next w:val="978"/>
    <w:link w:val="827"/>
    <w:uiPriority w:val="11"/>
    <w:qFormat/>
    <w:pPr>
      <w:spacing w:before="200" w:after="200"/>
    </w:pPr>
    <w:rPr>
      <w:sz w:val="24"/>
      <w:szCs w:val="24"/>
    </w:rPr>
  </w:style>
  <w:style w:type="character" w:styleId="827">
    <w:name w:val="Subtitle Char"/>
    <w:basedOn w:val="984"/>
    <w:link w:val="826"/>
    <w:uiPriority w:val="11"/>
    <w:rPr>
      <w:sz w:val="24"/>
      <w:szCs w:val="24"/>
    </w:rPr>
  </w:style>
  <w:style w:type="paragraph" w:styleId="828">
    <w:name w:val="Quote"/>
    <w:basedOn w:val="978"/>
    <w:next w:val="978"/>
    <w:link w:val="829"/>
    <w:uiPriority w:val="29"/>
    <w:qFormat/>
    <w:pPr>
      <w:ind w:left="720" w:right="720"/>
    </w:pPr>
    <w:rPr>
      <w:i/>
    </w:rPr>
  </w:style>
  <w:style w:type="character" w:styleId="829">
    <w:name w:val="Quote Char"/>
    <w:link w:val="828"/>
    <w:uiPriority w:val="29"/>
    <w:rPr>
      <w:i/>
    </w:rPr>
  </w:style>
  <w:style w:type="paragraph" w:styleId="830">
    <w:name w:val="Intense Quote"/>
    <w:basedOn w:val="978"/>
    <w:next w:val="978"/>
    <w:link w:val="83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31">
    <w:name w:val="Intense Quote Char"/>
    <w:link w:val="830"/>
    <w:uiPriority w:val="30"/>
    <w:rPr>
      <w:i/>
    </w:rPr>
  </w:style>
  <w:style w:type="character" w:styleId="832">
    <w:name w:val="Header Char"/>
    <w:basedOn w:val="984"/>
    <w:link w:val="1020"/>
    <w:uiPriority w:val="99"/>
  </w:style>
  <w:style w:type="character" w:styleId="833">
    <w:name w:val="Footer Char"/>
    <w:basedOn w:val="984"/>
    <w:link w:val="1022"/>
    <w:uiPriority w:val="99"/>
  </w:style>
  <w:style w:type="paragraph" w:styleId="834">
    <w:name w:val="Caption"/>
    <w:basedOn w:val="978"/>
    <w:next w:val="978"/>
    <w:link w:val="83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35">
    <w:name w:val="Caption Char"/>
    <w:basedOn w:val="834"/>
    <w:link w:val="1022"/>
    <w:uiPriority w:val="35"/>
  </w:style>
  <w:style w:type="table" w:styleId="836">
    <w:name w:val="Table Grid Light"/>
    <w:basedOn w:val="98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7">
    <w:name w:val="Plain Table 1"/>
    <w:basedOn w:val="98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8">
    <w:name w:val="Plain Table 2"/>
    <w:basedOn w:val="98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9">
    <w:name w:val="Plain Table 3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40">
    <w:name w:val="Plain Table 4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Plain Table 5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42">
    <w:name w:val="Grid Table 1 Light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Grid Table 1 Light - Accent 1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Grid Table 1 Light - Accent 2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Grid Table 1 Light - Accent 3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Grid Table 1 Light - Accent 4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Grid Table 1 Light - Accent 5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Grid Table 1 Light - Accent 6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Grid Table 2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2 - Accent 1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2 - Accent 2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2 - Accent 3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2 - Accent 4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2 - Accent 5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2 - Accent 6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3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3 - Accent 1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3 - Accent 2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3 - Accent 3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3 - Accent 4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3 - Accent 5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3 - Accent 6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4"/>
    <w:basedOn w:val="9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64">
    <w:name w:val="Grid Table 4 - Accent 1"/>
    <w:basedOn w:val="9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65">
    <w:name w:val="Grid Table 4 - Accent 2"/>
    <w:basedOn w:val="9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66">
    <w:name w:val="Grid Table 4 - Accent 3"/>
    <w:basedOn w:val="9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67">
    <w:name w:val="Grid Table 4 - Accent 4"/>
    <w:basedOn w:val="9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68">
    <w:name w:val="Grid Table 4 - Accent 5"/>
    <w:basedOn w:val="9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69">
    <w:name w:val="Grid Table 4 - Accent 6"/>
    <w:basedOn w:val="9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70">
    <w:name w:val="Grid Table 5 Dark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71">
    <w:name w:val="Grid Table 5 Dark- Accent 1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72">
    <w:name w:val="Grid Table 5 Dark - Accent 2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3">
    <w:name w:val="Grid Table 5 Dark - Accent 3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4">
    <w:name w:val="Grid Table 5 Dark- Accent 4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5">
    <w:name w:val="Grid Table 5 Dark - Accent 5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6">
    <w:name w:val="Grid Table 5 Dark - Accent 6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77">
    <w:name w:val="Grid Table 6 Colorful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78">
    <w:name w:val="Grid Table 6 Colorful - Accent 1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79">
    <w:name w:val="Grid Table 6 Colorful - Accent 2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80">
    <w:name w:val="Grid Table 6 Colorful - Accent 3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81">
    <w:name w:val="Grid Table 6 Colorful - Accent 4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82">
    <w:name w:val="Grid Table 6 Colorful - Accent 5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83">
    <w:name w:val="Grid Table 6 Colorful - Accent 6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84">
    <w:name w:val="Grid Table 7 Colorful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Grid Table 7 Colorful - Accent 1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Grid Table 7 Colorful - Accent 2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Grid Table 7 Colorful - Accent 3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Grid Table 7 Colorful - Accent 4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Grid Table 7 Colorful - Accent 5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Grid Table 7 Colorful - Accent 6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List Table 1 Light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List Table 1 Light - Accent 1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List Table 1 Light - Accent 2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List Table 1 Light - Accent 3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List Table 1 Light - Accent 4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List Table 1 Light - Accent 5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List Table 1 Light - Accent 6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>
    <w:name w:val="List Table 2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99">
    <w:name w:val="List Table 2 - Accent 1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00">
    <w:name w:val="List Table 2 - Accent 2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01">
    <w:name w:val="List Table 2 - Accent 3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02">
    <w:name w:val="List Table 2 - Accent 4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03">
    <w:name w:val="List Table 2 - Accent 5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04">
    <w:name w:val="List Table 2 - Accent 6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05">
    <w:name w:val="List Table 3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>
    <w:name w:val="List Table 3 - Accent 1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>
    <w:name w:val="List Table 3 - Accent 2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>
    <w:name w:val="List Table 3 - Accent 3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>
    <w:name w:val="List Table 3 - Accent 4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>
    <w:name w:val="List Table 3 - Accent 5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>
    <w:name w:val="List Table 3 - Accent 6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>
    <w:name w:val="List Table 4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3">
    <w:name w:val="List Table 4 - Accent 1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>
    <w:name w:val="List Table 4 - Accent 2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5">
    <w:name w:val="List Table 4 - Accent 3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6">
    <w:name w:val="List Table 4 - Accent 4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>
    <w:name w:val="List Table 4 - Accent 5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>
    <w:name w:val="List Table 4 - Accent 6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>
    <w:name w:val="List Table 5 Dark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0">
    <w:name w:val="List Table 5 Dark - Accent 1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1">
    <w:name w:val="List Table 5 Dark - Accent 2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2">
    <w:name w:val="List Table 5 Dark - Accent 3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3">
    <w:name w:val="List Table 5 Dark - Accent 4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4">
    <w:name w:val="List Table 5 Dark - Accent 5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5">
    <w:name w:val="List Table 5 Dark - Accent 6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6">
    <w:name w:val="List Table 6 Colorful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27">
    <w:name w:val="List Table 6 Colorful - Accent 1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28">
    <w:name w:val="List Table 6 Colorful - Accent 2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29">
    <w:name w:val="List Table 6 Colorful - Accent 3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30">
    <w:name w:val="List Table 6 Colorful - Accent 4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31">
    <w:name w:val="List Table 6 Colorful - Accent 5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32">
    <w:name w:val="List Table 6 Colorful - Accent 6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33">
    <w:name w:val="List Table 7 Colorful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34">
    <w:name w:val="List Table 7 Colorful - Accent 1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35">
    <w:name w:val="List Table 7 Colorful - Accent 2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36">
    <w:name w:val="List Table 7 Colorful - Accent 3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37">
    <w:name w:val="List Table 7 Colorful - Accent 4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38">
    <w:name w:val="List Table 7 Colorful - Accent 5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39">
    <w:name w:val="List Table 7 Colorful - Accent 6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40">
    <w:name w:val="Lined - Accent"/>
    <w:basedOn w:val="9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41">
    <w:name w:val="Lined - Accent 1"/>
    <w:basedOn w:val="9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42">
    <w:name w:val="Lined - Accent 2"/>
    <w:basedOn w:val="9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43">
    <w:name w:val="Lined - Accent 3"/>
    <w:basedOn w:val="9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44">
    <w:name w:val="Lined - Accent 4"/>
    <w:basedOn w:val="9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45">
    <w:name w:val="Lined - Accent 5"/>
    <w:basedOn w:val="9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46">
    <w:name w:val="Lined - Accent 6"/>
    <w:basedOn w:val="9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47">
    <w:name w:val="Bordered &amp; Lined - Accent"/>
    <w:basedOn w:val="9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48">
    <w:name w:val="Bordered &amp; Lined - Accent 1"/>
    <w:basedOn w:val="9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49">
    <w:name w:val="Bordered &amp; Lined - Accent 2"/>
    <w:basedOn w:val="9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50">
    <w:name w:val="Bordered &amp; Lined - Accent 3"/>
    <w:basedOn w:val="9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51">
    <w:name w:val="Bordered &amp; Lined - Accent 4"/>
    <w:basedOn w:val="9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52">
    <w:name w:val="Bordered &amp; Lined - Accent 5"/>
    <w:basedOn w:val="9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53">
    <w:name w:val="Bordered &amp; Lined - Accent 6"/>
    <w:basedOn w:val="9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54">
    <w:name w:val="Bordered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55">
    <w:name w:val="Bordered - Accent 1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56">
    <w:name w:val="Bordered - Accent 2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57">
    <w:name w:val="Bordered - Accent 3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58">
    <w:name w:val="Bordered - Accent 4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59">
    <w:name w:val="Bordered - Accent 5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60">
    <w:name w:val="Bordered - Accent 6"/>
    <w:basedOn w:val="9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61">
    <w:name w:val="footnote text"/>
    <w:basedOn w:val="978"/>
    <w:link w:val="962"/>
    <w:uiPriority w:val="99"/>
    <w:semiHidden/>
    <w:unhideWhenUsed/>
    <w:pPr>
      <w:spacing w:after="40" w:line="240" w:lineRule="auto"/>
    </w:pPr>
    <w:rPr>
      <w:sz w:val="18"/>
    </w:rPr>
  </w:style>
  <w:style w:type="character" w:styleId="962">
    <w:name w:val="Footnote Text Char"/>
    <w:link w:val="961"/>
    <w:uiPriority w:val="99"/>
    <w:rPr>
      <w:sz w:val="18"/>
    </w:rPr>
  </w:style>
  <w:style w:type="character" w:styleId="963">
    <w:name w:val="footnote reference"/>
    <w:basedOn w:val="984"/>
    <w:uiPriority w:val="99"/>
    <w:unhideWhenUsed/>
    <w:rPr>
      <w:vertAlign w:val="superscript"/>
    </w:rPr>
  </w:style>
  <w:style w:type="paragraph" w:styleId="964">
    <w:name w:val="endnote text"/>
    <w:basedOn w:val="978"/>
    <w:link w:val="965"/>
    <w:uiPriority w:val="99"/>
    <w:semiHidden/>
    <w:unhideWhenUsed/>
    <w:pPr>
      <w:spacing w:after="0" w:line="240" w:lineRule="auto"/>
    </w:pPr>
    <w:rPr>
      <w:sz w:val="20"/>
    </w:rPr>
  </w:style>
  <w:style w:type="character" w:styleId="965">
    <w:name w:val="Endnote Text Char"/>
    <w:link w:val="964"/>
    <w:uiPriority w:val="99"/>
    <w:rPr>
      <w:sz w:val="20"/>
    </w:rPr>
  </w:style>
  <w:style w:type="character" w:styleId="966">
    <w:name w:val="endnote reference"/>
    <w:basedOn w:val="984"/>
    <w:uiPriority w:val="99"/>
    <w:semiHidden/>
    <w:unhideWhenUsed/>
    <w:rPr>
      <w:vertAlign w:val="superscript"/>
    </w:rPr>
  </w:style>
  <w:style w:type="paragraph" w:styleId="967">
    <w:name w:val="toc 1"/>
    <w:basedOn w:val="978"/>
    <w:next w:val="978"/>
    <w:uiPriority w:val="39"/>
    <w:unhideWhenUsed/>
    <w:pPr>
      <w:ind w:left="0" w:right="0" w:firstLine="0"/>
      <w:spacing w:after="57"/>
    </w:pPr>
  </w:style>
  <w:style w:type="paragraph" w:styleId="968">
    <w:name w:val="toc 2"/>
    <w:basedOn w:val="978"/>
    <w:next w:val="978"/>
    <w:uiPriority w:val="39"/>
    <w:unhideWhenUsed/>
    <w:pPr>
      <w:ind w:left="283" w:right="0" w:firstLine="0"/>
      <w:spacing w:after="57"/>
    </w:pPr>
  </w:style>
  <w:style w:type="paragraph" w:styleId="969">
    <w:name w:val="toc 3"/>
    <w:basedOn w:val="978"/>
    <w:next w:val="978"/>
    <w:uiPriority w:val="39"/>
    <w:unhideWhenUsed/>
    <w:pPr>
      <w:ind w:left="567" w:right="0" w:firstLine="0"/>
      <w:spacing w:after="57"/>
    </w:pPr>
  </w:style>
  <w:style w:type="paragraph" w:styleId="970">
    <w:name w:val="toc 4"/>
    <w:basedOn w:val="978"/>
    <w:next w:val="978"/>
    <w:uiPriority w:val="39"/>
    <w:unhideWhenUsed/>
    <w:pPr>
      <w:ind w:left="850" w:right="0" w:firstLine="0"/>
      <w:spacing w:after="57"/>
    </w:pPr>
  </w:style>
  <w:style w:type="paragraph" w:styleId="971">
    <w:name w:val="toc 5"/>
    <w:basedOn w:val="978"/>
    <w:next w:val="978"/>
    <w:uiPriority w:val="39"/>
    <w:unhideWhenUsed/>
    <w:pPr>
      <w:ind w:left="1134" w:right="0" w:firstLine="0"/>
      <w:spacing w:after="57"/>
    </w:pPr>
  </w:style>
  <w:style w:type="paragraph" w:styleId="972">
    <w:name w:val="toc 6"/>
    <w:basedOn w:val="978"/>
    <w:next w:val="978"/>
    <w:uiPriority w:val="39"/>
    <w:unhideWhenUsed/>
    <w:pPr>
      <w:ind w:left="1417" w:right="0" w:firstLine="0"/>
      <w:spacing w:after="57"/>
    </w:pPr>
  </w:style>
  <w:style w:type="paragraph" w:styleId="973">
    <w:name w:val="toc 7"/>
    <w:basedOn w:val="978"/>
    <w:next w:val="978"/>
    <w:uiPriority w:val="39"/>
    <w:unhideWhenUsed/>
    <w:pPr>
      <w:ind w:left="1701" w:right="0" w:firstLine="0"/>
      <w:spacing w:after="57"/>
    </w:pPr>
  </w:style>
  <w:style w:type="paragraph" w:styleId="974">
    <w:name w:val="toc 8"/>
    <w:basedOn w:val="978"/>
    <w:next w:val="978"/>
    <w:uiPriority w:val="39"/>
    <w:unhideWhenUsed/>
    <w:pPr>
      <w:ind w:left="1984" w:right="0" w:firstLine="0"/>
      <w:spacing w:after="57"/>
    </w:pPr>
  </w:style>
  <w:style w:type="paragraph" w:styleId="975">
    <w:name w:val="toc 9"/>
    <w:basedOn w:val="978"/>
    <w:next w:val="978"/>
    <w:uiPriority w:val="39"/>
    <w:unhideWhenUsed/>
    <w:pPr>
      <w:ind w:left="2268" w:right="0" w:firstLine="0"/>
      <w:spacing w:after="57"/>
    </w:pPr>
  </w:style>
  <w:style w:type="paragraph" w:styleId="976">
    <w:name w:val="TOC Heading"/>
    <w:uiPriority w:val="39"/>
    <w:unhideWhenUsed/>
  </w:style>
  <w:style w:type="paragraph" w:styleId="977">
    <w:name w:val="table of figures"/>
    <w:basedOn w:val="978"/>
    <w:next w:val="978"/>
    <w:uiPriority w:val="99"/>
    <w:unhideWhenUsed/>
    <w:pPr>
      <w:spacing w:after="0" w:afterAutospacing="0"/>
    </w:pPr>
  </w:style>
  <w:style w:type="paragraph" w:styleId="978" w:default="1">
    <w:name w:val="Normal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79">
    <w:name w:val="Heading 1"/>
    <w:basedOn w:val="978"/>
    <w:next w:val="978"/>
    <w:link w:val="987"/>
    <w:uiPriority w:val="9"/>
    <w:qFormat/>
    <w:pPr>
      <w:keepLines/>
      <w:keepNext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980">
    <w:name w:val="Heading 2"/>
    <w:basedOn w:val="978"/>
    <w:next w:val="978"/>
    <w:link w:val="988"/>
    <w:uiPriority w:val="9"/>
    <w:semiHidden/>
    <w:unhideWhenUsed/>
    <w:qFormat/>
    <w:pPr>
      <w:keepLines/>
      <w:keepNext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981">
    <w:name w:val="Heading 3"/>
    <w:basedOn w:val="978"/>
    <w:next w:val="978"/>
    <w:link w:val="989"/>
    <w:uiPriority w:val="9"/>
    <w:qFormat/>
    <w:pPr>
      <w:keepNext/>
      <w:spacing w:before="240" w:after="60" w:line="276" w:lineRule="auto"/>
      <w:widowControl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982">
    <w:name w:val="Heading 4"/>
    <w:basedOn w:val="978"/>
    <w:next w:val="978"/>
    <w:link w:val="990"/>
    <w:uiPriority w:val="9"/>
    <w:semiHidden/>
    <w:unhideWhenUsed/>
    <w:qFormat/>
    <w:pPr>
      <w:keepLines/>
      <w:keepNext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983">
    <w:name w:val="Heading 5"/>
    <w:basedOn w:val="978"/>
    <w:next w:val="978"/>
    <w:link w:val="991"/>
    <w:uiPriority w:val="9"/>
    <w:qFormat/>
    <w:pPr>
      <w:spacing w:before="240" w:after="60" w:line="276" w:lineRule="auto"/>
      <w:widowControl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styleId="984" w:default="1">
    <w:name w:val="Default Paragraph Font"/>
    <w:uiPriority w:val="1"/>
    <w:semiHidden/>
    <w:unhideWhenUsed/>
  </w:style>
  <w:style w:type="table" w:styleId="98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86" w:default="1">
    <w:name w:val="No List"/>
    <w:uiPriority w:val="99"/>
    <w:semiHidden/>
    <w:unhideWhenUsed/>
  </w:style>
  <w:style w:type="character" w:styleId="987" w:customStyle="1">
    <w:name w:val="Заголовок 1 Знак"/>
    <w:basedOn w:val="984"/>
    <w:link w:val="979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988" w:customStyle="1">
    <w:name w:val="Заголовок 2 Знак"/>
    <w:basedOn w:val="984"/>
    <w:link w:val="980"/>
    <w:uiPriority w:val="9"/>
    <w:semiHidden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</w:rPr>
  </w:style>
  <w:style w:type="character" w:styleId="989" w:customStyle="1">
    <w:name w:val="Заголовок 3 Знак"/>
    <w:basedOn w:val="984"/>
    <w:link w:val="981"/>
    <w:rPr>
      <w:rFonts w:ascii="Cambria" w:hAnsi="Cambria" w:eastAsia="Times New Roman" w:cs="Times New Roman"/>
      <w:b/>
      <w:bCs/>
      <w:sz w:val="26"/>
      <w:szCs w:val="26"/>
    </w:rPr>
  </w:style>
  <w:style w:type="character" w:styleId="990" w:customStyle="1">
    <w:name w:val="Заголовок 4 Знак"/>
    <w:basedOn w:val="984"/>
    <w:link w:val="982"/>
    <w:uiPriority w:val="9"/>
    <w:semiHidden/>
    <w:rPr>
      <w:rFonts w:asciiTheme="majorHAnsi" w:hAnsiTheme="majorHAnsi" w:eastAsiaTheme="majorEastAsia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styleId="991" w:customStyle="1">
    <w:name w:val="Заголовок 5 Знак"/>
    <w:basedOn w:val="984"/>
    <w:link w:val="983"/>
    <w:rPr>
      <w:rFonts w:ascii="Calibri" w:hAnsi="Calibri" w:eastAsia="Times New Roman" w:cs="Times New Roman"/>
      <w:b/>
      <w:bCs/>
      <w:i/>
      <w:iCs/>
      <w:sz w:val="26"/>
      <w:szCs w:val="26"/>
    </w:rPr>
  </w:style>
  <w:style w:type="paragraph" w:styleId="992" w:customStyle="1">
    <w:name w:val="ConsPlusNormal"/>
    <w:link w:val="993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character" w:styleId="993" w:customStyle="1">
    <w:name w:val="ConsPlusNormal Знак"/>
    <w:basedOn w:val="984"/>
    <w:link w:val="992"/>
    <w:rPr>
      <w:rFonts w:ascii="Arial" w:hAnsi="Arial" w:eastAsia="Times New Roman" w:cs="Arial"/>
      <w:sz w:val="20"/>
      <w:szCs w:val="20"/>
      <w:lang w:eastAsia="ru-RU"/>
    </w:rPr>
  </w:style>
  <w:style w:type="paragraph" w:styleId="994">
    <w:name w:val="Body Text 2"/>
    <w:basedOn w:val="978"/>
    <w:link w:val="995"/>
    <w:pPr>
      <w:spacing w:after="120" w:line="480" w:lineRule="auto"/>
      <w:widowControl/>
    </w:pPr>
    <w:rPr>
      <w:rFonts w:ascii="Calibri" w:hAnsi="Calibri" w:eastAsia="Calibri"/>
      <w:sz w:val="22"/>
      <w:szCs w:val="22"/>
    </w:rPr>
  </w:style>
  <w:style w:type="character" w:styleId="995" w:customStyle="1">
    <w:name w:val="Основной текст 2 Знак"/>
    <w:basedOn w:val="984"/>
    <w:link w:val="994"/>
    <w:rPr>
      <w:rFonts w:ascii="Calibri" w:hAnsi="Calibri" w:eastAsia="Calibri" w:cs="Times New Roman"/>
      <w:lang w:eastAsia="ru-RU"/>
    </w:rPr>
  </w:style>
  <w:style w:type="paragraph" w:styleId="996" w:customStyle="1">
    <w:name w:val="Default"/>
    <w:pPr>
      <w:spacing w:after="0" w:line="240" w:lineRule="auto"/>
    </w:pPr>
    <w:rPr>
      <w:rFonts w:ascii="IJLCL E+ Helvetica" w:hAnsi="IJLCL E+ Helvetica" w:eastAsia="Times New Roman" w:cs="IJLCL E+ Helvetica"/>
      <w:color w:val="000000"/>
      <w:sz w:val="24"/>
      <w:szCs w:val="24"/>
      <w:lang w:eastAsia="ru-RU"/>
    </w:rPr>
  </w:style>
  <w:style w:type="character" w:styleId="997" w:customStyle="1">
    <w:name w:val="Заголовок №1_"/>
    <w:link w:val="998"/>
    <w:rPr>
      <w:sz w:val="51"/>
      <w:shd w:val="clear" w:color="auto" w:fill="ffffff"/>
    </w:rPr>
  </w:style>
  <w:style w:type="paragraph" w:styleId="998" w:customStyle="1">
    <w:name w:val="Заголовок №1"/>
    <w:basedOn w:val="978"/>
    <w:link w:val="997"/>
    <w:pPr>
      <w:jc w:val="center"/>
      <w:spacing w:before="3720" w:after="240" w:line="240" w:lineRule="atLeast"/>
      <w:shd w:val="clear" w:color="auto" w:fill="ffffff"/>
      <w:widowControl/>
      <w:outlineLvl w:val="0"/>
    </w:pPr>
    <w:rPr>
      <w:rFonts w:asciiTheme="minorHAnsi" w:hAnsiTheme="minorHAnsi" w:eastAsiaTheme="minorHAnsi" w:cstheme="minorBidi"/>
      <w:sz w:val="51"/>
      <w:szCs w:val="22"/>
      <w:shd w:val="clear" w:color="auto" w:fill="ffffff"/>
      <w:lang w:eastAsia="en-US"/>
    </w:rPr>
  </w:style>
  <w:style w:type="paragraph" w:styleId="999" w:customStyle="1">
    <w:name w:val="ConsPlusNonformat"/>
    <w:pPr>
      <w:spacing w:after="0" w:line="240" w:lineRule="auto"/>
      <w:widowControl w:val="off"/>
    </w:pPr>
    <w:rPr>
      <w:rFonts w:ascii="Courier New" w:hAnsi="Courier New" w:eastAsia="Calibri" w:cs="Courier New"/>
      <w:sz w:val="20"/>
      <w:szCs w:val="20"/>
      <w:lang w:eastAsia="ru-RU"/>
    </w:rPr>
  </w:style>
  <w:style w:type="paragraph" w:styleId="1000" w:customStyle="1">
    <w:name w:val="Абзац списка1"/>
    <w:basedOn w:val="978"/>
    <w:pPr>
      <w:contextualSpacing/>
      <w:ind w:left="720"/>
      <w:spacing w:after="200" w:line="276" w:lineRule="auto"/>
      <w:widowControl/>
    </w:pPr>
    <w:rPr>
      <w:rFonts w:ascii="Calibri" w:hAnsi="Calibri"/>
      <w:sz w:val="22"/>
      <w:szCs w:val="22"/>
      <w:lang w:eastAsia="en-US"/>
    </w:rPr>
  </w:style>
  <w:style w:type="paragraph" w:styleId="1001">
    <w:name w:val="Body Text Indent 2"/>
    <w:basedOn w:val="978"/>
    <w:link w:val="1002"/>
    <w:pPr>
      <w:ind w:left="283"/>
      <w:spacing w:after="120" w:line="480" w:lineRule="auto"/>
      <w:widowControl/>
    </w:pPr>
    <w:rPr>
      <w:rFonts w:ascii="Calibri" w:hAnsi="Calibri"/>
      <w:sz w:val="22"/>
      <w:szCs w:val="22"/>
      <w:lang w:eastAsia="en-US"/>
    </w:rPr>
  </w:style>
  <w:style w:type="character" w:styleId="1002" w:customStyle="1">
    <w:name w:val="Основной текст с отступом 2 Знак"/>
    <w:basedOn w:val="984"/>
    <w:link w:val="1001"/>
    <w:rPr>
      <w:rFonts w:ascii="Calibri" w:hAnsi="Calibri" w:eastAsia="Times New Roman" w:cs="Times New Roman"/>
    </w:rPr>
  </w:style>
  <w:style w:type="paragraph" w:styleId="1003">
    <w:name w:val="Body Text Indent"/>
    <w:basedOn w:val="978"/>
    <w:link w:val="1004"/>
    <w:semiHidden/>
    <w:pPr>
      <w:ind w:left="283"/>
      <w:spacing w:after="120" w:line="276" w:lineRule="auto"/>
      <w:widowControl/>
    </w:pPr>
    <w:rPr>
      <w:rFonts w:ascii="Calibri" w:hAnsi="Calibri"/>
      <w:sz w:val="22"/>
      <w:szCs w:val="22"/>
      <w:lang w:eastAsia="en-US"/>
    </w:rPr>
  </w:style>
  <w:style w:type="character" w:styleId="1004" w:customStyle="1">
    <w:name w:val="Основной текст с отступом Знак"/>
    <w:basedOn w:val="984"/>
    <w:link w:val="1003"/>
    <w:semiHidden/>
    <w:rPr>
      <w:rFonts w:ascii="Calibri" w:hAnsi="Calibri" w:eastAsia="Times New Roman" w:cs="Times New Roman"/>
    </w:rPr>
  </w:style>
  <w:style w:type="paragraph" w:styleId="1005" w:customStyle="1">
    <w:name w:val="Normal1"/>
    <w:pPr>
      <w:spacing w:after="0" w:line="240" w:lineRule="auto"/>
    </w:pPr>
    <w:rPr>
      <w:rFonts w:ascii="Arial" w:hAnsi="Arial" w:eastAsia="Calibri" w:cs="Times New Roman"/>
      <w:sz w:val="20"/>
      <w:szCs w:val="20"/>
      <w:lang w:eastAsia="ru-RU"/>
    </w:rPr>
  </w:style>
  <w:style w:type="paragraph" w:styleId="1006" w:customStyle="1">
    <w:name w:val="Обычный + 12 пт"/>
    <w:basedOn w:val="978"/>
    <w:link w:val="1007"/>
    <w:pPr>
      <w:ind w:right="118"/>
      <w:jc w:val="both"/>
      <w:shd w:val="clear" w:color="auto" w:fill="ffffff"/>
      <w:widowControl/>
      <w:tabs>
        <w:tab w:val="left" w:pos="701" w:leader="none"/>
      </w:tabs>
    </w:pPr>
    <w:rPr>
      <w:b/>
      <w:sz w:val="24"/>
      <w:szCs w:val="24"/>
    </w:rPr>
  </w:style>
  <w:style w:type="character" w:styleId="1007" w:customStyle="1">
    <w:name w:val="Обычный + 12 пт Знак"/>
    <w:basedOn w:val="984"/>
    <w:link w:val="1006"/>
    <w:rPr>
      <w:rFonts w:ascii="Times New Roman" w:hAnsi="Times New Roman" w:eastAsia="Times New Roman" w:cs="Times New Roman"/>
      <w:b/>
      <w:sz w:val="24"/>
      <w:szCs w:val="24"/>
      <w:shd w:val="clear" w:color="auto" w:fill="ffffff"/>
      <w:lang w:eastAsia="ru-RU"/>
    </w:rPr>
  </w:style>
  <w:style w:type="paragraph" w:styleId="1008">
    <w:name w:val="Body Text"/>
    <w:basedOn w:val="978"/>
    <w:link w:val="1009"/>
    <w:pPr>
      <w:spacing w:after="120" w:line="276" w:lineRule="auto"/>
      <w:widowControl/>
    </w:pPr>
    <w:rPr>
      <w:rFonts w:ascii="Calibri" w:hAnsi="Calibri"/>
      <w:sz w:val="22"/>
      <w:szCs w:val="22"/>
      <w:lang w:eastAsia="en-US"/>
    </w:rPr>
  </w:style>
  <w:style w:type="character" w:styleId="1009" w:customStyle="1">
    <w:name w:val="Основной текст Знак"/>
    <w:basedOn w:val="984"/>
    <w:link w:val="1008"/>
    <w:uiPriority w:val="99"/>
    <w:rPr>
      <w:rFonts w:ascii="Calibri" w:hAnsi="Calibri" w:eastAsia="Times New Roman" w:cs="Times New Roman"/>
    </w:rPr>
  </w:style>
  <w:style w:type="paragraph" w:styleId="1010">
    <w:name w:val="Title"/>
    <w:basedOn w:val="978"/>
    <w:link w:val="1011"/>
    <w:uiPriority w:val="10"/>
    <w:qFormat/>
    <w:pPr>
      <w:jc w:val="center"/>
      <w:spacing w:before="240" w:after="60"/>
      <w:widowControl/>
      <w:outlineLvl w:val="0"/>
    </w:pPr>
    <w:rPr>
      <w:rFonts w:ascii="Arial" w:hAnsi="Arial"/>
      <w:b/>
      <w:sz w:val="32"/>
      <w:lang w:eastAsia="en-US"/>
    </w:rPr>
  </w:style>
  <w:style w:type="character" w:styleId="1011" w:customStyle="1">
    <w:name w:val="Название Знак"/>
    <w:basedOn w:val="984"/>
    <w:link w:val="1010"/>
    <w:rPr>
      <w:rFonts w:ascii="Arial" w:hAnsi="Arial" w:eastAsia="Times New Roman" w:cs="Times New Roman"/>
      <w:b/>
      <w:sz w:val="32"/>
      <w:szCs w:val="20"/>
    </w:rPr>
  </w:style>
  <w:style w:type="paragraph" w:styleId="1012">
    <w:name w:val="Balloon Text"/>
    <w:basedOn w:val="978"/>
    <w:link w:val="1013"/>
    <w:uiPriority w:val="99"/>
    <w:semiHidden/>
    <w:unhideWhenUsed/>
    <w:rPr>
      <w:rFonts w:ascii="Tahoma" w:hAnsi="Tahoma" w:cs="Tahoma"/>
      <w:sz w:val="16"/>
      <w:szCs w:val="16"/>
    </w:rPr>
  </w:style>
  <w:style w:type="character" w:styleId="1013" w:customStyle="1">
    <w:name w:val="Текст выноски Знак"/>
    <w:basedOn w:val="984"/>
    <w:link w:val="1012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1014" w:customStyle="1">
    <w:name w:val="ConsNormal"/>
    <w:link w:val="1015"/>
    <w:pPr>
      <w:ind w:right="19772" w:firstLine="720"/>
      <w:spacing w:after="0" w:line="240" w:lineRule="auto"/>
      <w:widowControl w:val="off"/>
    </w:pPr>
    <w:rPr>
      <w:rFonts w:ascii="Arial" w:hAnsi="Arial" w:eastAsia="Calibri" w:cs="Arial"/>
      <w:sz w:val="16"/>
      <w:szCs w:val="16"/>
      <w:lang w:eastAsia="ru-RU"/>
    </w:rPr>
  </w:style>
  <w:style w:type="character" w:styleId="1015" w:customStyle="1">
    <w:name w:val="ConsNormal Знак"/>
    <w:link w:val="1014"/>
    <w:rPr>
      <w:rFonts w:ascii="Arial" w:hAnsi="Arial" w:eastAsia="Calibri" w:cs="Arial"/>
      <w:sz w:val="16"/>
      <w:szCs w:val="16"/>
      <w:lang w:eastAsia="ru-RU"/>
    </w:rPr>
  </w:style>
  <w:style w:type="character" w:styleId="1016">
    <w:name w:val="Hyperlink"/>
    <w:basedOn w:val="984"/>
    <w:uiPriority w:val="99"/>
    <w:unhideWhenUsed/>
    <w:rPr>
      <w:color w:val="0000ff" w:themeColor="hyperlink"/>
      <w:u w:val="single"/>
    </w:rPr>
  </w:style>
  <w:style w:type="paragraph" w:styleId="1017" w:customStyle="1">
    <w:name w:val="Абзац списка2"/>
    <w:basedOn w:val="978"/>
    <w:pPr>
      <w:contextualSpacing/>
      <w:ind w:left="720"/>
      <w:spacing w:after="200" w:line="276" w:lineRule="auto"/>
      <w:widowControl/>
    </w:pPr>
    <w:rPr>
      <w:rFonts w:ascii="Calibri" w:hAnsi="Calibri"/>
      <w:sz w:val="22"/>
      <w:szCs w:val="22"/>
      <w:lang w:eastAsia="en-US"/>
    </w:rPr>
  </w:style>
  <w:style w:type="paragraph" w:styleId="1018" w:customStyle="1">
    <w:name w:val="Style6"/>
    <w:basedOn w:val="978"/>
    <w:pPr>
      <w:jc w:val="both"/>
      <w:spacing w:line="258" w:lineRule="exact"/>
    </w:pPr>
    <w:rPr>
      <w:rFonts w:eastAsia="Calibri"/>
      <w:sz w:val="24"/>
      <w:szCs w:val="24"/>
    </w:rPr>
  </w:style>
  <w:style w:type="paragraph" w:styleId="1019">
    <w:name w:val="List Paragraph"/>
    <w:basedOn w:val="978"/>
    <w:uiPriority w:val="34"/>
    <w:qFormat/>
    <w:pPr>
      <w:contextualSpacing/>
      <w:ind w:left="720"/>
    </w:pPr>
  </w:style>
  <w:style w:type="paragraph" w:styleId="1020">
    <w:name w:val="Header"/>
    <w:basedOn w:val="978"/>
    <w:link w:val="102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21" w:customStyle="1">
    <w:name w:val="Верхний колонтитул Знак"/>
    <w:basedOn w:val="984"/>
    <w:link w:val="1020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22">
    <w:name w:val="Footer"/>
    <w:basedOn w:val="978"/>
    <w:link w:val="102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23" w:customStyle="1">
    <w:name w:val="Нижний колонтитул Знак"/>
    <w:basedOn w:val="984"/>
    <w:link w:val="1022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24">
    <w:name w:val="HTML Preformatted"/>
    <w:basedOn w:val="978"/>
    <w:link w:val="1025"/>
    <w:pPr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character" w:styleId="1025" w:customStyle="1">
    <w:name w:val="Стандартный HTML Знак"/>
    <w:basedOn w:val="984"/>
    <w:link w:val="1024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1026" w:customStyle="1">
    <w:name w:val="product-spec__name-inner"/>
    <w:basedOn w:val="984"/>
  </w:style>
  <w:style w:type="character" w:styleId="1027" w:customStyle="1">
    <w:name w:val="product-spec__value-inner"/>
    <w:basedOn w:val="984"/>
  </w:style>
  <w:style w:type="character" w:styleId="1028" w:customStyle="1">
    <w:name w:val="gloss"/>
    <w:basedOn w:val="984"/>
  </w:style>
  <w:style w:type="character" w:styleId="1029" w:customStyle="1">
    <w:name w:val="apple-converted-space"/>
    <w:basedOn w:val="984"/>
  </w:style>
  <w:style w:type="character" w:styleId="1030" w:customStyle="1">
    <w:name w:val="nobr"/>
    <w:basedOn w:val="984"/>
  </w:style>
  <w:style w:type="character" w:styleId="1031" w:customStyle="1">
    <w:name w:val="thname"/>
    <w:basedOn w:val="984"/>
  </w:style>
  <w:style w:type="character" w:styleId="1032" w:customStyle="1">
    <w:name w:val="thvalue"/>
    <w:basedOn w:val="984"/>
  </w:style>
  <w:style w:type="paragraph" w:styleId="1033">
    <w:name w:val="Normal (Web)"/>
    <w:basedOn w:val="978"/>
    <w:unhideWhenUsed/>
    <w:pPr>
      <w:spacing w:before="100" w:beforeAutospacing="1" w:after="100" w:afterAutospacing="1"/>
      <w:widowControl/>
    </w:pPr>
    <w:rPr>
      <w:sz w:val="24"/>
      <w:szCs w:val="24"/>
    </w:rPr>
  </w:style>
  <w:style w:type="paragraph" w:styleId="1034" w:customStyle="1">
    <w:name w:val="Основной текст 21"/>
    <w:basedOn w:val="978"/>
    <w:pPr>
      <w:widowControl/>
    </w:pPr>
    <w:rPr>
      <w:b/>
      <w:bCs/>
      <w:sz w:val="28"/>
      <w:lang w:eastAsia="ar-SA"/>
    </w:rPr>
  </w:style>
  <w:style w:type="paragraph" w:styleId="1035" w:customStyle="1">
    <w:name w:val="Абзац списка3"/>
    <w:basedOn w:val="978"/>
    <w:pPr>
      <w:ind w:left="720"/>
      <w:widowControl/>
    </w:pPr>
    <w:rPr>
      <w:rFonts w:ascii="Calibri" w:hAnsi="Calibri" w:cs="Calibri"/>
      <w:sz w:val="22"/>
      <w:szCs w:val="22"/>
      <w:lang w:eastAsia="en-US"/>
    </w:rPr>
  </w:style>
  <w:style w:type="paragraph" w:styleId="1036" w:customStyle="1">
    <w:name w:val="FR1"/>
    <w:basedOn w:val="978"/>
    <w:uiPriority w:val="99"/>
    <w:pPr>
      <w:ind w:left="40" w:firstLine="120"/>
      <w:jc w:val="both"/>
      <w:spacing w:line="252" w:lineRule="auto"/>
      <w:widowControl/>
    </w:pPr>
    <w:rPr>
      <w:sz w:val="28"/>
      <w:szCs w:val="28"/>
      <w:lang w:eastAsia="ar-SA"/>
    </w:rPr>
  </w:style>
  <w:style w:type="paragraph" w:styleId="1037" w:customStyle="1">
    <w:name w:val="Style8"/>
    <w:basedOn w:val="978"/>
    <w:rPr>
      <w:sz w:val="24"/>
      <w:szCs w:val="24"/>
    </w:rPr>
  </w:style>
  <w:style w:type="character" w:styleId="1038" w:customStyle="1">
    <w:name w:val="Font Style14"/>
    <w:basedOn w:val="984"/>
    <w:rPr>
      <w:rFonts w:ascii="Times New Roman" w:hAnsi="Times New Roman" w:cs="Times New Roman"/>
      <w:b/>
      <w:bCs/>
      <w:sz w:val="20"/>
      <w:szCs w:val="20"/>
    </w:rPr>
  </w:style>
  <w:style w:type="paragraph" w:styleId="1039" w:customStyle="1">
    <w:name w:val="Обычный1"/>
    <w:pPr>
      <w:ind w:firstLine="400"/>
      <w:jc w:val="both"/>
      <w:spacing w:after="0" w:line="240" w:lineRule="auto"/>
      <w:widowControl w:val="off"/>
    </w:pPr>
    <w:rPr>
      <w:rFonts w:ascii="Times New Roman" w:hAnsi="Times New Roman" w:eastAsia="Calibri" w:cs="Times New Roman"/>
      <w:sz w:val="24"/>
      <w:szCs w:val="20"/>
      <w:lang w:eastAsia="ru-RU"/>
    </w:rPr>
  </w:style>
  <w:style w:type="character" w:styleId="1040" w:customStyle="1">
    <w:name w:val="Основной текст_"/>
    <w:link w:val="1041"/>
    <w:rPr>
      <w:spacing w:val="7"/>
      <w:sz w:val="27"/>
      <w:szCs w:val="27"/>
      <w:shd w:val="clear" w:color="auto" w:fill="ffffff"/>
    </w:rPr>
  </w:style>
  <w:style w:type="paragraph" w:styleId="1041" w:customStyle="1">
    <w:name w:val="Основной текст2"/>
    <w:basedOn w:val="978"/>
    <w:link w:val="1040"/>
    <w:pPr>
      <w:spacing w:after="840" w:line="0" w:lineRule="atLeast"/>
      <w:shd w:val="clear" w:color="auto" w:fill="ffffff"/>
    </w:pPr>
    <w:rPr>
      <w:rFonts w:asciiTheme="minorHAnsi" w:hAnsiTheme="minorHAnsi" w:eastAsiaTheme="minorHAnsi" w:cstheme="minorBidi"/>
      <w:spacing w:val="7"/>
      <w:sz w:val="27"/>
      <w:szCs w:val="27"/>
      <w:lang w:eastAsia="en-US"/>
    </w:rPr>
  </w:style>
  <w:style w:type="paragraph" w:styleId="1042" w:customStyle="1">
    <w:name w:val="Условия контракта"/>
    <w:basedOn w:val="978"/>
    <w:qFormat/>
    <w:pPr>
      <w:ind w:left="720" w:hanging="360"/>
      <w:jc w:val="both"/>
      <w:spacing w:before="240" w:after="120"/>
      <w:widowControl/>
      <w:tabs>
        <w:tab w:val="num" w:pos="720" w:leader="none"/>
      </w:tabs>
    </w:pPr>
    <w:rPr>
      <w:b/>
      <w:sz w:val="24"/>
      <w:lang w:eastAsia="ar-SA"/>
    </w:rPr>
  </w:style>
  <w:style w:type="paragraph" w:styleId="1043">
    <w:name w:val="annotation text"/>
    <w:basedOn w:val="978"/>
    <w:link w:val="1044"/>
    <w:uiPriority w:val="99"/>
    <w:semiHidden/>
    <w:unhideWhenUsed/>
    <w:pPr>
      <w:spacing w:after="200" w:line="276" w:lineRule="auto"/>
      <w:widowControl/>
    </w:pPr>
    <w:rPr>
      <w:rFonts w:ascii="Calibri" w:hAnsi="Calibri" w:eastAsia="Calibri"/>
      <w:lang w:eastAsia="en-US"/>
    </w:rPr>
  </w:style>
  <w:style w:type="character" w:styleId="1044" w:customStyle="1">
    <w:name w:val="Текст примечания Знак"/>
    <w:basedOn w:val="984"/>
    <w:link w:val="1043"/>
    <w:uiPriority w:val="99"/>
    <w:semiHidden/>
    <w:rPr>
      <w:rFonts w:ascii="Calibri" w:hAnsi="Calibri" w:eastAsia="Calibri" w:cs="Times New Roman"/>
      <w:sz w:val="20"/>
      <w:szCs w:val="20"/>
    </w:rPr>
  </w:style>
  <w:style w:type="character" w:styleId="1045" w:customStyle="1">
    <w:name w:val="Тема примечания Знак"/>
    <w:basedOn w:val="1044"/>
    <w:link w:val="1046"/>
    <w:uiPriority w:val="99"/>
    <w:semiHidden/>
    <w:rPr>
      <w:rFonts w:ascii="Calibri" w:hAnsi="Calibri" w:eastAsia="Calibri" w:cs="Times New Roman"/>
      <w:b/>
      <w:bCs/>
      <w:sz w:val="20"/>
      <w:szCs w:val="20"/>
    </w:rPr>
  </w:style>
  <w:style w:type="paragraph" w:styleId="1046">
    <w:name w:val="annotation subject"/>
    <w:basedOn w:val="1043"/>
    <w:next w:val="1043"/>
    <w:link w:val="1045"/>
    <w:uiPriority w:val="99"/>
    <w:semiHidden/>
    <w:unhideWhenUsed/>
    <w:rPr>
      <w:b/>
      <w:bCs/>
    </w:rPr>
  </w:style>
  <w:style w:type="paragraph" w:styleId="1047" w:customStyle="1">
    <w:name w:val="Обычный + по ширине"/>
    <w:basedOn w:val="978"/>
    <w:uiPriority w:val="99"/>
    <w:pPr>
      <w:jc w:val="both"/>
      <w:widowControl/>
    </w:pPr>
    <w:rPr>
      <w:sz w:val="24"/>
      <w:szCs w:val="24"/>
    </w:rPr>
  </w:style>
  <w:style w:type="paragraph" w:styleId="1048" w:customStyle="1">
    <w:name w:val="ConsPlusCell"/>
    <w:uiPriority w:val="99"/>
    <w:pPr>
      <w:spacing w:after="0" w:line="240" w:lineRule="auto"/>
      <w:widowControl w:val="off"/>
    </w:pPr>
    <w:rPr>
      <w:rFonts w:ascii="Calibri" w:hAnsi="Calibri" w:eastAsia="Times New Roman" w:cs="Calibri"/>
      <w:lang w:eastAsia="ru-RU"/>
    </w:rPr>
  </w:style>
  <w:style w:type="paragraph" w:styleId="1049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50" w:customStyle="1">
    <w:name w:val="n-product-spec__value-inner"/>
    <w:basedOn w:val="984"/>
  </w:style>
  <w:style w:type="character" w:styleId="1051" w:customStyle="1">
    <w:name w:val="Font Style12"/>
    <w:basedOn w:val="984"/>
    <w:uiPriority w:val="99"/>
    <w:rPr>
      <w:rFonts w:ascii="Times New Roman" w:hAnsi="Times New Roman" w:cs="Times New Roman"/>
      <w:sz w:val="22"/>
      <w:szCs w:val="22"/>
    </w:rPr>
  </w:style>
  <w:style w:type="paragraph" w:styleId="1052" w:customStyle="1">
    <w:name w:val="Pa21"/>
    <w:basedOn w:val="978"/>
    <w:next w:val="978"/>
    <w:pPr>
      <w:spacing w:before="120" w:line="211" w:lineRule="atLeast"/>
      <w:widowControl/>
    </w:pPr>
    <w:rPr>
      <w:rFonts w:ascii="GaramondC" w:hAnsi="GaramondC"/>
      <w:sz w:val="24"/>
      <w:szCs w:val="24"/>
    </w:rPr>
  </w:style>
  <w:style w:type="character" w:styleId="1053">
    <w:name w:val="Strong"/>
    <w:basedOn w:val="984"/>
    <w:uiPriority w:val="22"/>
    <w:rPr>
      <w:rFonts w:cs="Times New Roman"/>
      <w:b/>
      <w:bCs/>
    </w:rPr>
  </w:style>
  <w:style w:type="character" w:styleId="1054">
    <w:name w:val="Subtle Emphasis"/>
    <w:uiPriority w:val="19"/>
    <w:rPr>
      <w:i/>
      <w:iCs/>
      <w:color w:val="808080"/>
    </w:rPr>
  </w:style>
  <w:style w:type="character" w:styleId="1055" w:customStyle="1">
    <w:name w:val="tendersubject1"/>
    <w:rPr>
      <w:b/>
      <w:sz w:val="20"/>
    </w:rPr>
  </w:style>
  <w:style w:type="paragraph" w:styleId="1056" w:customStyle="1">
    <w:name w:val="Style1"/>
    <w:basedOn w:val="978"/>
    <w:pPr>
      <w:jc w:val="center"/>
      <w:spacing w:before="480" w:after="240"/>
      <w:widowControl/>
      <w:tabs>
        <w:tab w:val="num" w:pos="360" w:leader="none"/>
      </w:tabs>
    </w:pPr>
    <w:rPr>
      <w:rFonts w:ascii="Arial" w:hAnsi="Arial"/>
      <w:b/>
      <w:sz w:val="24"/>
      <w:szCs w:val="24"/>
    </w:rPr>
  </w:style>
  <w:style w:type="paragraph" w:styleId="1057" w:customStyle="1">
    <w:name w:val="Обычный (Web)"/>
    <w:basedOn w:val="978"/>
    <w:pPr>
      <w:spacing w:before="100" w:after="100"/>
      <w:widowControl/>
    </w:pPr>
    <w:rPr>
      <w:rFonts w:ascii="Arial" w:hAnsi="Arial"/>
      <w:sz w:val="16"/>
      <w:szCs w:val="24"/>
    </w:rPr>
  </w:style>
  <w:style w:type="character" w:styleId="1058" w:customStyle="1">
    <w:name w:val="Font Style20"/>
    <w:basedOn w:val="984"/>
    <w:rPr>
      <w:rFonts w:ascii="Times New Roman" w:hAnsi="Times New Roman" w:cs="Times New Roman"/>
      <w:sz w:val="22"/>
      <w:szCs w:val="22"/>
    </w:rPr>
  </w:style>
  <w:style w:type="paragraph" w:styleId="1059" w:customStyle="1">
    <w:name w:val="Прижатый влево"/>
    <w:basedOn w:val="978"/>
    <w:next w:val="978"/>
    <w:uiPriority w:val="99"/>
    <w:pPr>
      <w:widowControl/>
    </w:pPr>
    <w:rPr>
      <w:rFonts w:ascii="Arial" w:hAnsi="Arial" w:eastAsia="Calibri" w:cs="Arial"/>
      <w:sz w:val="24"/>
      <w:szCs w:val="24"/>
    </w:rPr>
  </w:style>
  <w:style w:type="table" w:styleId="1060">
    <w:name w:val="Table Grid"/>
    <w:basedOn w:val="98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61" w:customStyle="1">
    <w:name w:val="Font Style39"/>
    <w:basedOn w:val="984"/>
    <w:uiPriority w:val="99"/>
    <w:rPr>
      <w:rFonts w:ascii="Times New Roman" w:hAnsi="Times New Roman" w:cs="Times New Roman"/>
      <w:sz w:val="26"/>
      <w:szCs w:val="26"/>
    </w:rPr>
  </w:style>
  <w:style w:type="paragraph" w:styleId="1062" w:customStyle="1">
    <w:name w:val="Style23"/>
    <w:basedOn w:val="978"/>
    <w:pPr>
      <w:ind w:firstLine="2198"/>
      <w:spacing w:line="557" w:lineRule="exact"/>
    </w:pPr>
    <w:rPr>
      <w:sz w:val="24"/>
      <w:szCs w:val="24"/>
    </w:rPr>
  </w:style>
  <w:style w:type="character" w:styleId="1063" w:customStyle="1">
    <w:name w:val="Font Style19"/>
    <w:basedOn w:val="880"/>
    <w:link w:val="909"/>
    <w:rPr>
      <w:rFonts w:ascii="Times New Roman" w:hAnsi="Times New Roman"/>
      <w:b/>
      <w:sz w:val="22"/>
    </w:rPr>
  </w:style>
  <w:style w:type="paragraph" w:styleId="1064" w:customStyle="1">
    <w:name w:val="1CStyle10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160" w:afterAutospacing="0" w:line="259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Theme="minorEastAsia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4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customXml" Target="../customXml/item1.xml" /><Relationship Id="rId12" Type="http://schemas.openxmlformats.org/officeDocument/2006/relationships/hyperlink" Target="https://docs.eaeunion.org/docs/ru-ru/01414757/cncd_05092017_4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6E3B0-8297-4CD0-8F37-F4458ED3D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ptt</dc:creator>
  <cp:lastModifiedBy>user</cp:lastModifiedBy>
  <cp:revision>50</cp:revision>
  <dcterms:created xsi:type="dcterms:W3CDTF">2024-01-23T06:33:00Z</dcterms:created>
  <dcterms:modified xsi:type="dcterms:W3CDTF">2026-08-27T02:14:53Z</dcterms:modified>
</cp:coreProperties>
</file>