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right" w:vertAnchor="page" w:tblpY="556" w:leftFromText="180" w:topFromText="0" w:rightFromText="180" w:bottomFromText="0"/>
        <w:tblW w:w="4815" w:type="dxa"/>
        <w:tblLook w:val="04A0" w:firstRow="1" w:lastRow="0" w:firstColumn="1" w:lastColumn="0" w:noHBand="0" w:noVBand="1"/>
      </w:tblPr>
      <w:tblGrid>
        <w:gridCol w:w="4815"/>
      </w:tblGrid>
      <w:tr>
        <w:tblPrEx/>
        <w:trPr>
          <w:trHeight w:val="1415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jc w:val="right"/>
              <w:tabs>
                <w:tab w:val="left" w:pos="4763" w:leader="none"/>
              </w:tabs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Приложение 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  <w:p>
            <w:pPr>
              <w:jc w:val="right"/>
              <w:tabs>
                <w:tab w:val="left" w:pos="4763" w:leader="none"/>
              </w:tabs>
              <w:rPr>
                <w:rFonts w:eastAsia="Times New Roman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к электронной версии контракта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  <w:p>
            <w:pPr>
              <w:jc w:val="right"/>
              <w:tabs>
                <w:tab w:val="left" w:pos="4763" w:leader="none"/>
              </w:tabs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t xml:space="preserve">от «__» __________ 2026</w:t>
            </w:r>
            <w:r>
              <w:rPr>
                <w:rFonts w:eastAsia="Times New Roman"/>
                <w:color w:val="000000" w:themeColor="text1"/>
              </w:rPr>
              <w:t xml:space="preserve"> г.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</w:tbl>
    <w:p>
      <w:pPr>
        <w:jc w:val="center"/>
        <w:spacing w:before="100" w:beforeAutospacing="1" w:after="100" w:afterAutospacing="1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center"/>
        <w:spacing w:before="100" w:beforeAutospacing="1" w:after="100" w:afterAutospacing="1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center"/>
        <w:spacing w:before="100" w:beforeAutospacing="1" w:after="100" w:afterAutospacing="1" w:line="276" w:lineRule="auto"/>
        <w:rPr>
          <w:b/>
          <w:bCs/>
        </w:rPr>
      </w:pPr>
      <w:r>
        <w:rPr>
          <w:b/>
          <w:bCs/>
        </w:rPr>
        <w:t xml:space="preserve">Техническое задание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before="100" w:beforeAutospacing="1" w:after="100" w:afterAutospacing="1" w:line="276" w:lineRule="auto"/>
        <w:rPr>
          <w:bCs/>
        </w:rPr>
      </w:pPr>
      <w:r>
        <w:rPr>
          <w:bCs/>
        </w:rPr>
        <w:t xml:space="preserve">н</w:t>
      </w:r>
      <w:r>
        <w:rPr>
          <w:bCs/>
        </w:rPr>
        <w:t xml:space="preserve">а поставку дорожного заграждения</w:t>
      </w:r>
      <w:r>
        <w:rPr>
          <w:bCs/>
        </w:rPr>
        <w:t xml:space="preserve"> в соответствии с нижеуказанными характеристиками:</w:t>
      </w:r>
      <w:r>
        <w:rPr>
          <w:bCs/>
        </w:rPr>
      </w:r>
      <w:r>
        <w:rPr>
          <w:bCs/>
        </w:rPr>
      </w:r>
    </w:p>
    <w:p>
      <w:pPr>
        <w:pStyle w:val="888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t xml:space="preserve">Дорожное заграждение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720" w:firstLine="0"/>
        <w:spacing w:before="100" w:beforeAutospacing="1" w:after="100" w:afterAutospacing="1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ХАРАКТЕРИСТИКИ: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8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Длина заграждения - 3 метра.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Высота осевой направляющей - 40 см.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- металл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Цвет - черный/красный (в ПП RAL 9005)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r/>
      <w:r/>
    </w:p>
    <w:p>
      <w:pPr>
        <w:jc w:val="both"/>
      </w:pPr>
      <w:r>
        <w:rPr>
          <w:b/>
        </w:rPr>
        <w:t xml:space="preserve">Место поставки товара:</w:t>
      </w:r>
      <w:r>
        <w:t xml:space="preserve"> </w:t>
      </w:r>
      <w:r>
        <w:t xml:space="preserve">109992, </w:t>
      </w:r>
      <w:r>
        <w:t xml:space="preserve">г. Москва, Китайгородский проезд, д.7, стр.2</w:t>
      </w:r>
      <w:r/>
    </w:p>
    <w:p>
      <w:pPr>
        <w:jc w:val="both"/>
      </w:pPr>
      <w:r/>
      <w:r/>
    </w:p>
    <w:p>
      <w:pPr>
        <w:jc w:val="both"/>
        <w:tabs>
          <w:tab w:val="left" w:pos="142" w:leader="none"/>
        </w:tabs>
        <w:rPr>
          <w:b/>
        </w:rPr>
      </w:pPr>
      <w:r>
        <w:rPr>
          <w:b/>
        </w:rPr>
        <w:t xml:space="preserve">Требования к показателям соответствия поставляемого товара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142" w:leader="none"/>
        </w:tabs>
      </w:pPr>
      <w:r>
        <w:rPr>
          <w:rFonts w:eastAsia="Times New Roman"/>
        </w:rPr>
        <w:t xml:space="preserve">Товар должен быть новым. </w:t>
      </w:r>
      <w:r>
        <w:t xml:space="preserve">Товар поставляется без нарушения целостности транспортной и фабричной упаковки, без повреждения самой упаковки товара </w:t>
      </w:r>
      <w:r>
        <w:rPr>
          <w:rFonts w:eastAsia="Times New Roman"/>
        </w:rPr>
        <w:t xml:space="preserve">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  <w:r/>
    </w:p>
    <w:p>
      <w:pPr>
        <w:jc w:val="both"/>
        <w:tabs>
          <w:tab w:val="left" w:pos="142" w:leader="none"/>
        </w:tabs>
      </w:pPr>
      <w:r>
        <w:t xml:space="preserve"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документах.</w:t>
      </w:r>
      <w:r/>
    </w:p>
    <w:p>
      <w:pPr>
        <w:jc w:val="both"/>
        <w:tabs>
          <w:tab w:val="left" w:pos="142" w:leader="none"/>
        </w:tabs>
      </w:pPr>
      <w:r/>
      <w:r/>
    </w:p>
    <w:p>
      <w:pPr>
        <w:jc w:val="both"/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Порядок поставки Товара: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both"/>
        <w:spacing w:after="160" w:line="259" w:lineRule="auto"/>
        <w:rPr>
          <w:rFonts w:eastAsia="Times New Roman"/>
          <w:highlight w:val="none"/>
        </w:rPr>
      </w:pPr>
      <w:r>
        <w:rPr>
          <w:rFonts w:eastAsia="Times New Roman"/>
        </w:rPr>
        <w:t xml:space="preserve">Поставка Товара осуществляется Поставщиком </w:t>
      </w:r>
      <w:r>
        <w:t xml:space="preserve">в течение 20</w:t>
      </w:r>
      <w:r>
        <w:t xml:space="preserve"> (двадцати</w:t>
      </w:r>
      <w:r>
        <w:t xml:space="preserve">) рабочих дней с даты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заключения контракта.</w:t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jc w:val="both"/>
        <w:spacing w:after="160" w:line="259" w:lineRule="auto"/>
        <w:rPr>
          <w:rFonts w:eastAsia="Times New Roman"/>
        </w:rPr>
      </w:pPr>
      <w:r>
        <w:rPr>
          <w:rFonts w:eastAsia="Times New Roman"/>
          <w:highlight w:val="none"/>
        </w:rPr>
        <w:t xml:space="preserve">Перед поставкой Поставщик согласовывает внешний вид дорожных заграждений.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spacing w:after="160" w:line="259" w:lineRule="auto"/>
        <w:rPr>
          <w:rFonts w:eastAsia="Times New Roman"/>
        </w:rPr>
      </w:pPr>
      <w:r>
        <w:rPr>
          <w:rFonts w:eastAsia="Times New Roman"/>
        </w:rPr>
        <w:t xml:space="preserve">Поставщик за 1 рабочий день до осуществления поставки Товара направляет в адрес Получателей уведомление о времени доставки Товара.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keepNext/>
        <w:rPr>
          <w:b/>
          <w:color w:val="000000" w:themeColor="text1"/>
          <w:spacing w:val="1"/>
        </w:rPr>
      </w:pPr>
      <w:r>
        <w:rPr>
          <w:b/>
          <w:color w:val="000000" w:themeColor="text1"/>
          <w:spacing w:val="1"/>
        </w:rPr>
        <w:t xml:space="preserve">Порядок оплаты </w:t>
      </w:r>
      <w:r>
        <w:rPr>
          <w:b/>
          <w:color w:val="000000" w:themeColor="text1"/>
          <w:spacing w:val="1"/>
        </w:rPr>
      </w:r>
      <w:r>
        <w:rPr>
          <w:b/>
          <w:color w:val="000000" w:themeColor="text1"/>
          <w:spacing w:val="1"/>
        </w:rPr>
      </w:r>
    </w:p>
    <w:p>
      <w:pPr>
        <w:jc w:val="both"/>
        <w:spacing w:after="160" w:line="259" w:lineRule="auto"/>
        <w:rPr>
          <w:rFonts w:eastAsia="Times New Roman"/>
        </w:rPr>
      </w:pPr>
      <w:r>
        <w:t xml:space="preserve">Оплата осуществляется путем перечисления Заказчиком денежных средств на расчетный счет Поставщика, на основании счета в течение 10 (десяти) рабочих дней с даты подписания Сторонами </w:t>
      </w:r>
      <w:r>
        <w:t xml:space="preserve">товарной накладной (УПД).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При поставке Товара Поставщик представляет следующую документацию: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both"/>
        <w:spacing w:after="160" w:line="259" w:lineRule="auto"/>
        <w:rPr>
          <w:rFonts w:eastAsia="Times New Roman"/>
        </w:rPr>
      </w:pPr>
      <w:r>
        <w:rPr>
          <w:rFonts w:eastAsia="Times New Roman"/>
        </w:rPr>
        <w:t xml:space="preserve">товарную накладную (УПД), оформленную в установленном порядке;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spacing w:after="160" w:line="259" w:lineRule="auto"/>
        <w:rPr>
          <w:rFonts w:eastAsia="Times New Roman"/>
          <w:b/>
          <w:bCs/>
        </w:rPr>
      </w:pPr>
      <w:r>
        <w:rPr>
          <w:rFonts w:eastAsia="Times New Roman"/>
          <w:b/>
          <w:highlight w:val="none"/>
        </w:rPr>
      </w:r>
      <w:r>
        <w:rPr>
          <w:rFonts w:eastAsia="Times New Roman"/>
          <w:b/>
          <w:highlight w:val="none"/>
        </w:rPr>
      </w:r>
      <w:r>
        <w:rPr>
          <w:rFonts w:eastAsia="Times New Roman"/>
          <w:b/>
          <w:bCs/>
        </w:rPr>
      </w:r>
    </w:p>
    <w:p>
      <w:pPr>
        <w:jc w:val="both"/>
        <w:spacing w:after="160" w:line="259" w:lineRule="auto"/>
        <w:rPr>
          <w:rFonts w:eastAsia="Times New Roman"/>
          <w:b/>
          <w:bCs/>
          <w:highlight w:val="none"/>
        </w:rPr>
      </w:pPr>
      <w:r>
        <w:rPr>
          <w:rFonts w:eastAsia="Times New Roman"/>
          <w:b/>
          <w:highlight w:val="none"/>
        </w:rPr>
      </w:r>
      <w:r>
        <w:rPr>
          <w:rFonts w:eastAsia="Times New Roman"/>
          <w:b/>
          <w:highlight w:val="none"/>
        </w:rPr>
      </w:r>
      <w:r>
        <w:rPr>
          <w:rFonts w:eastAsia="Times New Roman"/>
          <w:b/>
          <w:bCs/>
          <w:highlight w:val="none"/>
        </w:rPr>
      </w:r>
    </w:p>
    <w:p>
      <w:pPr>
        <w:jc w:val="both"/>
        <w:spacing w:after="160" w:line="259" w:lineRule="auto"/>
        <w:rPr>
          <w:rFonts w:eastAsia="Times New Roman"/>
          <w:b/>
          <w:bCs/>
          <w:highlight w:val="none"/>
        </w:rPr>
      </w:pPr>
      <w:r>
        <w:rPr>
          <w:rFonts w:eastAsia="Times New Roman"/>
          <w:b/>
        </w:rPr>
        <w:t xml:space="preserve">Гарантийные обязательства</w:t>
      </w:r>
      <w:r>
        <w:rPr>
          <w:rFonts w:eastAsia="Times New Roman"/>
          <w:b/>
          <w:bCs/>
          <w:highlight w:val="none"/>
        </w:rPr>
      </w:r>
      <w:r>
        <w:rPr>
          <w:rFonts w:eastAsia="Times New Roman"/>
          <w:b/>
          <w:bCs/>
          <w:highlight w:val="none"/>
        </w:rPr>
      </w:r>
    </w:p>
    <w:p>
      <w:pPr>
        <w:jc w:val="both"/>
        <w:spacing w:after="160" w:line="259" w:lineRule="auto"/>
        <w:rPr>
          <w:rFonts w:eastAsia="Times New Roman"/>
        </w:rPr>
      </w:pPr>
      <w:r>
        <w:rPr>
          <w:rFonts w:eastAsia="Times New Roman"/>
        </w:rPr>
        <w:t xml:space="preserve">Поставщик</w:t>
      </w:r>
      <w:r>
        <w:rPr>
          <w:rFonts w:eastAsia="Times New Roman"/>
        </w:rPr>
        <w:t xml:space="preserve"> предоставляет гарантию на поставляемый товар в течение 12 (двенадцати) месяцев со дня поставки товара Заказчику.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spacing w:after="160" w:line="259" w:lineRule="auto"/>
        <w:rPr>
          <w:rFonts w:eastAsia="Times New Roman"/>
        </w:rPr>
      </w:pPr>
      <w:r>
        <w:rPr>
          <w:rFonts w:eastAsia="Times New Roman"/>
        </w:rPr>
        <w:t xml:space="preserve">Если в период гарантийного срока обнаружатся недостатки или дефекты, произошедшие не по вине Заказчика, то </w:t>
      </w:r>
      <w:r>
        <w:rPr>
          <w:rFonts w:eastAsia="Times New Roman"/>
        </w:rPr>
        <w:t xml:space="preserve">1</w:t>
      </w:r>
      <w:r>
        <w:rPr>
          <w:rFonts w:eastAsia="Times New Roman"/>
        </w:rPr>
        <w:t xml:space="preserve"> обязан устранить их за свой счет в сроки, согласованные с Заказчиком. Гарантийный срок в этом случае продлевается на период устранения недостатков.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Электронная вер</w:t>
      </w:r>
      <w:r>
        <w:rPr>
          <w:rFonts w:eastAsia="Times New Roman"/>
          <w:b/>
        </w:rPr>
        <w:t xml:space="preserve">сия контракта действует до 31</w:t>
      </w:r>
      <w:r>
        <w:rPr>
          <w:rFonts w:eastAsia="Times New Roman"/>
          <w:b/>
        </w:rPr>
        <w:t xml:space="preserve">.</w:t>
      </w:r>
      <w:r>
        <w:rPr>
          <w:rFonts w:eastAsia="Times New Roman"/>
          <w:b/>
        </w:rPr>
        <w:t xml:space="preserve">08</w:t>
      </w:r>
      <w:r>
        <w:rPr>
          <w:rFonts w:eastAsia="Times New Roman"/>
          <w:b/>
        </w:rPr>
        <w:t xml:space="preserve">.202</w:t>
      </w:r>
      <w:r>
        <w:rPr>
          <w:rFonts w:eastAsia="Times New Roman"/>
          <w:b/>
        </w:rPr>
        <w:t xml:space="preserve">6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</w:t>
      </w:r>
      <w:r>
        <w:rPr>
          <w:rFonts w:eastAsia="Times New Roman"/>
          <w:b/>
        </w:rPr>
        <w:t xml:space="preserve">                      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right"/>
        <w:pageBreakBefore/>
        <w:spacing w:after="160" w:line="259" w:lineRule="auto"/>
        <w:rPr>
          <w:rFonts w:eastAsia="Times New Roman"/>
        </w:rPr>
      </w:pPr>
      <w:r>
        <w:rPr>
          <w:rFonts w:eastAsia="Times New Roman"/>
        </w:rPr>
        <w:t xml:space="preserve">Приложение </w:t>
      </w:r>
      <w:r>
        <w:rPr>
          <w:bCs/>
        </w:rPr>
        <w:t xml:space="preserve">к Техническому </w:t>
      </w:r>
      <w:r>
        <w:rPr>
          <w:bCs/>
        </w:rPr>
        <w:t xml:space="preserve">заданию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rPr>
          <w:b/>
        </w:rPr>
      </w:pPr>
      <w:r>
        <w:rPr>
          <w:b/>
        </w:rPr>
        <w:t xml:space="preserve">СПЕЦИФИКАЦИЯ</w:t>
      </w:r>
      <w:r>
        <w:rPr>
          <w:b/>
        </w:rPr>
      </w:r>
      <w:r>
        <w:rPr>
          <w:b/>
        </w:rPr>
      </w:r>
    </w:p>
    <w:tbl>
      <w:tblPr>
        <w:tblStyle w:val="901"/>
        <w:tblW w:w="95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22"/>
        <w:gridCol w:w="1330"/>
        <w:gridCol w:w="1646"/>
        <w:gridCol w:w="1508"/>
      </w:tblGrid>
      <w:tr>
        <w:tblPrEx/>
        <w:trPr>
          <w:jc w:val="center"/>
          <w:trHeight w:val="1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" w:type="dxa"/>
            <w:vAlign w:val="center"/>
            <w:textDirection w:val="lrTb"/>
            <w:noWrap w:val="false"/>
          </w:tcPr>
          <w:p>
            <w:pPr>
              <w:pStyle w:val="900"/>
              <w:ind w:left="95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2" w:type="dxa"/>
            <w:vAlign w:val="center"/>
            <w:textDirection w:val="lrTb"/>
            <w:noWrap w:val="false"/>
          </w:tcPr>
          <w:p>
            <w:pPr>
              <w:pStyle w:val="900"/>
              <w:ind w:left="783" w:right="775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Наименование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Кол-во</w:t>
            </w:r>
            <w:r>
              <w:rPr>
                <w:b/>
                <w:sz w:val="24"/>
                <w:szCs w:val="24"/>
                <w:lang w:val="ru-RU" w:eastAsia="en-US"/>
              </w:rPr>
            </w:r>
            <w:r>
              <w:rPr>
                <w:b/>
                <w:sz w:val="24"/>
                <w:szCs w:val="24"/>
                <w:lang w:val="ru-RU" w:eastAsia="en-US"/>
              </w:rPr>
            </w:r>
          </w:p>
          <w:p>
            <w:pPr>
              <w:pStyle w:val="9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шт.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6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Цена,ру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б</w:t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vAlign w:val="center"/>
            <w:textDirection w:val="lrTb"/>
            <w:noWrap w:val="false"/>
          </w:tcPr>
          <w:p>
            <w:pPr>
              <w:pStyle w:val="900"/>
              <w:ind w:right="21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Сумма, руб.</w:t>
            </w:r>
            <w:r>
              <w:rPr>
                <w:b/>
                <w:sz w:val="24"/>
                <w:szCs w:val="24"/>
                <w:lang w:val="ru-RU" w:eastAsia="en-US"/>
              </w:rPr>
            </w:r>
            <w:r>
              <w:rPr>
                <w:b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jc w:val="center"/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" w:type="dxa"/>
            <w:vAlign w:val="center"/>
            <w:textDirection w:val="lrTb"/>
            <w:noWrap w:val="false"/>
          </w:tcPr>
          <w:p>
            <w:pPr>
              <w:pStyle w:val="900"/>
              <w:ind w:left="155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</w:t>
            </w:r>
            <w:r>
              <w:rPr>
                <w:sz w:val="24"/>
                <w:szCs w:val="24"/>
                <w:lang w:val="ru-RU" w:eastAsia="en-US"/>
              </w:rPr>
            </w:r>
            <w:r>
              <w:rPr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6" w:lineRule="auto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</w:r>
            <w:r>
              <w:rPr>
                <w:bCs/>
                <w:sz w:val="22"/>
                <w:szCs w:val="22"/>
                <w:lang w:val="ru-RU"/>
              </w:rPr>
              <w:t xml:space="preserve">Дорожное заграждение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vAlign w:val="center"/>
            <w:textDirection w:val="lrTb"/>
            <w:noWrap w:val="false"/>
          </w:tcPr>
          <w:p>
            <w:pPr>
              <w:pStyle w:val="900"/>
              <w:ind w:right="55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2</w:t>
            </w:r>
            <w:r>
              <w:rPr>
                <w:sz w:val="24"/>
                <w:szCs w:val="24"/>
                <w:lang w:val="ru-RU" w:eastAsia="en-US"/>
              </w:rPr>
            </w:r>
            <w:r>
              <w:rPr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6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</w:r>
            <w:r>
              <w:rPr>
                <w:color w:val="000000"/>
                <w:lang w:eastAsia="ru-RU"/>
              </w:rPr>
              <w:t xml:space="preserve"> 36 166,67</w:t>
            </w:r>
            <w:r>
              <w:rPr>
                <w:sz w:val="24"/>
                <w:szCs w:val="24"/>
                <w:lang w:val="ru-RU" w:eastAsia="en-US"/>
              </w:rPr>
            </w:r>
            <w:r>
              <w:rPr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vAlign w:val="center"/>
            <w:textDirection w:val="lrTb"/>
            <w:noWrap w:val="false"/>
          </w:tcPr>
          <w:p>
            <w:pPr>
              <w:pStyle w:val="900"/>
              <w:ind w:right="21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72 333,34</w:t>
            </w:r>
            <w:r>
              <w:rPr>
                <w:sz w:val="24"/>
                <w:szCs w:val="24"/>
                <w:lang w:val="ru-RU" w:eastAsia="en-US"/>
              </w:rPr>
            </w:r>
            <w:r>
              <w:rPr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jc w:val="center"/>
          <w:trHeight w:val="28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0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spacing w:line="257" w:lineRule="exact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Итоговая стоимость, руб.</w:t>
            </w:r>
            <w:r>
              <w:rPr>
                <w:b/>
                <w:sz w:val="24"/>
                <w:szCs w:val="24"/>
                <w:lang w:val="ru-RU" w:eastAsia="en-US"/>
              </w:rPr>
            </w:r>
            <w:r>
              <w:rPr>
                <w:b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vAlign w:val="center"/>
            <w:textDirection w:val="lrTb"/>
            <w:noWrap w:val="false"/>
          </w:tcPr>
          <w:p>
            <w:pPr>
              <w:pStyle w:val="900"/>
              <w:ind w:right="21"/>
              <w:jc w:val="center"/>
              <w:spacing w:line="248" w:lineRule="exact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72 333,34</w:t>
            </w:r>
            <w:r>
              <w:rPr>
                <w:b/>
                <w:sz w:val="24"/>
                <w:szCs w:val="24"/>
                <w:lang w:val="ru-RU" w:eastAsia="en-US"/>
              </w:rPr>
            </w:r>
            <w:r>
              <w:rPr>
                <w:b/>
                <w:sz w:val="24"/>
                <w:szCs w:val="24"/>
                <w:lang w:val="ru-RU" w:eastAsia="en-US"/>
              </w:rPr>
            </w:r>
          </w:p>
        </w:tc>
      </w:tr>
    </w:tbl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*Указанные</w:t>
      </w:r>
      <w:r>
        <w:rPr>
          <w:b/>
        </w:rPr>
        <w:t xml:space="preserve"> цены за единицу будут снижены пропорционально коэффициенту снижения по итогам проведения закупочной сессии, при этом в случае если при делении будет три и более знаков после запятой, то округление происходит в меньшую сторону до двух знаков после запятой.</w:t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5272923"/>
      <w:docPartObj>
        <w:docPartGallery w:val="Page Numbers (Bottom of Page)"/>
        <w:docPartUnique w:val="true"/>
      </w:docPartObj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4"/>
    <w:link w:val="8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2">
    <w:name w:val="Heading 2 Char"/>
    <w:basedOn w:val="884"/>
    <w:link w:val="883"/>
    <w:uiPriority w:val="9"/>
    <w:rPr>
      <w:rFonts w:ascii="Liberation Sans" w:hAnsi="Liberation Sans" w:eastAsia="Liberation Sans" w:cs="Liberation Sans"/>
      <w:sz w:val="34"/>
    </w:rPr>
  </w:style>
  <w:style w:type="paragraph" w:styleId="713">
    <w:name w:val="Heading 3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4">
    <w:name w:val="Heading 3 Char"/>
    <w:basedOn w:val="884"/>
    <w:link w:val="71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5">
    <w:name w:val="Heading 4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6">
    <w:name w:val="Heading 4 Char"/>
    <w:basedOn w:val="884"/>
    <w:link w:val="71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7">
    <w:name w:val="Heading 5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8">
    <w:name w:val="Heading 5 Char"/>
    <w:basedOn w:val="884"/>
    <w:link w:val="71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9">
    <w:name w:val="Heading 6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>
    <w:name w:val="Heading 6 Char"/>
    <w:basedOn w:val="884"/>
    <w:link w:val="71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1">
    <w:name w:val="Heading 7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2">
    <w:name w:val="Heading 7 Char"/>
    <w:basedOn w:val="884"/>
    <w:link w:val="72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3">
    <w:name w:val="Heading 8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4">
    <w:name w:val="Heading 8 Char"/>
    <w:basedOn w:val="884"/>
    <w:link w:val="72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5">
    <w:name w:val="Heading 9"/>
    <w:basedOn w:val="881"/>
    <w:next w:val="881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6">
    <w:name w:val="Heading 9 Char"/>
    <w:basedOn w:val="884"/>
    <w:link w:val="72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1"/>
    <w:next w:val="881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4"/>
    <w:link w:val="728"/>
    <w:uiPriority w:val="10"/>
    <w:rPr>
      <w:sz w:val="48"/>
      <w:szCs w:val="48"/>
    </w:rPr>
  </w:style>
  <w:style w:type="paragraph" w:styleId="730">
    <w:name w:val="Subtitle"/>
    <w:basedOn w:val="881"/>
    <w:next w:val="881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4"/>
    <w:link w:val="730"/>
    <w:uiPriority w:val="11"/>
    <w:rPr>
      <w:sz w:val="24"/>
      <w:szCs w:val="24"/>
    </w:rPr>
  </w:style>
  <w:style w:type="paragraph" w:styleId="732">
    <w:name w:val="Quote"/>
    <w:basedOn w:val="881"/>
    <w:next w:val="881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1"/>
    <w:next w:val="881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4"/>
    <w:link w:val="889"/>
    <w:uiPriority w:val="99"/>
  </w:style>
  <w:style w:type="character" w:styleId="737">
    <w:name w:val="Footer Char"/>
    <w:basedOn w:val="884"/>
    <w:link w:val="891"/>
    <w:uiPriority w:val="99"/>
  </w:style>
  <w:style w:type="character" w:styleId="738">
    <w:name w:val="Caption Char"/>
    <w:basedOn w:val="884"/>
    <w:link w:val="88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1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2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6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7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8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3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4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4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82">
    <w:name w:val="Heading 1"/>
    <w:basedOn w:val="881"/>
    <w:next w:val="881"/>
    <w:link w:val="89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883">
    <w:name w:val="Heading 2"/>
    <w:basedOn w:val="881"/>
    <w:link w:val="896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Caption"/>
    <w:basedOn w:val="881"/>
    <w:next w:val="881"/>
    <w:link w:val="738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888">
    <w:name w:val="List Paragraph"/>
    <w:basedOn w:val="881"/>
    <w:uiPriority w:val="34"/>
    <w:qFormat/>
    <w:pPr>
      <w:contextualSpacing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889">
    <w:name w:val="Header"/>
    <w:basedOn w:val="88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884"/>
    <w:link w:val="88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891">
    <w:name w:val="Footer"/>
    <w:basedOn w:val="881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884"/>
    <w:link w:val="891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893">
    <w:name w:val="Balloon Text"/>
    <w:basedOn w:val="881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884"/>
    <w:link w:val="893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95" w:customStyle="1">
    <w:name w:val="_112tad-7ap"/>
    <w:basedOn w:val="884"/>
  </w:style>
  <w:style w:type="character" w:styleId="896" w:customStyle="1">
    <w:name w:val="Заголовок 2 Знак"/>
    <w:basedOn w:val="884"/>
    <w:link w:val="88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table" w:styleId="897">
    <w:name w:val="Table Grid"/>
    <w:basedOn w:val="8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 w:customStyle="1">
    <w:name w:val="Заголовок 1 Знак"/>
    <w:basedOn w:val="884"/>
    <w:link w:val="882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899">
    <w:name w:val="Hyperlink"/>
    <w:basedOn w:val="884"/>
    <w:uiPriority w:val="99"/>
    <w:semiHidden/>
    <w:unhideWhenUsed/>
    <w:rPr>
      <w:color w:val="0000ff"/>
      <w:u w:val="single"/>
    </w:rPr>
  </w:style>
  <w:style w:type="paragraph" w:styleId="900" w:customStyle="1">
    <w:name w:val="Table Paragraph"/>
    <w:basedOn w:val="881"/>
    <w:uiPriority w:val="1"/>
    <w:qFormat/>
    <w:pPr>
      <w:widowControl w:val="off"/>
    </w:pPr>
    <w:rPr>
      <w:rFonts w:eastAsia="Times New Roman"/>
      <w:sz w:val="22"/>
      <w:szCs w:val="22"/>
      <w:lang w:bidi="ru-RU"/>
    </w:rPr>
  </w:style>
  <w:style w:type="table" w:styleId="901" w:customStyle="1">
    <w:name w:val="Table Normal"/>
    <w:uiPriority w:val="2"/>
    <w:semiHidden/>
    <w:qFormat/>
    <w:pPr>
      <w:spacing w:after="0" w:line="240" w:lineRule="auto"/>
      <w:widowControl w:val="off"/>
    </w:pPr>
    <w:rPr>
      <w:rFonts w:ascii="Times New Roman" w:hAnsi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02" w:customStyle="1">
    <w:name w:val="text-green1"/>
    <w:basedOn w:val="884"/>
    <w:rPr>
      <w:color w:val="00ae7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1DFE-2C90-4533-8E41-4C3273B8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Аносова Виктория Александровна</dc:creator>
  <cp:lastModifiedBy>vo-603@JSRK.RU</cp:lastModifiedBy>
  <cp:revision>26</cp:revision>
  <dcterms:created xsi:type="dcterms:W3CDTF">2021-08-02T11:45:00Z</dcterms:created>
  <dcterms:modified xsi:type="dcterms:W3CDTF">2026-06-26T06:51:57Z</dcterms:modified>
</cp:coreProperties>
</file>