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0E" w:rsidRPr="00BB344C" w:rsidRDefault="00BB344C">
      <w:pPr>
        <w:rPr>
          <w:b/>
        </w:rPr>
      </w:pPr>
      <w:r w:rsidRPr="00BB344C">
        <w:rPr>
          <w:b/>
        </w:rPr>
        <w:t xml:space="preserve">                                                    Описание объекта закупки</w:t>
      </w:r>
    </w:p>
    <w:p w:rsidR="00BB344C" w:rsidRDefault="00BB344C">
      <w:r>
        <w:t xml:space="preserve">                                    </w:t>
      </w:r>
      <w:r w:rsidRPr="00BB344C">
        <w:t xml:space="preserve">Ингибитор </w:t>
      </w:r>
      <w:proofErr w:type="spellStart"/>
      <w:r w:rsidRPr="00BB344C">
        <w:t>солеотложений</w:t>
      </w:r>
      <w:proofErr w:type="spellEnd"/>
      <w:r w:rsidRPr="00BB344C">
        <w:t xml:space="preserve"> </w:t>
      </w:r>
      <w:proofErr w:type="spellStart"/>
      <w:r w:rsidRPr="00BB344C">
        <w:t>HydroChem</w:t>
      </w:r>
      <w:proofErr w:type="spellEnd"/>
      <w:r w:rsidRPr="00BB344C">
        <w:t xml:space="preserve"> 160</w:t>
      </w:r>
    </w:p>
    <w:p w:rsidR="00FA2E79" w:rsidRDefault="00FA2E79">
      <w:r>
        <w:t>ОКПД2 20.59</w:t>
      </w:r>
      <w:bookmarkStart w:id="0" w:name="_GoBack"/>
      <w:bookmarkEnd w:id="0"/>
    </w:p>
    <w:p w:rsidR="00BB344C" w:rsidRDefault="00BB344C" w:rsidP="00BB344C">
      <w:pPr>
        <w:spacing w:after="0" w:line="240" w:lineRule="auto"/>
      </w:pPr>
      <w:proofErr w:type="spellStart"/>
      <w:r>
        <w:t>HydroChem</w:t>
      </w:r>
      <w:proofErr w:type="spellEnd"/>
      <w:r>
        <w:t xml:space="preserve"> 160 комплексный реагент для коррекционной обработки воды в паровых котлах и </w:t>
      </w:r>
      <w:proofErr w:type="spellStart"/>
      <w:r>
        <w:t>теплосистемах</w:t>
      </w:r>
      <w:proofErr w:type="spellEnd"/>
      <w:r>
        <w:t xml:space="preserve">. </w:t>
      </w:r>
      <w:proofErr w:type="spellStart"/>
      <w:r>
        <w:t>HydroChem</w:t>
      </w:r>
      <w:proofErr w:type="spellEnd"/>
      <w:r>
        <w:t xml:space="preserve"> 160 используется с целью снижения коррозии и </w:t>
      </w:r>
      <w:proofErr w:type="spellStart"/>
      <w:r>
        <w:t>накипеобразования</w:t>
      </w:r>
      <w:proofErr w:type="spellEnd"/>
      <w:r>
        <w:t xml:space="preserve"> в котлах низкого и среднего давления.</w:t>
      </w:r>
    </w:p>
    <w:p w:rsidR="00BB344C" w:rsidRPr="00BB344C" w:rsidRDefault="00BB344C" w:rsidP="00BB344C">
      <w:pPr>
        <w:spacing w:after="0" w:line="240" w:lineRule="auto"/>
        <w:rPr>
          <w:b/>
        </w:rPr>
      </w:pPr>
      <w:r w:rsidRPr="00BB344C">
        <w:rPr>
          <w:b/>
        </w:rPr>
        <w:t>Свойства:</w:t>
      </w:r>
    </w:p>
    <w:p w:rsidR="00BB344C" w:rsidRDefault="00BB344C" w:rsidP="00BB344C">
      <w:pPr>
        <w:spacing w:after="0" w:line="240" w:lineRule="auto"/>
      </w:pPr>
      <w:r>
        <w:t>основа фосфаты, катализированный сульфит и щелочь;</w:t>
      </w:r>
    </w:p>
    <w:p w:rsidR="00BB344C" w:rsidRDefault="00BB344C" w:rsidP="00BB344C">
      <w:pPr>
        <w:spacing w:after="0" w:line="240" w:lineRule="auto"/>
      </w:pPr>
      <w:r>
        <w:t>нетоксичный, экологически чистый препарат;</w:t>
      </w:r>
    </w:p>
    <w:p w:rsidR="00BB344C" w:rsidRDefault="00BB344C" w:rsidP="00BB344C">
      <w:pPr>
        <w:spacing w:after="0" w:line="240" w:lineRule="auto"/>
      </w:pPr>
      <w:r>
        <w:t xml:space="preserve">предотвращает </w:t>
      </w:r>
      <w:proofErr w:type="spellStart"/>
      <w:r>
        <w:t>накипеобразование</w:t>
      </w:r>
      <w:proofErr w:type="spellEnd"/>
      <w:r>
        <w:t xml:space="preserve"> на теплообменных поверхностях;</w:t>
      </w:r>
    </w:p>
    <w:p w:rsidR="00BB344C" w:rsidRDefault="00BB344C" w:rsidP="00BB344C">
      <w:pPr>
        <w:spacing w:after="0" w:line="240" w:lineRule="auto"/>
      </w:pPr>
      <w:r>
        <w:t>связывает остаточный растворенный кислород;</w:t>
      </w:r>
    </w:p>
    <w:p w:rsidR="00BB344C" w:rsidRDefault="00BB344C" w:rsidP="00BB344C">
      <w:pPr>
        <w:spacing w:after="0" w:line="240" w:lineRule="auto"/>
      </w:pPr>
      <w:r>
        <w:t>нейтрализует угольную кислоту и регулирует щелочность в пределах, вызывающих наименьшую коррозию;</w:t>
      </w:r>
    </w:p>
    <w:p w:rsidR="00BB344C" w:rsidRDefault="00BB344C" w:rsidP="00BB344C">
      <w:pPr>
        <w:spacing w:after="0" w:line="240" w:lineRule="auto"/>
      </w:pPr>
      <w:r>
        <w:t>поддерживает растворимость соединений кремнекислоты на максимальном уровне, обеспечивая соотношение кремнекислоты и щелочности (SiО2/m) в необходимом диапазоне, этим предотвращается образование силикатной накипи;</w:t>
      </w:r>
    </w:p>
    <w:p w:rsidR="00BB344C" w:rsidRDefault="00BB344C" w:rsidP="00BB344C">
      <w:pPr>
        <w:spacing w:after="0" w:line="240" w:lineRule="auto"/>
      </w:pPr>
      <w:r>
        <w:t>способствует условиям создания и поддержания защитной магнитной пленки на поверхности металла.</w:t>
      </w:r>
    </w:p>
    <w:p w:rsidR="00BB344C" w:rsidRPr="00BB344C" w:rsidRDefault="00BB344C" w:rsidP="00BB344C">
      <w:pPr>
        <w:spacing w:after="0" w:line="240" w:lineRule="auto"/>
        <w:rPr>
          <w:b/>
        </w:rPr>
      </w:pPr>
      <w:r w:rsidRPr="00BB344C">
        <w:rPr>
          <w:b/>
        </w:rPr>
        <w:t>Физические свойства</w:t>
      </w:r>
    </w:p>
    <w:p w:rsidR="00BB344C" w:rsidRDefault="00BB344C" w:rsidP="00BB344C">
      <w:pPr>
        <w:spacing w:after="0" w:line="240" w:lineRule="auto"/>
      </w:pPr>
      <w:r>
        <w:t xml:space="preserve">Активные вещества: полифосфаты, сульфиты, </w:t>
      </w:r>
      <w:proofErr w:type="spellStart"/>
      <w:r>
        <w:t>дисперсант</w:t>
      </w:r>
      <w:proofErr w:type="spellEnd"/>
    </w:p>
    <w:p w:rsidR="00BB344C" w:rsidRDefault="00BB344C" w:rsidP="00BB344C">
      <w:pPr>
        <w:spacing w:after="0" w:line="240" w:lineRule="auto"/>
      </w:pPr>
      <w:r>
        <w:t>рН: 8,5-9,5</w:t>
      </w:r>
    </w:p>
    <w:p w:rsidR="00BB344C" w:rsidRDefault="00BB344C" w:rsidP="00BB344C">
      <w:pPr>
        <w:spacing w:after="0" w:line="240" w:lineRule="auto"/>
      </w:pPr>
      <w:r>
        <w:t>Внешний вид: жидкость розоватая или светло-фиолетового цвета</w:t>
      </w:r>
    </w:p>
    <w:p w:rsidR="00BB344C" w:rsidRDefault="00BB344C" w:rsidP="00BB344C">
      <w:pPr>
        <w:spacing w:after="0" w:line="240" w:lineRule="auto"/>
      </w:pPr>
      <w:r>
        <w:t>Плотность:  1,20-1,30;</w:t>
      </w:r>
    </w:p>
    <w:p w:rsidR="00BB344C" w:rsidRPr="00BB344C" w:rsidRDefault="00BB344C" w:rsidP="00BB344C">
      <w:pPr>
        <w:spacing w:after="0" w:line="240" w:lineRule="auto"/>
        <w:rPr>
          <w:b/>
        </w:rPr>
      </w:pPr>
      <w:r w:rsidRPr="00BB344C">
        <w:rPr>
          <w:b/>
        </w:rPr>
        <w:t>Рекомендации по дозированию</w:t>
      </w:r>
    </w:p>
    <w:p w:rsidR="00BB344C" w:rsidRDefault="00BB344C" w:rsidP="00BB344C">
      <w:pPr>
        <w:spacing w:after="0" w:line="240" w:lineRule="auto"/>
      </w:pPr>
      <w:proofErr w:type="spellStart"/>
      <w:r>
        <w:t>HydroChem</w:t>
      </w:r>
      <w:proofErr w:type="spellEnd"/>
      <w:r>
        <w:t xml:space="preserve"> 160 дозируется в систему насосом-дозатором пропорционально количеству </w:t>
      </w:r>
      <w:proofErr w:type="spellStart"/>
      <w:r>
        <w:t>подпиточной</w:t>
      </w:r>
      <w:proofErr w:type="spellEnd"/>
      <w:r>
        <w:t xml:space="preserve"> воды. Доза </w:t>
      </w:r>
      <w:proofErr w:type="spellStart"/>
      <w:r>
        <w:t>HydroChem</w:t>
      </w:r>
      <w:proofErr w:type="spellEnd"/>
      <w:r>
        <w:t xml:space="preserve"> 160 устанавливается в зависимости от состава </w:t>
      </w:r>
      <w:proofErr w:type="spellStart"/>
      <w:r>
        <w:t>подпиточной</w:t>
      </w:r>
      <w:proofErr w:type="spellEnd"/>
      <w:r>
        <w:t xml:space="preserve"> воды и может колебаться в пределах от 10 до 100 мг/л. Расчетная доза составляет 20-60 г/м3 добавочной воды. Контроль дозирования проводится по остаточному содержанию в котловой воде:</w:t>
      </w:r>
    </w:p>
    <w:p w:rsidR="00BB344C" w:rsidRDefault="00BB344C" w:rsidP="00BB344C">
      <w:pPr>
        <w:spacing w:after="0" w:line="240" w:lineRule="auto"/>
      </w:pPr>
      <w:r>
        <w:t>-  фосфатов РО4-3 на уровне 6-15 мг/л;</w:t>
      </w:r>
    </w:p>
    <w:p w:rsidR="00BB344C" w:rsidRDefault="00BB344C" w:rsidP="00BB344C">
      <w:pPr>
        <w:spacing w:after="0" w:line="240" w:lineRule="auto"/>
      </w:pPr>
      <w:r>
        <w:t>-  сульфитов SO3-2 на уровне 2 мг/л.</w:t>
      </w:r>
    </w:p>
    <w:p w:rsidR="00BB344C" w:rsidRDefault="00BB344C" w:rsidP="00BB344C">
      <w:pPr>
        <w:spacing w:after="0" w:line="240" w:lineRule="auto"/>
      </w:pPr>
      <w:r>
        <w:t>В процессе пуско-наладочных работ и эксплуатации расход реагентов корректируется.</w:t>
      </w:r>
    </w:p>
    <w:p w:rsidR="00BB344C" w:rsidRDefault="00BB344C" w:rsidP="00BB344C">
      <w:pPr>
        <w:spacing w:after="0" w:line="240" w:lineRule="auto"/>
      </w:pPr>
    </w:p>
    <w:p w:rsidR="00BB344C" w:rsidRDefault="00BB344C" w:rsidP="00BB344C">
      <w:pPr>
        <w:spacing w:after="0" w:line="240" w:lineRule="auto"/>
      </w:pPr>
    </w:p>
    <w:p w:rsidR="00BB344C" w:rsidRDefault="00BB344C" w:rsidP="00BB344C">
      <w:pPr>
        <w:spacing w:after="0" w:line="240" w:lineRule="auto"/>
      </w:pPr>
      <w:r>
        <w:t xml:space="preserve">Реагент </w:t>
      </w:r>
      <w:proofErr w:type="spellStart"/>
      <w:r>
        <w:t>HydroChem</w:t>
      </w:r>
      <w:proofErr w:type="spellEnd"/>
      <w:r>
        <w:t xml:space="preserve"> 160 сохраняет свои свойства в закрытой упаковке не менее 12 месяцев со дня изготовления.</w:t>
      </w:r>
    </w:p>
    <w:p w:rsidR="00BB344C" w:rsidRDefault="00BB344C" w:rsidP="00BB344C">
      <w:pPr>
        <w:spacing w:after="0" w:line="240" w:lineRule="auto"/>
      </w:pPr>
      <w:r>
        <w:t>Упаковка</w:t>
      </w:r>
    </w:p>
    <w:p w:rsidR="00BB344C" w:rsidRDefault="00BB344C" w:rsidP="00BB344C">
      <w:pPr>
        <w:spacing w:after="0" w:line="240" w:lineRule="auto"/>
      </w:pPr>
      <w:proofErr w:type="spellStart"/>
      <w:r>
        <w:t>HydroChem</w:t>
      </w:r>
      <w:proofErr w:type="spellEnd"/>
      <w:r>
        <w:t xml:space="preserve"> 160 поставляется в пластмассовых канистрах емкостью 25 кг. Вид перевозки не регламентируется.</w:t>
      </w:r>
    </w:p>
    <w:p w:rsidR="00BB344C" w:rsidRDefault="00BB344C" w:rsidP="00BB344C">
      <w:pPr>
        <w:spacing w:after="0" w:line="240" w:lineRule="auto"/>
      </w:pPr>
    </w:p>
    <w:p w:rsidR="00BB344C" w:rsidRDefault="00BB344C" w:rsidP="00BB344C">
      <w:pPr>
        <w:spacing w:after="0" w:line="240" w:lineRule="auto"/>
      </w:pPr>
    </w:p>
    <w:sectPr w:rsidR="00BB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4C"/>
    <w:rsid w:val="00B2170E"/>
    <w:rsid w:val="00BB344C"/>
    <w:rsid w:val="00FA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2025-10-03T06:57:00Z</dcterms:created>
  <dcterms:modified xsi:type="dcterms:W3CDTF">2025-10-03T07:13:00Z</dcterms:modified>
</cp:coreProperties>
</file>