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7620</wp:posOffset>
                </wp:positionV>
                <wp:extent cx="675005" cy="24765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5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854"/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Форма 2.2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text;margin-left:447.95pt;mso-position-horizontal:absolute;mso-position-vertical-relative:text;margin-top:0.60pt;mso-position-vertical:absolute;width:53.15pt;height:19.50pt;mso-wrap-distance-left:0.00pt;mso-wrap-distance-top:0.00pt;mso-wrap-distance-right:0.00pt;mso-wrap-distance-bottom:0.00pt;v-text-anchor:top;visibility:visible;" fillcolor="#FFFFFF" stroked="f" strokeweight="0.00pt">
                <v:textbox inset="0,0,0,0">
                  <w:txbxContent>
                    <w:p>
                      <w:pPr>
                        <w:pStyle w:val="854"/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Форма 2.2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jc w:val="center"/>
        <w:rPr>
          <w:b/>
          <w:bCs/>
          <w:i/>
          <w:iCs/>
        </w:rPr>
      </w:pPr>
      <w:r>
        <w:rPr>
          <w:b/>
          <w:bCs/>
          <w:i w:val="0"/>
          <w:iCs w:val="0"/>
          <w:sz w:val="18"/>
          <w:szCs w:val="18"/>
        </w:rPr>
        <w:t xml:space="preserve">КОНТРАКТ</w:t>
      </w:r>
      <w:r>
        <w:rPr>
          <w:b/>
          <w:bCs/>
          <w:i w:val="0"/>
          <w:iCs w:val="0"/>
          <w:sz w:val="18"/>
          <w:szCs w:val="18"/>
        </w:rPr>
        <w:t xml:space="preserve"> №100087882126100036</w:t>
      </w:r>
      <w:r>
        <w:rPr>
          <w:b/>
          <w:bCs/>
          <w:i/>
          <w:iCs/>
        </w:rPr>
      </w:r>
    </w:p>
    <w:p>
      <w:pPr>
        <w:pStyle w:val="852"/>
        <w:ind w:left="0" w:right="0" w:firstLine="0"/>
        <w:jc w:val="center"/>
        <w:spacing w:before="0" w:after="0"/>
        <w:widowControl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 xml:space="preserve">ВОЗМЕЗДНОГО ОКАЗАНИЯ</w:t>
      </w:r>
      <w:r>
        <w:rPr>
          <w:sz w:val="18"/>
          <w:szCs w:val="18"/>
        </w:rPr>
        <w:t xml:space="preserve"> МЕТРОЛОГИЧЕСКИХ УСЛУГ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rPr>
          <w:sz w:val="18"/>
          <w:szCs w:val="18"/>
        </w:rPr>
      </w:pPr>
      <w:r>
        <w:rPr>
          <w:sz w:val="18"/>
          <w:szCs w:val="18"/>
        </w:rPr>
        <w:t xml:space="preserve">г. Хабаровск                                                                                                                                                                    «___»  _______2026г.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b/>
          <w:bCs/>
          <w:sz w:val="18"/>
          <w:szCs w:val="18"/>
        </w:rPr>
        <w:t xml:space="preserve">Федеральное бюджетное учреждение «Государственный региональный центр стандартизации, метрологии и испытаний в Хабаровском крае и Еврейской автономной области» (ФБУ «Хабаровский ЦСМ»),</w:t>
      </w:r>
      <w:r>
        <w:rPr>
          <w:sz w:val="18"/>
          <w:szCs w:val="18"/>
        </w:rPr>
        <w:t xml:space="preserve"> в соответствии с заявленной в Уставе деятельностью, именуемое в дальнейшем «Исполнитель», в лице директора </w:t>
      </w:r>
      <w:r>
        <w:rPr>
          <w:b/>
          <w:bCs/>
          <w:sz w:val="18"/>
          <w:szCs w:val="18"/>
        </w:rPr>
        <w:t xml:space="preserve">Павлова Вадима Владимировича</w:t>
      </w:r>
      <w:r>
        <w:rPr>
          <w:sz w:val="18"/>
          <w:szCs w:val="18"/>
        </w:rPr>
        <w:t xml:space="preserve">, действующего на основании Устава, с одной стороны и </w:t>
      </w:r>
      <w:r>
        <w:rPr>
          <w:rFonts w:ascii="Times New Roman" w:hAnsi="Times New Roman"/>
          <w:b/>
          <w:bCs/>
          <w:i w:val="0"/>
          <w:strike w:val="0"/>
          <w:sz w:val="18"/>
          <w:szCs w:val="18"/>
          <w:u w:val="none"/>
        </w:rPr>
        <w:t xml:space="preserve">Ф</w:t>
      </w:r>
      <w:r>
        <w:rPr>
          <w:rFonts w:ascii="Times New Roman" w:hAnsi="Times New Roman"/>
          <w:b/>
          <w:i w:val="0"/>
          <w:strike w:val="0"/>
          <w:sz w:val="18"/>
          <w:szCs w:val="18"/>
          <w:u w:val="none"/>
        </w:rPr>
        <w:t xml:space="preserve">едеральное казённое учреждение "Главное бюро медико-социальной экспертизы по Хабаровскому краю" Министерства труда и социальной защиты Российской Федерации </w:t>
      </w:r>
      <w:r>
        <w:rPr>
          <w:rFonts w:ascii="Times New Roman" w:hAnsi="Times New Roman"/>
          <w:b/>
          <w:i w:val="0"/>
          <w:strike w:val="0"/>
          <w:sz w:val="18"/>
          <w:szCs w:val="18"/>
          <w:u w:val="none"/>
        </w:rPr>
        <w:t xml:space="preserve">(Ф</w:t>
      </w:r>
      <w:r>
        <w:rPr>
          <w:rFonts w:ascii="Times New Roman" w:hAnsi="Times New Roman"/>
          <w:b/>
          <w:i w:val="0"/>
          <w:strike w:val="0"/>
          <w:sz w:val="18"/>
          <w:szCs w:val="18"/>
          <w:u w:val="none"/>
        </w:rPr>
        <w:t xml:space="preserve">КУ "ГБ МСЭ по Хабаровскому краю"Минтруда России</w:t>
      </w:r>
      <w:r>
        <w:rPr>
          <w:rFonts w:ascii="Times New Roman" w:hAnsi="Times New Roman"/>
          <w:b/>
          <w:i w:val="0"/>
          <w:strike w:val="0"/>
          <w:sz w:val="18"/>
          <w:szCs w:val="18"/>
          <w:u w:val="none"/>
        </w:rPr>
        <w:t xml:space="preserve">)</w:t>
      </w:r>
      <w:r>
        <w:rPr>
          <w:b/>
          <w:bCs/>
          <w:sz w:val="18"/>
          <w:szCs w:val="18"/>
        </w:rPr>
        <w:t xml:space="preserve">, </w:t>
      </w:r>
      <w:r>
        <w:rPr>
          <w:sz w:val="18"/>
          <w:szCs w:val="18"/>
        </w:rPr>
        <w:t xml:space="preserve">именуемое в дальнейшем «Заказчик», в лице исполняющего обязанности 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р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уководител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я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 - главн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ого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 эксперт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а</w:t>
      </w:r>
      <w:r>
        <w:rPr>
          <w:rFonts w:ascii="Times New Roman" w:hAnsi="Times New Roman"/>
          <w:b w:val="0"/>
          <w:bCs w:val="0"/>
          <w:i w:val="0"/>
          <w:strike w:val="0"/>
          <w:sz w:val="18"/>
          <w:szCs w:val="18"/>
          <w:u w:val="none"/>
        </w:rPr>
        <w:t xml:space="preserve"> по медико-социальной экспертизе</w:t>
      </w:r>
      <w:r>
        <w:rPr>
          <w:rFonts w:ascii="Times New Roman" w:hAnsi="Times New Roman"/>
          <w:b/>
          <w:i w:val="0"/>
          <w:strike w:val="0"/>
          <w:sz w:val="18"/>
          <w:szCs w:val="18"/>
          <w:u w:val="none"/>
        </w:rPr>
        <w:t xml:space="preserve"> Иваненко Елены Геннадьевны</w:t>
      </w:r>
      <w:r>
        <w:rPr>
          <w:b/>
          <w:bCs/>
          <w:sz w:val="18"/>
          <w:szCs w:val="18"/>
        </w:rPr>
        <w:t xml:space="preserve">,</w:t>
      </w:r>
      <w:r>
        <w:rPr>
          <w:sz w:val="18"/>
          <w:szCs w:val="18"/>
        </w:rPr>
        <w:t xml:space="preserve"> действующего на  основании приказа № 60-к от 16.02.2026 и </w:t>
      </w:r>
      <w:r>
        <w:rPr>
          <w:sz w:val="18"/>
          <w:szCs w:val="18"/>
        </w:rPr>
        <w:t xml:space="preserve">Устава</w:t>
      </w:r>
      <w:r>
        <w:rPr>
          <w:sz w:val="18"/>
          <w:szCs w:val="18"/>
        </w:rPr>
        <w:t xml:space="preserve">, с другой стороны 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в соответствии с п. 4 ч. 1 ст. 93 Федерального </w:t>
      </w:r>
      <w:r>
        <w:rPr>
          <w:rFonts w:ascii="Liberation Serif" w:hAnsi="Liberation Serif" w:eastAsia="Liberation Serif" w:cs="Liberation Serif"/>
          <w:sz w:val="18"/>
          <w:szCs w:val="18"/>
        </w:rPr>
        <w:fldChar w:fldCharType="begin"/>
      </w:r>
      <w:r>
        <w:rPr>
          <w:rFonts w:ascii="Liberation Serif" w:hAnsi="Liberation Serif" w:eastAsia="Liberation Serif" w:cs="Liberation Serif"/>
          <w:sz w:val="18"/>
          <w:szCs w:val="18"/>
        </w:rPr>
        <w:instrText xml:space="preserve"> HYPERLINK "consultantplus://offline/main?base=LAW;n=116659;fld=134" </w:instrText>
      </w:r>
      <w:r>
        <w:rPr>
          <w:rFonts w:ascii="Liberation Serif" w:hAnsi="Liberation Serif" w:eastAsia="Liberation Serif" w:cs="Liberation Serif"/>
          <w:sz w:val="18"/>
          <w:szCs w:val="18"/>
        </w:rPr>
        <w:fldChar w:fldCharType="separate"/>
      </w:r>
      <w:r>
        <w:rPr>
          <w:rStyle w:val="858"/>
          <w:rFonts w:ascii="Liberation Serif" w:hAnsi="Liberation Serif" w:eastAsia="Liberation Serif" w:cs="Liberation Serif"/>
          <w:color w:val="000000"/>
          <w:sz w:val="18"/>
          <w:szCs w:val="18"/>
          <w:u w:val="none"/>
        </w:rPr>
        <w:t xml:space="preserve">закона</w:t>
      </w:r>
      <w:r>
        <w:rPr>
          <w:rFonts w:ascii="Liberation Serif" w:hAnsi="Liberation Serif" w:eastAsia="Liberation Serif" w:cs="Liberation Serif"/>
          <w:sz w:val="18"/>
          <w:szCs w:val="18"/>
        </w:rPr>
        <w:fldChar w:fldCharType="end"/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заключили,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настоящий договор о нижеследующем: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: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825"/>
        <w:ind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 Предмет договора.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Предметом настоящего Договора является оказание Исполнителем в 2026 году, по заданию и за счет Заказчика, метрологических услуг(далее – услуг)по: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поверке (калибровке) средств измерений (далее – СИ), входящих в область аккредитации ФБУ «Хабаровский ЦСМ»;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аттестации испытательного оборудования;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радиационному контролю;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метрологическому контролю.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Перечень услуг, их стоимость и сроки представления СИ указанны в Приложении № 1 – Спецификация (далее – Спецификация), являющегося неотъемлемой частью настоящего Договора.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1.3. Настоящим Заказчик дает согласие о внесении сведений о владельце СИ в Федеральный информационный фонд по обеспечению единства измерений на весь перечень СИ, поверенный в рамках настоящего Договора.</w:t>
      </w:r>
      <w:bookmarkStart w:id="0" w:name="_GoBack"/>
      <w:r/>
      <w:bookmarkEnd w:id="0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2. Права и обязанности сторон.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2.1. Исполнитель обязуется: 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2.1.1. Оказывать услуги согласно Спецификации в срок не более 20 (двадцати) рабочих дней с момента представления СИ И</w:t>
      </w:r>
      <w:r>
        <w:rPr>
          <w:sz w:val="18"/>
          <w:szCs w:val="18"/>
        </w:rPr>
        <w:t xml:space="preserve">сполнителю и в соответствии с требованиями нормативных документов. Под нормативными документами понимаются Федеральные законы, ГОСТы, Правила по метрологии, Методики, и т.п., определяющие порядок оказания и документального оформления метрологических услуг.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Все отчетные документы (счет-фактуры, акты об оказании услуг, свидетельства (извещения), протоколы и т.п.) предоставляются на дату фактического оказания услуг.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принятые СИ  Исполнитель выдает Заказчику документ установленной формы – Заявление (квитанция).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2.1.2. В случае расторжения Договора вернуть Заказчику  внесенную предоплату, за вычетом стоимости фактически оказанных услуг, в течение 10 (десяти) рабочих дней с момента предоставления соответствующего письменного запроса.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При оказании услуг на месте эксплуатации СИ (месте нахождения Заказчика) соблюдать установленный Заказчиком режим пребывания на его территории.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2.2.Исполнитель имеет право: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2.2.1. Не приступать к оказанию услуг по настоящему Договору до момента их оплаты Заказчиком (предъявления Заказчиком платежного поручения с отметкой банка (квитанции) или поступления денежных средств на лицевой счет Исполнителя).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2.2.2. Не приступать к оказанию услуг по настоящему Договору при несоблюдении Заказчиком требований пункта 2.3.2.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Увеличить, установленный пунктом 2.1.1., срок оказания услуг до 40 (сорока) рабочих дней, в случае  нарушения Заказчиком сроков представления СИ установленных пунктом 2.3.2.настоящего Договора.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2.3. Заказчик  обязуется: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2.3.1. Доставлять СИ к месту оказания услуг и обратно самостоятельно и за свой счет.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2.3.2. Представлять СИ не позднее 5 (пятого) числа месяца, указанного в Спецификации, в технически исправном состоянии, расконсервированными, очищенными от грязи, как правило, без упаковочной тары, укомплектованные техническим описанием (на русском языке),</w:t>
      </w:r>
      <w:r>
        <w:rPr>
          <w:sz w:val="18"/>
          <w:szCs w:val="18"/>
        </w:rPr>
        <w:t xml:space="preserve"> руководством (инструкцией) по эксплуатации (на русском языке), методикой поверки (на русском языке), паспортом (формуляром), свидетельством о последней поверке, соединительными проводами и кабелями и другими устройствами, необходимыми для оказания услуг.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7"/>
          <w:szCs w:val="17"/>
        </w:rPr>
      </w:pPr>
      <w:r>
        <w:rPr>
          <w:sz w:val="18"/>
          <w:szCs w:val="18"/>
        </w:rPr>
        <w:t xml:space="preserve">2.3.3.Представлять СИ, эксплуатируемые в (на)</w:t>
      </w:r>
      <w:r>
        <w:rPr>
          <w:sz w:val="18"/>
          <w:szCs w:val="18"/>
        </w:rPr>
        <w:t xml:space="preserve"> агрессивных (специальных) средах обеззараженными, нейтрализованными, дезактивированными. Указанные СИ принимаются только при наличии справки, подтверждающей выполнение владельцами СИ необходимых мероприятий по обеззараживанию, нейтрализации, дезактивации.</w:t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2.3.4. Своевременно и в полном объеме оплачивать услуги Исполнителя, согласно условиям настоящего Договора.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2.3.5.При оказании услуг на месте эксплуатации СИ (месте нахождения Заказчика):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2.3.5.1. Согласовывать в срок не менее чем за пять  рабочих дней(в пределах г.Хабаровска) и десять рабочих дней (за пределами г.Хабаровска) конкретную дату и время оказания услуг;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2.3.5.2. Подготавливать СИ для оказания услуг к согласованному времени;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2.3.5.3.Предоставлять Исполнителю соответствующие помещения, вспомогательный персонал (специалистов, грузчиков),транспорт;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7"/>
          <w:szCs w:val="17"/>
        </w:rPr>
      </w:pPr>
      <w:r>
        <w:rPr>
          <w:sz w:val="18"/>
          <w:szCs w:val="18"/>
        </w:rPr>
        <w:t xml:space="preserve">2.3.5.4.Проводить соответствующие инструктажи (по технике безопасности, по правилам нахождения на </w:t>
      </w:r>
      <w:r>
        <w:rPr>
          <w:sz w:val="18"/>
          <w:szCs w:val="18"/>
        </w:rPr>
        <w:t xml:space="preserve">территории и т.п.) и обеспечивать Исполнителя необходимыми средствами индивидуальной защиты (спецодежда, защитный головной убор и т.п.), в случаях установления Заказчиком соответствующих требований к  нахождению на своей территории (месте эксплуатации СИ).</w:t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825"/>
        <w:ind w:firstLine="28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2.4. Заказчик имеет право:     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2.4.1. Знакомиться с действующими Прейскурантами цен на услуги Исполнителя.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2.4.2. Проверить ход оказания услуг по Договору без вмешательства в оперативную деятельность Исполнителя.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7"/>
          <w:szCs w:val="17"/>
        </w:rPr>
      </w:pPr>
      <w:r>
        <w:rPr>
          <w:sz w:val="18"/>
          <w:szCs w:val="18"/>
        </w:rPr>
        <w:t xml:space="preserve">2.4.3. Расторгнуть Договор в любое время, уведомив Исполнителя не позднее чем за 10 (десять) рабочих дней до предполагаемой даты расторжения.</w:t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825"/>
        <w:ind w:firstLine="284"/>
        <w:jc w:val="both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825"/>
        <w:ind w:left="426"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 Стоимость услуг и порядок оплаты.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</w:t>
      </w:r>
      <w:r>
        <w:rPr>
          <w:sz w:val="18"/>
          <w:szCs w:val="18"/>
        </w:rPr>
        <w:t xml:space="preserve">Стоимость услуг определяется Прейскурантами цен Исполнителя, </w:t>
      </w:r>
      <w:r>
        <w:rPr>
          <w:sz w:val="18"/>
          <w:szCs w:val="18"/>
        </w:rPr>
        <w:t xml:space="preserve">утвержденными в установленном порядке. Стоимость услуг является твердой и устанавли</w:t>
      </w:r>
      <w:r>
        <w:rPr>
          <w:sz w:val="18"/>
          <w:szCs w:val="18"/>
        </w:rPr>
        <w:t xml:space="preserve">вается на весь срок исполнения К</w:t>
      </w:r>
      <w:r>
        <w:rPr>
          <w:sz w:val="18"/>
          <w:szCs w:val="18"/>
        </w:rPr>
        <w:t xml:space="preserve">онтракта.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3"/>
        <w:ind w:firstLine="284"/>
        <w:jc w:val="both"/>
        <w:rPr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Общая стоимость оказываемых услуг по настоящему Договору, согласно Спецификации, </w:t>
      </w:r>
      <w:r>
        <w:rPr>
          <w:rFonts w:ascii="Times New Roman" w:hAnsi="Times New Roman"/>
          <w:b/>
          <w:bCs/>
          <w:sz w:val="18"/>
          <w:szCs w:val="18"/>
        </w:rPr>
        <w:t xml:space="preserve">составляет </w:t>
      </w:r>
      <w:r>
        <w:rPr>
          <w:rFonts w:ascii="Times New Roman" w:hAnsi="Times New Roman"/>
          <w:b/>
          <w:bCs/>
          <w:i w:val="0"/>
          <w:strike w:val="0"/>
          <w:sz w:val="18"/>
          <w:szCs w:val="18"/>
          <w:u w:val="none"/>
        </w:rPr>
        <w:t xml:space="preserve">51 973,55 </w:t>
      </w:r>
      <w:r>
        <w:rPr>
          <w:rFonts w:ascii="Times New Roman" w:hAnsi="Times New Roman"/>
          <w:b/>
          <w:bCs/>
          <w:i w:val="0"/>
          <w:strike w:val="0"/>
          <w:sz w:val="18"/>
          <w:szCs w:val="18"/>
          <w:u w:val="none"/>
        </w:rPr>
        <w:t xml:space="preserve">рубля (Пятьдесят одна тысяча девятьсот семьдесят три рубля 55 копеек)</w:t>
      </w:r>
      <w:r>
        <w:rPr>
          <w:rFonts w:ascii="Times New Roman" w:hAnsi="Times New Roman"/>
          <w:b/>
          <w:bCs/>
          <w:sz w:val="18"/>
          <w:szCs w:val="18"/>
        </w:rPr>
        <w:t xml:space="preserve">, в том числе 22% НДС </w:t>
      </w:r>
      <w:r>
        <w:rPr>
          <w:rFonts w:ascii="Times New Roman" w:hAnsi="Times New Roman"/>
          <w:b/>
          <w:bCs/>
          <w:i w:val="0"/>
          <w:strike w:val="0"/>
          <w:sz w:val="18"/>
          <w:szCs w:val="18"/>
          <w:u w:val="none"/>
        </w:rPr>
        <w:t xml:space="preserve">9 372,28</w:t>
      </w:r>
      <w:r>
        <w:rPr>
          <w:rFonts w:ascii="Times New Roman" w:hAnsi="Times New Roman"/>
          <w:b/>
          <w:bCs/>
          <w:sz w:val="18"/>
          <w:szCs w:val="18"/>
        </w:rPr>
        <w:t xml:space="preserve"> рубл</w:t>
      </w:r>
      <w:r>
        <w:rPr>
          <w:rFonts w:ascii="Times New Roman" w:hAnsi="Times New Roman"/>
          <w:b/>
          <w:bCs/>
          <w:sz w:val="18"/>
          <w:szCs w:val="18"/>
        </w:rPr>
        <w:t xml:space="preserve">я</w:t>
      </w:r>
      <w:r>
        <w:rPr>
          <w:rFonts w:ascii="Times New Roman" w:hAnsi="Times New Roman"/>
          <w:b/>
          <w:bCs/>
          <w:sz w:val="18"/>
          <w:szCs w:val="18"/>
        </w:rPr>
        <w:t xml:space="preserve">.</w:t>
      </w:r>
      <w:r>
        <w:rPr>
          <w:bCs w:val="0"/>
          <w:sz w:val="18"/>
          <w:szCs w:val="18"/>
        </w:rPr>
      </w:r>
      <w:r>
        <w:rPr>
          <w:bCs w:val="0"/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3.2. Услуги Исполнителя оплачиваются Заказчиком путем наличного либо безналичного перечисления денежных средств на расчетный счет Исполнителя на основании выставленного, по заявке Заказчика, счета в следующем порядке: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сначала производится предварительная оплата в размере 30% от предстоящего, согласно Спецификации, объема оказываемых услуг;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окончательная оплата производится в течение 7 (семи) рабочих дней после оказания услуг, на основании акта выполненных работ (услуг), подписанного обеими Сторонами.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3.3. В случае досрочного расторжения Договора оплате подлежат фактически оказанные Исполнителем услуги.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4. Порядок сдачи и приема услуг.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right="21"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21"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4.1. Прием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услуг оформляется Актом об оказании услуг (далее – Акт), который подписывается уполномоченными представителями каждой из Сторон.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4.2. Заказ</w:t>
      </w:r>
      <w:r>
        <w:rPr>
          <w:sz w:val="18"/>
          <w:szCs w:val="18"/>
        </w:rPr>
        <w:t xml:space="preserve">чик, в течение 5 (пяти) рабочих дней с момента получения, оформляет в установленном порядке и возвращает Исполнителю Акт, либо предоставляет мотивированный отказ от подписания. Если Заказчик не предоставляет в установленный срок Исполнителю подписанный  Ак</w:t>
      </w:r>
      <w:r>
        <w:rPr>
          <w:sz w:val="18"/>
          <w:szCs w:val="18"/>
        </w:rPr>
        <w:t xml:space="preserve">т, то работы считаются принятыми за подписью Исполнителя и претензии к Исполнителю отсутствуют. Мотивированный отказ от подписания Акта считается направленным своевременно, если он поступил Исполнителю или направлен почтой не позднее указанного выше срока.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4.3. После подписания Акта обеими сторонами, Исполнитель, </w:t>
      </w:r>
      <w:r>
        <w:rPr>
          <w:sz w:val="18"/>
          <w:szCs w:val="18"/>
        </w:rPr>
        <w:t xml:space="preserve">в соответствии со ст.168 НК РФ и Постановления Правительства РФ № 1137 от 26.12.2011 г, в срок не позднее 5 (пяти) дней с момента приема оказанных услуг,  выставляет счет-фактуру в адрес Заказчика.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4.4. По итогам приемки выполненных работ, оказанных услуг Заказчик оформляет Акт приемки товаров, работ, услуг (ф. 0510452). Акт формируется на основании документов, предоставленных Исполнителем и подтверждающих оказания слуг.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4.5. Оплата за, </w:t>
      </w:r>
      <w:r>
        <w:rPr>
          <w:sz w:val="18"/>
          <w:szCs w:val="18"/>
        </w:rPr>
        <w:t xml:space="preserve">оказанную</w:t>
      </w:r>
      <w:r>
        <w:rPr>
          <w:sz w:val="18"/>
          <w:szCs w:val="18"/>
        </w:rPr>
        <w:t xml:space="preserve"> слугу производиться после подписания Акта приемки (ф. 0510452).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4.6</w:t>
      </w:r>
      <w:r>
        <w:rPr>
          <w:sz w:val="18"/>
          <w:szCs w:val="18"/>
        </w:rPr>
        <w:t xml:space="preserve">.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(ЭДО) с соблюдением требований российского законодательства, действующих на дату отправки документа.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4.7. В отсутствие организационно-технической возможности составления Акта приемки (ф. 0510452) в электронной форме Акт формируется на бумажном носителе и подписывается Заказчиком и Исполнителем. 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4.8. Предварительно Акта приемки (ф. 0510452) может быть </w:t>
      </w:r>
      <w:r>
        <w:rPr>
          <w:sz w:val="18"/>
          <w:szCs w:val="18"/>
        </w:rPr>
        <w:t xml:space="preserve">направлен</w:t>
      </w:r>
      <w:r>
        <w:rPr>
          <w:sz w:val="18"/>
          <w:szCs w:val="18"/>
        </w:rPr>
        <w:t xml:space="preserve"> Исполнителю электронной почтой, с досылкой оригинала письмом. Оригинал Акта приемки Исполнитель обязан вернуть в адрес Заказчика.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4.9.  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</w:t>
      </w:r>
      <w:r>
        <w:rPr>
          <w:sz w:val="18"/>
          <w:szCs w:val="18"/>
        </w:rPr>
        <w:t xml:space="preserve">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4.10</w:t>
      </w:r>
      <w:r>
        <w:rPr>
          <w:sz w:val="18"/>
          <w:szCs w:val="18"/>
        </w:rPr>
        <w:t xml:space="preserve">. Претензии к Исполнителю по комплектности СИ предъявляются Заказчиком в письменном виде при приеме оказанных услуг. После выдачи СИ представителю Заказчика или выезда представителей Исполнителя с места оказания услуг по </w:t>
      </w:r>
      <w:r>
        <w:rPr>
          <w:sz w:val="18"/>
          <w:szCs w:val="18"/>
        </w:rPr>
        <w:t xml:space="preserve">Контракт</w:t>
      </w:r>
      <w:r>
        <w:rPr>
          <w:sz w:val="18"/>
          <w:szCs w:val="18"/>
        </w:rPr>
        <w:t xml:space="preserve">у, претензии по комплектности СИ Исполнителем не принимаются.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5. Ответственность сторон.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5.1.Исполнитель несет ответственность за виновные действия со свое</w:t>
      </w:r>
      <w:r>
        <w:rPr>
          <w:sz w:val="18"/>
          <w:szCs w:val="18"/>
        </w:rPr>
        <w:t xml:space="preserve">й стороны, повлекшие порчу, утрату принятых для оказания метрологических услуг СИ, в размере стоимости утраченных приборов, либо стоимости ремонта поврежденного прибора, либо производит ремонт за свой счет, либо приобретает утраченный прибор за свой счет.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Исполнителем сроков оказания услуг Заказчик вправе потребовать уплаты неустойки, за исключением случаев указанных в пункте 5.3.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Размер неустойки устанавливается 0,1 (ноль целых одна десятая)% от стоимости просроченной услуги по Договору за каждый день просрочки.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5.3. Исполнитель не несет ответственность за просрочку исполнения обязательств по Договору, в случаях несоблюдения Заказчиком требований пунктов 2.3.2, 2.3.4 и 2.3.5.(2.3.5.1. - 2.3.5.4.)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5.4. Исполнитель не несет ответственность за несоблюдение требований пункта 2.1.3, в случаях несоблюдения Заказчиком требований пункта 2.3.5.4.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5.5. Сторона освобождается от ответственности по Договору,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5.6. В остальных случаях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6. Антикоррупционная  оговорка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6.1. При исполнении своих обязательств по Договору Стороны, их аффилированные лица, работники или посредники не выплачивают, не предлагают выпла</w:t>
      </w:r>
      <w:r>
        <w:rPr>
          <w:sz w:val="18"/>
          <w:szCs w:val="18"/>
        </w:rPr>
        <w:t xml:space="preserve">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 исполнении своих обязательств по Договору Стороны, их аффилированные лица, работники или посредники не осуществляют де</w:t>
      </w:r>
      <w:r>
        <w:rPr>
          <w:sz w:val="18"/>
          <w:szCs w:val="18"/>
        </w:rPr>
        <w:t xml:space="preserve">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6.2. В случае возникновения у Стороны под</w:t>
      </w:r>
      <w:r>
        <w:rPr>
          <w:sz w:val="18"/>
          <w:szCs w:val="18"/>
        </w:rPr>
        <w:t xml:space="preserve">озрений, что произошло или может произойти нарушение каких-либо положений пункта 6.1. настоящей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</w:t>
      </w:r>
      <w:r>
        <w:rPr>
          <w:sz w:val="18"/>
          <w:szCs w:val="18"/>
        </w:rPr>
        <w:t xml:space="preserve">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6.1. настоящей оговорки другой Стороной, ее аффилированными лицами, работниками или посредниками.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  <w:highlight w:val="white"/>
        </w:rPr>
      </w:pPr>
      <w:r>
        <w:rPr>
          <w:sz w:val="18"/>
          <w:szCs w:val="18"/>
        </w:rPr>
        <w:t xml:space="preserve">Каналы уведомления Заказчика</w:t>
      </w:r>
      <w:r>
        <w:rPr>
          <w:sz w:val="18"/>
          <w:szCs w:val="18"/>
          <w:highlight w:val="white"/>
        </w:rPr>
        <w:t xml:space="preserve">:(4212) 31-29-38, urist@mse27/ru</w:t>
      </w:r>
      <w:r>
        <w:rPr>
          <w:sz w:val="18"/>
          <w:szCs w:val="18"/>
          <w:highlight w:val="white"/>
          <w:shd w:val="clear" w:color="auto" w:fill="ffff00"/>
        </w:rPr>
        <w:t xml:space="preserve">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825"/>
        <w:ind w:firstLine="284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Каналы уведомления </w:t>
      </w:r>
      <w:r>
        <w:rPr>
          <w:b/>
          <w:bCs/>
          <w:sz w:val="18"/>
          <w:szCs w:val="18"/>
        </w:rPr>
        <w:t xml:space="preserve">ФБУ «Хабаровский ЦСМ</w:t>
      </w:r>
      <w:r>
        <w:rPr>
          <w:sz w:val="18"/>
          <w:szCs w:val="18"/>
        </w:rPr>
        <w:t xml:space="preserve"> о нарушениях каких-либо положений пункта 6.1. настоящей оговорки: corrupnet@csm27.ru,  юрисконсульт тел.(4212) 45-37-44 (доб.155).</w: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</w:t>
      </w:r>
      <w:r>
        <w:rPr>
          <w:sz w:val="18"/>
          <w:szCs w:val="18"/>
        </w:rPr>
        <w:t xml:space="preserve">орона, получившая уведомление о нарушении каких-либо положений пункта 6.1. настоящей оговорки,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6.3. Стороны гарантируют осуществление надлежащего разбирательства по фактам нарушения положений пункта 6.1. настоящей оговорки с соблюдением принципов конфиденциальност</w:t>
      </w:r>
      <w:r>
        <w:rPr>
          <w:sz w:val="18"/>
          <w:szCs w:val="18"/>
        </w:rPr>
        <w:t xml:space="preserve">и и применение эффективных мер по предотвращению возможных конфликтных ситуаций. Стороны гарантируют 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6.4. В случае подтверждения факта нарушения одной Стороной положений пункта 6.1. настоящей оговорки и/или неполучения другой Стороной информации об итогах рассмотрения уведомления о нарушении в соответствии с пунктом </w:t>
      </w:r>
      <w:r>
        <w:rPr>
          <w:sz w:val="18"/>
          <w:szCs w:val="18"/>
        </w:rPr>
        <w:t xml:space="preserve">6.2. настоящей оговорки,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(десять) календарных дней до даты прекращения действия настоящего Договора.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left="426"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left="426"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7. Срок действия договора и другие условия.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left="426" w:firstLine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825"/>
        <w:ind w:firstLine="284"/>
        <w:jc w:val="both"/>
      </w:pPr>
      <w:r>
        <w:rPr>
          <w:sz w:val="18"/>
          <w:szCs w:val="18"/>
        </w:rPr>
        <w:t xml:space="preserve">7.1.Договор вступает в силу с момента подписания его обеими Сторонами и действует  до </w:t>
      </w:r>
      <w:r>
        <w:rPr>
          <w:sz w:val="18"/>
          <w:szCs w:val="18"/>
        </w:rPr>
        <w:t xml:space="preserve">28</w:t>
      </w:r>
      <w:r>
        <w:rPr>
          <w:sz w:val="18"/>
          <w:szCs w:val="18"/>
        </w:rPr>
        <w:t xml:space="preserve"> декабря 2026 года, а в части расчетов до полного исполнения обязательств.</w:t>
      </w:r>
      <w:r/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7.2. Договор может быть расторгнут досрочно по соглашению сторон, в судебном порядке либо в одностороннем порядке в соответствии с действующим законодательством Российской Федерации.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7.3. Споры и разногласия между Сторонами, возникающие в ходе исполнения н</w:t>
      </w:r>
      <w:r>
        <w:rPr>
          <w:sz w:val="18"/>
          <w:szCs w:val="18"/>
        </w:rPr>
        <w:t xml:space="preserve">астоящего Договора, разрешаются в претензионном порядке. Срок рассмотрения и ответа на претензию 10 (десять) рабочих дней от даты получения. В случае неурегулирования спора в претензионном порядке, он передается заинтересованной стороной в Арбитражный суд.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right="21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7.4. В случае изменения условий настоящего Договора, Сторонами заключается дополнительное соглашение к Договору.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7.5. Копии учредительных документов, аттестат аккредитации, Прейскуранты цен и другие документы Исполнителя,  размещены на сайте: </w:t>
      </w:r>
      <w:r>
        <w:rPr>
          <w:sz w:val="18"/>
          <w:szCs w:val="18"/>
          <w:u w:val="single"/>
          <w:lang w:val="en-US"/>
        </w:rPr>
        <w:t xml:space="preserve">www</w:t>
      </w:r>
      <w:r>
        <w:rPr>
          <w:sz w:val="18"/>
          <w:szCs w:val="18"/>
          <w:u w:val="single"/>
        </w:rPr>
        <w:t xml:space="preserve">.</w:t>
      </w:r>
      <w:r>
        <w:rPr>
          <w:sz w:val="18"/>
          <w:szCs w:val="18"/>
          <w:u w:val="single"/>
          <w:lang w:val="en-US"/>
        </w:rPr>
        <w:t xml:space="preserve">csm</w:t>
      </w:r>
      <w:r>
        <w:rPr>
          <w:sz w:val="18"/>
          <w:szCs w:val="18"/>
          <w:u w:val="single"/>
        </w:rPr>
        <w:t xml:space="preserve">27.</w:t>
      </w:r>
      <w:r>
        <w:rPr>
          <w:sz w:val="18"/>
          <w:szCs w:val="18"/>
          <w:u w:val="single"/>
          <w:lang w:val="en-US"/>
        </w:rPr>
        <w:t xml:space="preserve">ru</w:t>
      </w:r>
      <w:r>
        <w:rPr>
          <w:sz w:val="18"/>
          <w:szCs w:val="18"/>
          <w:u w:val="single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7.6.Оперативное решение вопросов, связанных с Договором, осуществляют:</w: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От Заказчика</w:t>
      </w:r>
      <w:r>
        <w:rPr>
          <w:sz w:val="18"/>
          <w:szCs w:val="18"/>
        </w:rPr>
        <w:t xml:space="preserve">: </w:t>
      </w:r>
      <w:r>
        <w:rPr>
          <w:rStyle w:val="840"/>
          <w:rFonts w:eastAsia="Times New Roman" w:cs="Times New Roman"/>
          <w:color w:val="auto"/>
          <w:sz w:val="18"/>
          <w:szCs w:val="18"/>
          <w:u w:val="none"/>
          <w:lang w:val="ru-RU" w:eastAsia="ru-RU" w:bidi="ar-SA"/>
        </w:rPr>
        <w:t xml:space="preserve">Лабинская Оксана Сергеевна, 8 (4212) 312938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От Исполнителя</w:t>
      </w:r>
      <w:r>
        <w:rPr>
          <w:sz w:val="18"/>
          <w:szCs w:val="18"/>
        </w:rPr>
        <w:t xml:space="preserve">:расчетно-договорной отдел тел.(4212) 453-744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бухгалтер по взаиморасчетам тел.(4212)453-744 (доб. 161); юрисконсульт тел.(4212)453-744 (доб.155)</w:t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pStyle w:val="825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7.7. Договор составлен в двух экземплярах, по одному для каждой Стороны.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Приложение: Спецификация на 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л.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7.8. Адреса и расчетные счета сторон:</w:t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10263" w:type="dxa"/>
        <w:tblInd w:w="-1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35"/>
        <w:gridCol w:w="5127"/>
      </w:tblGrid>
      <w:tr>
        <w:tblPrEx/>
        <w:trPr/>
        <w:tc>
          <w:tcPr>
            <w:tcW w:w="5135" w:type="dxa"/>
            <w:textDirection w:val="lrTb"/>
            <w:noWrap w:val="false"/>
          </w:tcPr>
          <w:p>
            <w:pPr>
              <w:pStyle w:val="825"/>
              <w:jc w:val="both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Исполнитель: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825"/>
              <w:widowControl w:val="off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 xml:space="preserve">ФБУ «Хабаровский ЦСМ»</w:t>
              <w:br/>
              <w:t xml:space="preserve">680000, г. Хабаровск, ул. Карла Маркса, 65</w:t>
              <w:br/>
              <w:t xml:space="preserve">ИНН 2724005335, КПП 272401001</w:t>
              <w:br/>
              <w:t xml:space="preserve">УФК по Хабаровскому краю (ФБУ «Хабаровский ЦСМ»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r>
          </w:p>
          <w:p>
            <w:pPr>
              <w:pStyle w:val="825"/>
              <w:widowControl w:val="off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 xml:space="preserve">л/с 20226</w:t>
            </w: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 xml:space="preserve">Х11020) (в л/с X – на английском языке)</w:t>
              <w:br/>
              <w:t xml:space="preserve">Наименование банка получателя средств: ОКЦ № 2 ДГУ Банка России// УФК по Хабаровскому краю г.Хабаровск</w:t>
              <w:br/>
              <w:t xml:space="preserve">БИК банка получателя средств: 010813050</w:t>
              <w:br/>
              <w:t xml:space="preserve">ЕКС: 40102810845370000014</w:t>
              <w:br/>
              <w:t xml:space="preserve">Номер казначейского счета: 03214643000000012200</w:t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r>
          </w:p>
          <w:p>
            <w:pPr>
              <w:pStyle w:val="825"/>
              <w:ind w:firstLine="284"/>
              <w:jc w:val="both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127" w:type="dxa"/>
            <w:textDirection w:val="lrTb"/>
            <w:noWrap w:val="false"/>
          </w:tcPr>
          <w:p>
            <w:pPr>
              <w:pStyle w:val="825"/>
              <w:widowControl w:val="off"/>
              <w:tabs>
                <w:tab w:val="clear" w:pos="708" w:leader="none"/>
                <w:tab w:val="left" w:pos="3261" w:leader="none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Заказчик: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25"/>
              <w:ind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3609" w:leader="none"/>
              </w:tabs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pP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ФКУ "ГБ МСЭ по Хабаровскому краю"Минтруда России</w:t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</w:p>
          <w:p>
            <w:pPr>
              <w:pStyle w:val="825"/>
              <w:ind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3609" w:leader="none"/>
              </w:tabs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pP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Фрунзе ул., 67, г.Хабаровск, 680000</w:t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</w:p>
          <w:p>
            <w:pPr>
              <w:pStyle w:val="825"/>
              <w:ind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3609" w:leader="none"/>
              </w:tabs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pP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urist@mse27.ru</w:t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</w:p>
          <w:p>
            <w:pPr>
              <w:pStyle w:val="825"/>
              <w:ind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3609" w:leader="none"/>
              </w:tabs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pP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ИНН </w:t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2721122030</w:t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</w:p>
          <w:p>
            <w:pPr>
              <w:pStyle w:val="825"/>
              <w:ind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3609" w:leader="none"/>
              </w:tabs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pP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КПП </w:t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272101001</w:t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u w:val="none"/>
                <w:lang w:val="ru-RU" w:eastAsia="ru-RU" w:bidi="ar-SA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ОКЦ № 1 ДГУ БАНКА РОССИИ//УФК по Приморскому краю г. Владивосток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УФК по Приморскому краю (ФКУ «ГБ МСЭ по Хабаровскому краю» Минтруда России л/с 03221А74300)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Банковский счет: 40102810545370000012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Казначейский счет: 03211643000000012006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БИК 010507002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25"/>
              <w:ind w:firstLine="0"/>
              <w:jc w:val="both"/>
              <w:spacing w:before="0" w:after="0" w:line="240" w:lineRule="auto"/>
              <w:widowControl w:val="off"/>
              <w:tabs>
                <w:tab w:val="clear" w:pos="708" w:leader="none"/>
                <w:tab w:val="left" w:pos="3609" w:leader="none"/>
              </w:tabs>
              <w:rPr>
                <w:rStyle w:val="840"/>
                <w:rFonts w:eastAsia="Times New Roman" w:cs="Times New Roman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highlight w:val="yellow"/>
                <w:u w:val="none"/>
              </w:rPr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highlight w:val="yellow"/>
                <w:u w:val="none"/>
              </w:rPr>
            </w:r>
            <w:r>
              <w:rPr>
                <w:rStyle w:val="840"/>
                <w:rFonts w:eastAsia="Times New Roman" w:cs="Times New Roman"/>
                <w:color w:val="auto"/>
                <w:sz w:val="18"/>
                <w:szCs w:val="18"/>
                <w:highlight w:val="yellow"/>
                <w:u w:val="none"/>
              </w:rPr>
            </w:r>
          </w:p>
          <w:p>
            <w:pPr>
              <w:pStyle w:val="825"/>
              <w:ind w:left="0" w:right="0" w:firstLine="0"/>
              <w:jc w:val="left"/>
              <w:widowControl w:val="off"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sz w:val="18"/>
                <w:szCs w:val="1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  <w:lang w:val="ru-RU" w:eastAsia="ru-RU" w:bidi="ar-SA"/>
              </w:rPr>
            </w:r>
          </w:p>
        </w:tc>
      </w:tr>
      <w:tr>
        <w:tblPrEx/>
        <w:trPr>
          <w:trHeight w:val="955"/>
        </w:trPr>
        <w:tc>
          <w:tcPr>
            <w:tcW w:w="5135" w:type="dxa"/>
            <w:textDirection w:val="lrTb"/>
            <w:noWrap w:val="false"/>
          </w:tcPr>
          <w:p>
            <w:pPr>
              <w:pStyle w:val="825"/>
              <w:jc w:val="both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От Исполнителя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825"/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25"/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ФБУ «Хабаровский ЦСМ»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25"/>
              <w:jc w:val="both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825"/>
              <w:ind w:firstLine="284"/>
              <w:jc w:val="both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5127" w:type="dxa"/>
            <w:textDirection w:val="lrTb"/>
            <w:noWrap w:val="false"/>
          </w:tcPr>
          <w:p>
            <w:pPr>
              <w:pStyle w:val="825"/>
              <w:widowControl w:val="off"/>
              <w:tabs>
                <w:tab w:val="clear" w:pos="708" w:leader="none"/>
                <w:tab w:val="left" w:pos="3261" w:leader="none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От Заказчика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825"/>
              <w:jc w:val="left"/>
            </w:pPr>
            <w:r>
              <w:rPr>
                <w:rFonts w:ascii="Times New Roman" w:hAnsi="Times New Roman"/>
                <w:b w:val="0"/>
                <w:bCs w:val="0"/>
                <w:i w:val="0"/>
                <w:strike w:val="0"/>
                <w:sz w:val="18"/>
                <w:szCs w:val="18"/>
                <w:u w:val="none"/>
              </w:rPr>
              <w:t xml:space="preserve">И.о. руководителя - главного эксперта по медико-социальной экспертизе </w:t>
            </w:r>
            <w:r>
              <w:rPr>
                <w:rStyle w:val="840"/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18"/>
                <w:szCs w:val="18"/>
                <w:u w:val="none"/>
                <w:lang w:val="ru-RU" w:eastAsia="ru-RU" w:bidi="ar-SA"/>
              </w:rPr>
              <w:t xml:space="preserve">ФКУ "ГБ МСЭ по Хабаровскому краю"Минтруда России</w:t>
            </w:r>
            <w:r/>
          </w:p>
          <w:p>
            <w:pPr>
              <w:pStyle w:val="825"/>
              <w:ind w:firstLine="0"/>
              <w:jc w:val="left"/>
              <w:spacing w:before="0" w:after="0" w:line="240" w:lineRule="auto"/>
              <w:widowControl w:val="off"/>
              <w:tabs>
                <w:tab w:val="clear" w:pos="708" w:leader="none"/>
                <w:tab w:val="left" w:pos="3609" w:leader="none"/>
              </w:tabs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r>
          </w:p>
        </w:tc>
      </w:tr>
      <w:tr>
        <w:tblPrEx/>
        <w:trPr/>
        <w:tc>
          <w:tcPr>
            <w:tcW w:w="5135" w:type="dxa"/>
            <w:textDirection w:val="lrTb"/>
            <w:noWrap w:val="false"/>
          </w:tcPr>
          <w:p>
            <w:pPr>
              <w:pStyle w:val="825"/>
              <w:jc w:val="both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_____________________ В.В. Павлов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825"/>
              <w:ind w:firstLine="0"/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127" w:type="dxa"/>
            <w:textDirection w:val="lrTb"/>
            <w:noWrap w:val="false"/>
          </w:tcPr>
          <w:p>
            <w:pPr>
              <w:pStyle w:val="825"/>
              <w:widowControl w:val="off"/>
              <w:tabs>
                <w:tab w:val="clear" w:pos="708" w:leader="none"/>
                <w:tab w:val="left" w:pos="326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</w:t>
            </w:r>
            <w:r>
              <w:rPr>
                <w:sz w:val="18"/>
                <w:szCs w:val="18"/>
              </w:rPr>
              <w:t xml:space="preserve">Е.Г. Иваненко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25"/>
              <w:widowControl w:val="off"/>
              <w:tabs>
                <w:tab w:val="clear" w:pos="708" w:leader="none"/>
                <w:tab w:val="left" w:pos="326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25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hd w:val="nil" w:color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Style w:val="682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7"/>
        <w:gridCol w:w="510"/>
        <w:gridCol w:w="571"/>
        <w:gridCol w:w="763"/>
        <w:gridCol w:w="752"/>
        <w:gridCol w:w="575"/>
        <w:gridCol w:w="1121"/>
        <w:gridCol w:w="552"/>
        <w:gridCol w:w="364"/>
        <w:gridCol w:w="424"/>
        <w:gridCol w:w="624"/>
        <w:gridCol w:w="785"/>
        <w:gridCol w:w="362"/>
        <w:gridCol w:w="362"/>
        <w:gridCol w:w="362"/>
        <w:gridCol w:w="616"/>
        <w:gridCol w:w="356"/>
        <w:gridCol w:w="410"/>
        <w:gridCol w:w="765"/>
      </w:tblGrid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Карточка № 0073600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Приложение №1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7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 контракту № 100087882126100036 от ____   ___________ 2026 г.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51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7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ФЕДЕРАЛЬНОЕ КАЗЕННОЕ УЧРЕЖДЕНИЕ "ГЛАВНОЕ БЮРО МЕДИКО-СОЦИАЛЬНОЙ ЭКСПЕРТИЗЫ ПО ХАБАРОВСКОМУ КРАЮ" МИНИСТЕРСТВА ТРУДА И СОЦИАЛЬНОЙ ЗАЩИТЫ РОССИЙСКОЙ ФЕДЕРАЦИИ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7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Спецификация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№ п/п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Кол-во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Цена за ед., руб.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Наценка / Льгота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Стоимость без НДС, руб.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НДС 22%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Стоимость c НДС, руб.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%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Цена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Сумма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</w:tr>
      <w:tr>
        <w:tblPrEx/>
        <w:trPr>
          <w:trHeight w:val="6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Поверка  / 310001925 / Анализаторы концентрации паров этанола в выдыхаемом воздухе / Динго Е-200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6 387,00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0,00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6 387,00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1 405,14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7 792,14</w:t>
            </w:r>
            <w:r/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Поверка  / 360000409 / Аудиометр диагностический / AA222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14 626,22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0,00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14 626,22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3 217,77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17 843,99</w:t>
            </w:r>
            <w:r/>
          </w:p>
        </w:tc>
      </w:tr>
      <w:tr>
        <w:tblPrEx/>
        <w:trPr>
          <w:trHeight w:val="13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3</w:t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Поверка на месте эксплуатации / 350001792 / Комплекс компьютерный многофункциональный для исследования ЭМГ, ВП, ЭРГ и ОАЭ / Нейро-ЭРГ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6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21 588,05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  <w:t xml:space="preserve">0,00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21 588,05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4 749,37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26 337,42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09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Итого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33333"/>
                <w:sz w:val="16"/>
                <w:u w:val="none"/>
                <w:vertAlign w:val="baseline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42 601,27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1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9 372,28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5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51 973,55</w:t>
            </w:r>
            <w:r/>
          </w:p>
        </w:tc>
      </w:tr>
      <w:tr>
        <w:tblPrEx/>
        <w:trPr>
          <w:trHeight w:val="1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7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Для корректного учёта и сдачи НДС важно принимать сумму НДС из документа Исполнителя.</w:t>
            </w:r>
            <w:r/>
          </w:p>
        </w:tc>
      </w:tr>
      <w:tr>
        <w:tblPrEx/>
        <w:trPr>
          <w:trHeight w:val="2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73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 ваших интересах, как Заказчика, нами ведётся учёт по ценам за единицу оборудования (СИ).</w:t>
            </w:r>
            <w:r/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1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91" w:type="dxa"/>
            <w:vAlign w:val="bottom"/>
            <w:textDirection w:val="lrTb"/>
            <w:noWrap w:val="false"/>
          </w:tcPr>
          <w:p>
            <w:r/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ИСПОЛНИТЕЛЬ</w:t>
            </w: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1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4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blPrEx/>
        <w:trPr>
          <w:trHeight w:val="12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7" w:type="dxa"/>
            <w:vAlign w:val="bottom"/>
            <w:textDirection w:val="lrTb"/>
            <w:noWrap w:val="false"/>
          </w:tcPr>
          <w:p>
            <w:r/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single"/>
                <w:vertAlign w:val="baseline"/>
              </w:rPr>
              <w:t xml:space="preserve">Директор ____________________</w:t>
            </w:r>
            <w:r/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7" w:type="dxa"/>
            <w:vAlign w:val="bottom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highlight w:val="none"/>
                <w:u w:val="none"/>
              </w:rPr>
            </w:r>
          </w:p>
          <w:p>
            <w:pPr>
              <w:rPr>
                <w:rFonts w:ascii="Calibri" w:hAnsi="Calibri" w:eastAsia="Calibri" w:cs="Calibri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/>
            <w:r/>
            <w:r/>
          </w:p>
          <w:p>
            <w:pPr>
              <w:rPr>
                <w:rFonts w:ascii="Calibri" w:hAnsi="Calibri" w:eastAsia="Calibri" w:cs="Calibri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/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Павлов В.В.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50" w:type="dxa"/>
            <w:vAlign w:val="bottom"/>
            <w:textDirection w:val="lrTb"/>
            <w:noWrap w:val="false"/>
          </w:tcPr>
          <w:p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6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</w:tbl>
    <w:p>
      <w:pPr>
        <w:pStyle w:val="825"/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rPr>
          <w:rFonts w:ascii="Calibri" w:hAnsi="Calibri" w:eastAsia="Calibri" w:cs="Calibri"/>
          <w:b w:val="0"/>
          <w:i w:val="0"/>
          <w:strike w:val="0"/>
          <w:color w:val="000000"/>
          <w:sz w:val="22"/>
          <w:u w:val="none"/>
          <w:vertAlign w:val="baseline"/>
        </w:rPr>
      </w:r>
      <w:r/>
    </w:p>
    <w:p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hd w:val="nil" w:color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25"/>
        <w:ind w:firstLine="284"/>
        <w:jc w:val="righ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6" w:h="16838" w:orient="portrait"/>
      <w:pgMar w:top="284" w:right="442" w:bottom="284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character" w:styleId="655">
    <w:name w:val="Heading 1 Char"/>
    <w:basedOn w:val="830"/>
    <w:link w:val="826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30"/>
    <w:link w:val="827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830"/>
    <w:link w:val="828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830"/>
    <w:link w:val="829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5"/>
    <w:next w:val="825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30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5"/>
    <w:next w:val="825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30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5"/>
    <w:next w:val="825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30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5"/>
    <w:next w:val="825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30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5"/>
    <w:next w:val="825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30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30"/>
    <w:link w:val="852"/>
    <w:uiPriority w:val="10"/>
    <w:rPr>
      <w:sz w:val="48"/>
      <w:szCs w:val="48"/>
    </w:rPr>
  </w:style>
  <w:style w:type="paragraph" w:styleId="671">
    <w:name w:val="Subtitle"/>
    <w:basedOn w:val="825"/>
    <w:next w:val="825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30"/>
    <w:link w:val="671"/>
    <w:uiPriority w:val="11"/>
    <w:rPr>
      <w:sz w:val="24"/>
      <w:szCs w:val="24"/>
    </w:rPr>
  </w:style>
  <w:style w:type="paragraph" w:styleId="673">
    <w:name w:val="Quote"/>
    <w:basedOn w:val="825"/>
    <w:next w:val="825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5"/>
    <w:next w:val="825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25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Header Char"/>
    <w:basedOn w:val="830"/>
    <w:link w:val="677"/>
    <w:uiPriority w:val="99"/>
  </w:style>
  <w:style w:type="paragraph" w:styleId="679">
    <w:name w:val="Footer"/>
    <w:basedOn w:val="825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30"/>
    <w:link w:val="679"/>
    <w:uiPriority w:val="99"/>
  </w:style>
  <w:style w:type="character" w:styleId="681">
    <w:name w:val="Caption Char"/>
    <w:basedOn w:val="830"/>
    <w:link w:val="845"/>
    <w:uiPriority w:val="35"/>
    <w:rPr>
      <w:b/>
      <w:bCs/>
      <w:color w:val="4f81bd" w:themeColor="accent1"/>
      <w:sz w:val="18"/>
      <w:szCs w:val="18"/>
    </w:rPr>
  </w:style>
  <w:style w:type="table" w:styleId="682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footnote text"/>
    <w:basedOn w:val="825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830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30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26">
    <w:name w:val="Heading 1"/>
    <w:basedOn w:val="825"/>
    <w:next w:val="825"/>
    <w:link w:val="831"/>
    <w:uiPriority w:val="99"/>
    <w:qFormat/>
    <w:pPr>
      <w:keepNext/>
      <w:outlineLvl w:val="0"/>
    </w:pPr>
    <w:rPr>
      <w:b/>
      <w:bCs/>
    </w:rPr>
  </w:style>
  <w:style w:type="paragraph" w:styleId="827">
    <w:name w:val="Heading 2"/>
    <w:basedOn w:val="825"/>
    <w:next w:val="825"/>
    <w:link w:val="832"/>
    <w:uiPriority w:val="99"/>
    <w:qFormat/>
    <w:pPr>
      <w:keepNext/>
      <w:outlineLvl w:val="1"/>
    </w:pPr>
    <w:rPr>
      <w:b/>
      <w:bCs/>
      <w:sz w:val="23"/>
      <w:szCs w:val="23"/>
    </w:rPr>
  </w:style>
  <w:style w:type="paragraph" w:styleId="828">
    <w:name w:val="Heading 3"/>
    <w:basedOn w:val="825"/>
    <w:next w:val="825"/>
    <w:link w:val="833"/>
    <w:uiPriority w:val="99"/>
    <w:qFormat/>
    <w:pPr>
      <w:jc w:val="center"/>
      <w:keepNext/>
      <w:outlineLvl w:val="2"/>
    </w:pPr>
    <w:rPr>
      <w:b/>
      <w:bCs/>
      <w:sz w:val="30"/>
      <w:szCs w:val="30"/>
    </w:rPr>
  </w:style>
  <w:style w:type="paragraph" w:styleId="829">
    <w:name w:val="Heading 4"/>
    <w:basedOn w:val="825"/>
    <w:next w:val="825"/>
    <w:link w:val="834"/>
    <w:uiPriority w:val="99"/>
    <w:qFormat/>
    <w:pPr>
      <w:jc w:val="center"/>
      <w:keepNext/>
      <w:spacing w:line="192" w:lineRule="auto"/>
      <w:outlineLvl w:val="3"/>
    </w:pPr>
    <w:rPr>
      <w:rFonts w:ascii="Arial" w:hAnsi="Arial" w:cs="Arial"/>
      <w:b/>
      <w:bCs/>
      <w:sz w:val="24"/>
      <w:szCs w:val="24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 w:customStyle="1">
    <w:name w:val="Заголовок 1 Знак"/>
    <w:basedOn w:val="830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832" w:customStyle="1">
    <w:name w:val="Заголовок 2 Знак"/>
    <w:basedOn w:val="830"/>
    <w:uiPriority w:val="99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styleId="833" w:customStyle="1">
    <w:name w:val="Заголовок 3 Знак"/>
    <w:basedOn w:val="830"/>
    <w:uiPriority w:val="99"/>
    <w:semiHidden/>
    <w:qFormat/>
    <w:rPr>
      <w:rFonts w:ascii="Cambria" w:hAnsi="Cambria" w:cs="Cambria"/>
      <w:b/>
      <w:bCs/>
      <w:sz w:val="26"/>
      <w:szCs w:val="26"/>
    </w:rPr>
  </w:style>
  <w:style w:type="character" w:styleId="834" w:customStyle="1">
    <w:name w:val="Заголовок 4 Знак"/>
    <w:basedOn w:val="830"/>
    <w:uiPriority w:val="99"/>
    <w:semiHidden/>
    <w:qFormat/>
    <w:rPr>
      <w:rFonts w:ascii="Calibri" w:hAnsi="Calibri" w:cs="Calibri"/>
      <w:b/>
      <w:bCs/>
      <w:sz w:val="28"/>
      <w:szCs w:val="28"/>
    </w:rPr>
  </w:style>
  <w:style w:type="character" w:styleId="835" w:customStyle="1">
    <w:name w:val="Текст выноски Знак"/>
    <w:basedOn w:val="830"/>
    <w:link w:val="847"/>
    <w:uiPriority w:val="99"/>
    <w:semiHidden/>
    <w:qFormat/>
    <w:rPr>
      <w:sz w:val="2"/>
      <w:szCs w:val="2"/>
    </w:rPr>
  </w:style>
  <w:style w:type="character" w:styleId="836" w:customStyle="1">
    <w:name w:val="Основной текст 2 Знак"/>
    <w:basedOn w:val="830"/>
    <w:link w:val="848"/>
    <w:uiPriority w:val="99"/>
    <w:semiHidden/>
    <w:qFormat/>
    <w:rPr>
      <w:sz w:val="20"/>
      <w:szCs w:val="20"/>
    </w:rPr>
  </w:style>
  <w:style w:type="character" w:styleId="837" w:customStyle="1">
    <w:name w:val="Основной текст с отступом Знак"/>
    <w:basedOn w:val="830"/>
    <w:uiPriority w:val="99"/>
    <w:semiHidden/>
    <w:qFormat/>
    <w:rPr>
      <w:sz w:val="20"/>
      <w:szCs w:val="20"/>
    </w:rPr>
  </w:style>
  <w:style w:type="character" w:styleId="838" w:customStyle="1">
    <w:name w:val="Основной текст Знак"/>
    <w:basedOn w:val="830"/>
    <w:uiPriority w:val="99"/>
    <w:semiHidden/>
    <w:qFormat/>
    <w:rPr>
      <w:sz w:val="20"/>
      <w:szCs w:val="20"/>
    </w:rPr>
  </w:style>
  <w:style w:type="character" w:styleId="839" w:customStyle="1">
    <w:name w:val="Основной текст 3 Знак"/>
    <w:basedOn w:val="830"/>
    <w:link w:val="850"/>
    <w:uiPriority w:val="99"/>
    <w:semiHidden/>
    <w:qFormat/>
    <w:rPr>
      <w:sz w:val="16"/>
      <w:szCs w:val="16"/>
    </w:rPr>
  </w:style>
  <w:style w:type="character" w:styleId="840">
    <w:name w:val="Hyperlink"/>
    <w:basedOn w:val="830"/>
    <w:uiPriority w:val="99"/>
    <w:rPr>
      <w:color w:val="0000ff"/>
      <w:u w:val="single"/>
    </w:rPr>
  </w:style>
  <w:style w:type="character" w:styleId="841" w:customStyle="1">
    <w:name w:val="Название Знак"/>
    <w:basedOn w:val="830"/>
    <w:uiPriority w:val="99"/>
    <w:qFormat/>
    <w:rPr>
      <w:b/>
      <w:bCs/>
      <w:sz w:val="24"/>
      <w:szCs w:val="24"/>
    </w:rPr>
  </w:style>
  <w:style w:type="paragraph" w:styleId="842">
    <w:name w:val="Заголовок"/>
    <w:basedOn w:val="825"/>
    <w:next w:val="84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43">
    <w:name w:val="Body Text"/>
    <w:basedOn w:val="825"/>
    <w:link w:val="838"/>
    <w:uiPriority w:val="99"/>
    <w:pPr>
      <w:spacing w:before="0" w:after="120"/>
    </w:pPr>
  </w:style>
  <w:style w:type="paragraph" w:styleId="844">
    <w:name w:val="List"/>
    <w:basedOn w:val="843"/>
    <w:rPr>
      <w:rFonts w:ascii="PT Astra Serif" w:hAnsi="PT Astra Serif" w:cs="Noto Sans Devanagari"/>
    </w:rPr>
  </w:style>
  <w:style w:type="paragraph" w:styleId="845">
    <w:name w:val="Caption"/>
    <w:basedOn w:val="825"/>
    <w:link w:val="68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46">
    <w:name w:val="Указатель"/>
    <w:basedOn w:val="825"/>
    <w:qFormat/>
    <w:pPr>
      <w:suppressLineNumbers/>
    </w:pPr>
    <w:rPr>
      <w:rFonts w:ascii="PT Astra Serif" w:hAnsi="PT Astra Serif" w:cs="Noto Sans Devanagari"/>
    </w:rPr>
  </w:style>
  <w:style w:type="paragraph" w:styleId="847">
    <w:name w:val="Balloon Text"/>
    <w:basedOn w:val="825"/>
    <w:link w:val="835"/>
    <w:uiPriority w:val="99"/>
    <w:semiHidden/>
    <w:qFormat/>
    <w:rPr>
      <w:rFonts w:ascii="Tahoma" w:hAnsi="Tahoma" w:cs="Tahoma"/>
      <w:sz w:val="16"/>
      <w:szCs w:val="16"/>
    </w:rPr>
  </w:style>
  <w:style w:type="paragraph" w:styleId="848">
    <w:name w:val="Body Text 2"/>
    <w:basedOn w:val="825"/>
    <w:link w:val="836"/>
    <w:uiPriority w:val="99"/>
    <w:qFormat/>
    <w:pPr>
      <w:jc w:val="both"/>
    </w:pPr>
    <w:rPr>
      <w:sz w:val="28"/>
      <w:szCs w:val="28"/>
      <w:lang w:val="en-US"/>
    </w:rPr>
  </w:style>
  <w:style w:type="paragraph" w:styleId="849">
    <w:name w:val="Body Text Indent"/>
    <w:basedOn w:val="825"/>
    <w:link w:val="837"/>
    <w:uiPriority w:val="99"/>
    <w:pPr>
      <w:ind w:left="283"/>
      <w:spacing w:before="0" w:after="120"/>
    </w:pPr>
  </w:style>
  <w:style w:type="paragraph" w:styleId="850">
    <w:name w:val="Body Text 3"/>
    <w:basedOn w:val="825"/>
    <w:link w:val="839"/>
    <w:uiPriority w:val="99"/>
    <w:qFormat/>
    <w:pPr>
      <w:spacing w:before="0" w:after="120"/>
    </w:pPr>
    <w:rPr>
      <w:sz w:val="16"/>
      <w:szCs w:val="16"/>
    </w:rPr>
  </w:style>
  <w:style w:type="paragraph" w:styleId="851">
    <w:name w:val="List Paragraph"/>
    <w:basedOn w:val="825"/>
    <w:uiPriority w:val="99"/>
    <w:qFormat/>
    <w:pPr>
      <w:ind w:left="720"/>
    </w:pPr>
  </w:style>
  <w:style w:type="paragraph" w:styleId="852">
    <w:name w:val="Title"/>
    <w:basedOn w:val="825"/>
    <w:link w:val="841"/>
    <w:uiPriority w:val="99"/>
    <w:qFormat/>
    <w:pPr>
      <w:jc w:val="center"/>
    </w:pPr>
    <w:rPr>
      <w:b/>
      <w:bCs/>
      <w:sz w:val="24"/>
      <w:szCs w:val="24"/>
    </w:rPr>
  </w:style>
  <w:style w:type="paragraph" w:styleId="853" w:customStyle="1">
    <w:name w:val="ConsPlusNormal"/>
    <w:uiPriority w:val="99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ru-RU" w:bidi="ar-SA"/>
    </w:rPr>
  </w:style>
  <w:style w:type="paragraph" w:styleId="854">
    <w:name w:val="Содержимое врезки"/>
    <w:basedOn w:val="825"/>
    <w:qFormat/>
  </w:style>
  <w:style w:type="numbering" w:styleId="855" w:default="1">
    <w:name w:val="Без списка"/>
    <w:uiPriority w:val="99"/>
    <w:semiHidden/>
    <w:unhideWhenUsed/>
    <w:qFormat/>
  </w:style>
  <w:style w:type="table" w:styleId="85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 w:customStyle="1">
    <w:name w:val="ConsPlusNonformat"/>
    <w:next w:val="842"/>
    <w:link w:val="838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8" w:customStyle="1">
    <w:name w:val="Гиперссылка"/>
    <w:next w:val="849"/>
    <w:link w:val="83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CSM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>JOГO JARDIM x8?! PORRA! DIA 8 VOTA NГO!</dc:subject>
  <dc:creator>VOTA NГO А REGIONALIZAЗГO! SIM AO REFORЗO DO MUNICIPALISMO!</dc:creator>
  <dc:description>A REGIONALIZAЗГO Й UM ERRO COLOSSAL!</dc:description>
  <dc:language>ru-RU</dc:language>
  <cp:lastModifiedBy>Kudryavtseva-EL</cp:lastModifiedBy>
  <cp:revision>64</cp:revision>
  <dcterms:created xsi:type="dcterms:W3CDTF">2016-09-19T01:56:00Z</dcterms:created>
  <dcterms:modified xsi:type="dcterms:W3CDTF">2026-06-03T01:09:54Z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