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right" w:vertAnchor="page" w:tblpY="556" w:leftFromText="180" w:rightFromText="180"/>
        <w:tblW w:w="9527" w:type="dxa"/>
        <w:tblLook w:val="04A0" w:firstRow="1" w:lastRow="0" w:firstColumn="1" w:lastColumn="0" w:noHBand="0" w:noVBand="1"/>
      </w:tblPr>
      <w:tblGrid>
        <w:gridCol w:w="9527"/>
      </w:tblGrid>
      <w:tr>
        <w:trPr>
          <w:trHeight w:val="1415"/>
        </w:trPr>
        <w:tc>
          <w:tcPr>
            <w:tcW w:w="9527" w:type="dxa"/>
            <w:shd w:val="clear" w:color="auto" w:fill="auto"/>
          </w:tcPr>
          <w:p>
            <w:pPr>
              <w:tabs>
                <w:tab w:val="left" w:pos="4763"/>
              </w:tabs>
              <w:spacing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>
            <w:pPr>
              <w:tabs>
                <w:tab w:val="left" w:pos="4763"/>
              </w:tabs>
              <w:spacing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электронной версии контракта</w:t>
            </w:r>
          </w:p>
          <w:p>
            <w:pPr>
              <w:tabs>
                <w:tab w:val="left" w:pos="4763"/>
              </w:tabs>
              <w:spacing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</w:t>
            </w:r>
          </w:p>
          <w:p>
            <w:pPr>
              <w:tabs>
                <w:tab w:val="left" w:pos="4763"/>
              </w:tabs>
              <w:spacing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«__» _________ 2026 г.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работ по ремонту трубопроводов горячего водоснабжения в здании Роскомнадзора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выполнить работы по ремонту</w:t>
      </w:r>
      <w:r>
        <w:rPr>
          <w:rFonts w:ascii="Times New Roman" w:hAnsi="Times New Roman" w:cs="Times New Roman"/>
          <w:sz w:val="24"/>
          <w:szCs w:val="24"/>
        </w:rPr>
        <w:t xml:space="preserve"> трубопроводов горячего водоснабжения, с использованием запчастей и материалов Подрядчика, согласно спецификации (Приложение к техническому заданию).</w:t>
      </w:r>
    </w:p>
    <w:p>
      <w:pPr>
        <w:ind w:firstLine="36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Организация и выполнение Работ должны осуществляться с соблюдением законодательства Российской Федерации п</w:t>
      </w:r>
      <w:r>
        <w:rPr>
          <w:rFonts w:ascii="Times New Roman" w:hAnsi="Times New Roman" w:eastAsia="Times New Roman"/>
          <w:sz w:val="24"/>
          <w:szCs w:val="24"/>
        </w:rPr>
        <w:t xml:space="preserve">о охране труда, </w:t>
      </w:r>
      <w:hyperlink r:id="rId11" w:tooltip="Строительные нормы и правила" w:history="1">
        <w:r>
          <w:rPr>
            <w:rFonts w:ascii="Times New Roman" w:hAnsi="Times New Roman" w:eastAsia="Times New Roman"/>
            <w:sz w:val="24"/>
            <w:szCs w:val="24"/>
          </w:rPr>
          <w:t xml:space="preserve">строительных норм</w:t>
        </w:r>
      </w:hyperlink>
      <w:r>
        <w:rPr>
          <w:rFonts w:ascii="Times New Roman" w:hAnsi="Times New Roman" w:eastAsia="Times New Roman"/>
          <w:sz w:val="24"/>
          <w:szCs w:val="24"/>
        </w:rPr>
        <w:t xml:space="preserve"> и правил, сводов правил по проектированию и строительству, межотраслевых, отраслевых правил и типовых инструк</w:t>
      </w:r>
      <w:r>
        <w:rPr>
          <w:rFonts w:ascii="Times New Roman" w:hAnsi="Times New Roman" w:eastAsia="Times New Roman"/>
          <w:sz w:val="24"/>
          <w:szCs w:val="24"/>
        </w:rPr>
        <w:t xml:space="preserve">ций по охране труда, правил безопасности, правил устройства и безопасной эксплуатации, инструкций по безопасности, утверждённых Минздравом России государственных санитарно-эпидемиологических правил и нормативов, гигиенических нормативов, санитарных правил </w:t>
      </w:r>
      <w:r>
        <w:rPr>
          <w:rFonts w:ascii="Times New Roman" w:hAnsi="Times New Roman" w:eastAsia="Times New Roman"/>
          <w:sz w:val="24"/>
          <w:szCs w:val="24"/>
        </w:rPr>
        <w:t xml:space="preserve">и норм.</w:t>
      </w:r>
    </w:p>
    <w:p>
      <w:pPr>
        <w:ind w:firstLine="36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Вся полнота ответственности за соблюдение норм и правил по технике безопасности, электробезопасности и пожарной безопасности возлагается на Подрядчика.</w:t>
      </w:r>
    </w:p>
    <w:p>
      <w:pPr>
        <w:ind w:firstLine="36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Все используемые материалы должны соответствовать соответствующим нормативным документам, действ</w:t>
      </w:r>
      <w:r>
        <w:rPr>
          <w:rFonts w:ascii="Times New Roman" w:hAnsi="Times New Roman" w:eastAsia="Times New Roman"/>
          <w:sz w:val="24"/>
          <w:szCs w:val="24"/>
        </w:rPr>
        <w:t xml:space="preserve">ующим на территории Российской Федерации: строительным нормам и правилам, государственным стандартам, сводам правил по проектированию и строительству.</w:t>
      </w:r>
    </w:p>
    <w:p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Подрядчику необходимо обеспечить: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ограждение рабочей зоны и нести ответственность за безопасность перед</w:t>
      </w:r>
      <w:r>
        <w:rPr>
          <w:rFonts w:ascii="Times New Roman" w:hAnsi="Times New Roman"/>
          <w:sz w:val="24"/>
          <w:szCs w:val="24"/>
        </w:rPr>
        <w:t xml:space="preserve">вижения в рабочей зоне;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ликвидацию рабочей зоны, уборку мусора, материалов и разборку ограждений после окончания работ </w:t>
      </w:r>
      <w:r>
        <w:rPr>
          <w:rFonts w:ascii="Times New Roman" w:hAnsi="Times New Roman" w:cs="Times New Roman"/>
          <w:sz w:val="24"/>
          <w:szCs w:val="24"/>
        </w:rPr>
        <w:t xml:space="preserve">по ремонту трубопроводов горячего водоснабжения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Порядок выполнения работ: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Ind w:w="543" w:type="dxa"/>
        <w:tblLayout w:type="fixed"/>
        <w:tblLook w:val="04A0" w:firstRow="1" w:lastRow="0" w:firstColumn="1" w:lastColumn="0" w:noHBand="0" w:noVBand="1"/>
      </w:tblPr>
      <w:tblGrid>
        <w:gridCol w:w="1103"/>
        <w:gridCol w:w="3686"/>
        <w:gridCol w:w="1559"/>
        <w:gridCol w:w="1560"/>
      </w:tblGrid>
      <w:tr>
        <w:trPr>
          <w:trHeight w:val="75"/>
        </w:trPr>
        <w:tc>
          <w:tcPr>
            <w:tcW w:w="1103" w:type="dxa"/>
          </w:tcPr>
          <w:p>
            <w:pPr>
              <w:ind w:right="64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работ</w:t>
            </w:r>
          </w:p>
        </w:tc>
        <w:tc>
          <w:tcPr>
            <w:tcW w:w="1559" w:type="dxa"/>
          </w:tcPr>
          <w:p>
            <w:pPr>
              <w:ind w:right="6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Ед. изм.</w:t>
            </w:r>
          </w:p>
        </w:tc>
        <w:tc>
          <w:tcPr>
            <w:tcW w:w="1560" w:type="dxa"/>
          </w:tcPr>
          <w:p>
            <w:pPr>
              <w:ind w:right="6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Объём 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циркуляционного насоса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циркуляционного насоса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трубопровода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трубопровода ГВС Ф20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Теплоизоляция трубопровода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Гидравлические испытания трубопровода ГВС 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трубопровода канализации ПВХ ф50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трубопровода канализации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SML</w:t>
            </w:r>
            <w:r>
              <w:rPr>
                <w:rFonts w:ascii="Times New Roman" w:hAnsi="Times New Roman" w:eastAsia="Times New Roman" w:cs="Times New Roman"/>
              </w:rPr>
              <w:t xml:space="preserve"> ф50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</w:tr>
      <w:tr>
        <w:trPr>
          <w:trHeight w:val="497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шарового крана ф32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шарового крана ф32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Материалы: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Труба чугунная без раструбная SML ф50мм, расходники</w:t>
            </w:r>
            <w:r>
              <w:rPr>
                <w:rFonts w:ascii="Times New Roman" w:hAnsi="Times New Roman" w:eastAsia="Times New Roman" w:cs="Times New Roman"/>
              </w:rPr>
              <w:t xml:space="preserve"> SML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             6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Труба стальная ВГП оцинкованная ф20мм, расходники оцинкованные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</w:tr>
      <w:tr>
        <w:trPr>
          <w:trHeight w:val="70"/>
        </w:trPr>
        <w:tc>
          <w:tcPr>
            <w:tcW w:w="1103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</w:p>
        </w:tc>
        <w:tc>
          <w:tcPr>
            <w:tcW w:w="3686" w:type="dxa"/>
          </w:tcPr>
          <w:p>
            <w:pPr>
              <w:ind w:right="6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Краны шаровые ф32, 20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60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ff1"/>
        <w:numPr>
          <w:numId w:val="2"/>
          <w:ilvl w:val="0"/>
        </w:numPr>
        <w:spacing w:after="160" w:line="259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Выполнение Работ осуществляется Подрядчиком с даты заключения контракта в течение 14 рабочих дней.</w:t>
      </w:r>
    </w:p>
    <w:p>
      <w:pPr>
        <w:pStyle w:val="aff1"/>
        <w:numPr>
          <w:numId w:val="2"/>
          <w:ilvl w:val="0"/>
        </w:numPr>
        <w:spacing w:after="160" w:line="259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Подрядчик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течении 1 рабочего дня после подписания государственного контракта направляет в адрес Заказчика уведомление о времени выполнения Работ с предоставлением списка работников, по электронной k.vorobyev@rkn.gov.ru</w:t>
      </w:r>
    </w:p>
    <w:p>
      <w:pPr>
        <w:keepNext/>
        <w:jc w:val="both"/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Порядок оплаты </w:t>
      </w:r>
    </w:p>
    <w:p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осуществляется путем </w:t>
      </w:r>
      <w:r>
        <w:rPr>
          <w:rFonts w:ascii="Times New Roman" w:hAnsi="Times New Roman" w:cs="Times New Roman"/>
          <w:sz w:val="24"/>
          <w:szCs w:val="24"/>
        </w:rPr>
        <w:t xml:space="preserve">перечисления Заказчиком денежных средств на расчетный счет Подрядчика, на основании Счета, Акта выполненных работ в течение 10 (десяти) рабочих дней с даты подписания Сторонами Акта выполненных работ.</w:t>
      </w:r>
    </w:p>
    <w:p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сдачи и приемки Работ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Приемка результатов выпол</w:t>
      </w:r>
      <w:r>
        <w:rPr>
          <w:rFonts w:ascii="Times New Roman" w:hAnsi="Times New Roman" w:cs="Times New Roman"/>
          <w:sz w:val="24"/>
          <w:szCs w:val="24"/>
        </w:rPr>
        <w:t xml:space="preserve">ненных Работ проводится путем проверки полноты и качества выполненных Работ.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сдаче результата выполненных Работ Заказчику, Подрядчик обязан сообщить ему о требованиях, которые необходимо соблюдать для эффективного и безопасного использования результата</w:t>
      </w:r>
      <w:r>
        <w:rPr>
          <w:rFonts w:ascii="Times New Roman" w:hAnsi="Times New Roman" w:cs="Times New Roman"/>
          <w:sz w:val="24"/>
          <w:szCs w:val="24"/>
        </w:rPr>
        <w:t xml:space="preserve"> выполненных Работ, а также о возможных для самого Заказчика и других лиц последствиях несоблюдения соответствующих требований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Подрядчик передает Заказчику подписанный со своей стороны в 2 (двух) экземплярах Акт и 1 (один) экземпляр счета. 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Заказчик в течение 10  рабочих дней с момента предоставления Акта и счета Подрядчиком, осуществляет приемку выполненных Работ.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Заказчика замечаний к качеству выполненных Работ Подрядчиком, Заказчик подписывает Акты и направляет один э</w:t>
      </w:r>
      <w:r>
        <w:rPr>
          <w:rFonts w:ascii="Times New Roman" w:hAnsi="Times New Roman" w:cs="Times New Roman"/>
          <w:sz w:val="24"/>
          <w:szCs w:val="24"/>
        </w:rPr>
        <w:t xml:space="preserve">кземпляр Акта Подрядчику.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от подписания Акта Заказчиком, составляется Акт с перечнем выявленных недостатков и с указанием сроков их устранения и направляется в адрес Подрядчика в течение одного рабочего дня с даты его подписания. Выявленные</w:t>
      </w:r>
      <w:r>
        <w:rPr>
          <w:rFonts w:ascii="Times New Roman" w:hAnsi="Times New Roman" w:cs="Times New Roman"/>
          <w:sz w:val="24"/>
          <w:szCs w:val="24"/>
        </w:rPr>
        <w:t xml:space="preserve"> недостатки устраняются Подрядчиком за его счет. 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Подрядчик в течение 5 (пяти) календарных дней с момента получения Акта с перечнем выявленных недостатков устраняет указанные недостатки за свой счет.</w:t>
      </w:r>
    </w:p>
    <w:p>
      <w:pPr>
        <w:spacing w:after="160" w:line="259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После устранения недостатков, указанных в Акте с перечне</w:t>
      </w:r>
      <w:r>
        <w:rPr>
          <w:rFonts w:ascii="Times New Roman" w:hAnsi="Times New Roman" w:cs="Times New Roman"/>
          <w:sz w:val="24"/>
          <w:szCs w:val="24"/>
        </w:rPr>
        <w:t xml:space="preserve">м выявленных недостатков, в течение 1 (одного) рабочего дня, Подрядчик направляет Заказчику счет на оплату и Акт в 2 (двух) экземплярах.</w:t>
      </w:r>
    </w:p>
    <w:p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Подписанный Сторонами Акт и предоставленный Подрядчиком счет на оплату являются основанием для оплаты выполненных Работ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keepNext/>
        <w:jc w:val="both"/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Гарантийные обязательства</w:t>
      </w:r>
    </w:p>
    <w:p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гарантирует результат произведенных в соответствии с Техническим заданием работ на срок не менее 12 месяцев с даты подписания обеими сторонами Акта выполненных работ, и устранение выявленных недостатков в выполненных р</w:t>
      </w:r>
      <w:r>
        <w:rPr>
          <w:rFonts w:ascii="Times New Roman" w:hAnsi="Times New Roman" w:cs="Times New Roman"/>
          <w:sz w:val="24"/>
          <w:szCs w:val="24"/>
        </w:rPr>
        <w:t xml:space="preserve">аботах. Подрядчик в пределах гарантийного обязательства обязуется безвозмездно устранять выявленные в выполненных работах недостатки в срок не более 48 часов с момента обращения Заказчика.</w:t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Электронная версия контракта действует до 31.08.2026</w:t>
      </w:r>
    </w:p>
    <w:p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ageBreakBefore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техническому заданию</w:t>
      </w:r>
    </w:p>
    <w:p>
      <w:pPr>
        <w:pStyle w:val="aff1"/>
        <w:spacing w:after="60" w:line="360" w:lineRule="auto"/>
        <w:ind w:left="0"/>
        <w:jc w:val="center"/>
        <w:rPr>
          <w:rFonts w:ascii="Times New Roman" w:hAnsi="Times New Roman" w:eastAsia="Times New Roman"/>
          <w:b/>
        </w:rPr>
      </w:pPr>
    </w:p>
    <w:p>
      <w:pPr>
        <w:pStyle w:val="aff1"/>
        <w:spacing w:after="60" w:line="360" w:lineRule="auto"/>
        <w:ind w:left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Спецификация</w:t>
      </w:r>
    </w:p>
    <w:tbl>
      <w:tblPr>
        <w:tblStyle w:val="af4"/>
        <w:tblW w:w="11309" w:type="dxa"/>
        <w:tblInd w:w="-1250" w:type="dxa"/>
        <w:tblLayout w:type="fixed"/>
        <w:tblLook w:val="04A0" w:firstRow="1" w:lastRow="0" w:firstColumn="1" w:lastColumn="0" w:noHBand="0" w:noVBand="1"/>
      </w:tblPr>
      <w:tblGrid>
        <w:gridCol w:w="1108"/>
        <w:gridCol w:w="3260"/>
        <w:gridCol w:w="1559"/>
        <w:gridCol w:w="1559"/>
        <w:gridCol w:w="1839"/>
        <w:gridCol w:w="1984"/>
      </w:tblGrid>
      <w:tr>
        <w:trPr>
          <w:trHeight w:val="75"/>
        </w:trPr>
        <w:tc>
          <w:tcPr>
            <w:tcW w:w="1108" w:type="dxa"/>
          </w:tcPr>
          <w:p>
            <w:pPr>
              <w:ind w:right="64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работ</w:t>
            </w:r>
          </w:p>
        </w:tc>
        <w:tc>
          <w:tcPr>
            <w:tcW w:w="1559" w:type="dxa"/>
          </w:tcPr>
          <w:p>
            <w:pPr>
              <w:ind w:right="6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Ед. изм.</w:t>
            </w:r>
          </w:p>
        </w:tc>
        <w:tc>
          <w:tcPr>
            <w:tcW w:w="1559" w:type="dxa"/>
          </w:tcPr>
          <w:p>
            <w:pPr>
              <w:ind w:right="6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Объём </w:t>
            </w:r>
          </w:p>
        </w:tc>
        <w:tc>
          <w:tcPr>
            <w:tcW w:w="1839" w:type="dxa"/>
          </w:tcPr>
          <w:p>
            <w:pPr>
              <w:ind w:right="6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Цена, руб.*  </w:t>
            </w:r>
          </w:p>
        </w:tc>
        <w:tc>
          <w:tcPr>
            <w:tcW w:w="1984" w:type="dxa"/>
          </w:tcPr>
          <w:p>
            <w:pPr>
              <w:ind w:right="3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Стоимость, руб.*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циркуляционного насоса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4 500,00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9 000,00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циркуляционного насоса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17 000,00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34 000,00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трубопровода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2 100,00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трубопровода ГВС Ф20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1 450,00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8 700,00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Теплоизоляция трубопровода ГВС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2 100,00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Гидравлические испытания трубопровода ГВС 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10 000,00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10 000,00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трубопровода канализации ПВХ ф50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750,00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4 500,00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трубопровода канализации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SML</w:t>
            </w:r>
            <w:r>
              <w:rPr>
                <w:rFonts w:ascii="Times New Roman" w:hAnsi="Times New Roman" w:eastAsia="Times New Roman" w:cs="Times New Roman"/>
              </w:rPr>
              <w:t xml:space="preserve"> ф50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3 500,00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21 000,00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Снятие шарового крана ф32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800,00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3 200,00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Установка шарового крана ф32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2 700</w:t>
            </w:r>
            <w:bookmarkStart w:id="0" w:name="undefined"/>
            <w:bookmarkEnd w:id="0"/>
            <w:r>
              <w:rPr>
                <w:rFonts w:ascii="Times New Roman" w:hAnsi="Times New Roman" w:eastAsia="Times New Roman" w:cs="Times New Roman"/>
              </w:rPr>
              <w:t xml:space="preserve">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10 800,00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Материалы: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Труба чугунная без раструбная SML ф50мм, расходники SML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              6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6 453,30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38 719,80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Труба стальная ВГП оцинкованная ф20мм, расходники</w:t>
            </w:r>
            <w:r>
              <w:rPr>
                <w:rFonts w:ascii="Times New Roman" w:hAnsi="Times New Roman" w:eastAsia="Times New Roman" w:cs="Times New Roman"/>
              </w:rPr>
              <w:t xml:space="preserve"> оцинкованные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м.п.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696,60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4 179,60</w:t>
            </w:r>
          </w:p>
        </w:tc>
      </w:tr>
      <w:tr>
        <w:trPr>
          <w:trHeight w:val="70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Краны шаровые ф32, 20 мм</w:t>
            </w: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шт</w:t>
            </w: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</w:p>
        </w:tc>
        <w:tc>
          <w:tcPr>
            <w:tcW w:w="1839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1 796,00</w:t>
            </w:r>
          </w:p>
        </w:tc>
        <w:tc>
          <w:tcPr>
            <w:tcW w:w="1984" w:type="dxa"/>
          </w:tcPr>
          <w:p>
            <w:pPr>
              <w:ind w:right="64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8 980,00</w:t>
            </w:r>
          </w:p>
        </w:tc>
      </w:tr>
      <w:tr>
        <w:trPr>
          <w:trHeight w:val="253"/>
        </w:trPr>
        <w:tc>
          <w:tcPr>
            <w:tcW w:w="1108" w:type="dxa"/>
          </w:tcPr>
          <w:p>
            <w:pPr>
              <w:ind w:right="646"/>
              <w:jc w:val="center"/>
              <w:rPr>
                <w:rFonts w:ascii="Times New Roman" w:hAnsi="Times New Roman" w:eastAsia="Times New Roman" w:cs="Times New Roman"/>
              </w:rPr>
            </w:pPr>
            <w:bookmarkStart w:id="1" w:name="_GoBack"/>
            <w:bookmarkEnd w:id="1"/>
          </w:p>
        </w:tc>
        <w:tc>
          <w:tcPr>
            <w:tcW w:w="3260" w:type="dxa"/>
          </w:tcPr>
          <w:p>
            <w:pPr>
              <w:ind w:right="646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59" w:type="dxa"/>
          </w:tcPr>
          <w:p>
            <w:pPr>
              <w:ind w:right="646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59" w:type="dxa"/>
          </w:tcPr>
          <w:p>
            <w:pPr>
              <w:ind w:right="646"/>
              <w:jc w:val="right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823" w:type="dxa"/>
            <w:gridSpan w:val="2"/>
          </w:tcPr>
          <w:p>
            <w:pPr>
              <w:ind w:right="646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</w:rPr>
              <w:t xml:space="preserve">Итого: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157 279,40</w:t>
            </w: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*Валюта рубль Российской Федерации.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*Указанное значение цены будет снижено </w:t>
      </w:r>
      <w:r>
        <w:rPr>
          <w:rFonts w:ascii="Times New Roman" w:hAnsi="Times New Roman"/>
        </w:rPr>
        <w:t xml:space="preserve">пропорционально поданному ценовому предложению участника закупочной сессии, с которым заключается контракт при этом, в случае если при делении на коэффициент снижения образуется более двух значений после запятой, то округление происходит в меньшую сторону.</w:t>
      </w:r>
    </w:p>
    <w:p>
      <w:pPr>
        <w:spacing w:line="259" w:lineRule="auto"/>
        <w:jc w:val="both"/>
        <w:rPr>
          <w:rFonts w:ascii="Times New Roman" w:hAnsi="Times New Roman"/>
        </w:rPr>
      </w:pPr>
    </w:p>
    <w:p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318179267"/>
      <w:docPartObj>
        <w:docPartGallery w:val="Page Numbers (Bottom of Page)"/>
        <w:docPartUnique w:val="true"/>
      </w:docPartObj>
    </w:sdtPr>
    <w:sdtContent>
      <w:p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E7214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AA228018">
      <w:start w:val="1"/>
      <w:numFmt w:val="lowerLetter"/>
      <w:lvlText w:val="%2."/>
      <w:lvlJc w:val="left"/>
      <w:pPr>
        <w:ind w:left="1440" w:hanging="360"/>
      </w:pPr>
    </w:lvl>
    <w:lvl w:ilvl="2" w:tplc="A156DC08">
      <w:start w:val="1"/>
      <w:numFmt w:val="lowerRoman"/>
      <w:lvlText w:val="%3."/>
      <w:lvlJc w:val="right"/>
      <w:pPr>
        <w:ind w:left="2160" w:hanging="180"/>
      </w:pPr>
    </w:lvl>
    <w:lvl w:ilvl="3" w:tplc="E19802FA">
      <w:start w:val="1"/>
      <w:numFmt w:val="decimal"/>
      <w:lvlText w:val="%4."/>
      <w:lvlJc w:val="left"/>
      <w:pPr>
        <w:ind w:left="2880" w:hanging="360"/>
      </w:pPr>
    </w:lvl>
    <w:lvl w:ilvl="4" w:tplc="75BABED6">
      <w:start w:val="1"/>
      <w:numFmt w:val="lowerLetter"/>
      <w:lvlText w:val="%5."/>
      <w:lvlJc w:val="left"/>
      <w:pPr>
        <w:ind w:left="3600" w:hanging="360"/>
      </w:pPr>
    </w:lvl>
    <w:lvl w:ilvl="5" w:tplc="BCF0C184">
      <w:start w:val="1"/>
      <w:numFmt w:val="lowerRoman"/>
      <w:lvlText w:val="%6."/>
      <w:lvlJc w:val="right"/>
      <w:pPr>
        <w:ind w:left="4320" w:hanging="180"/>
      </w:pPr>
    </w:lvl>
    <w:lvl w:ilvl="6" w:tplc="8B060FAE">
      <w:start w:val="1"/>
      <w:numFmt w:val="decimal"/>
      <w:lvlText w:val="%7."/>
      <w:lvlJc w:val="left"/>
      <w:pPr>
        <w:ind w:left="5040" w:hanging="360"/>
      </w:pPr>
    </w:lvl>
    <w:lvl w:ilvl="7" w:tplc="01B4AED4">
      <w:start w:val="1"/>
      <w:numFmt w:val="lowerLetter"/>
      <w:lvlText w:val="%8."/>
      <w:lvlJc w:val="left"/>
      <w:pPr>
        <w:ind w:left="5760" w:hanging="360"/>
      </w:pPr>
    </w:lvl>
    <w:lvl w:ilvl="8" w:tplc="8B42C60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66A067C8">
      <w:start w:val="1"/>
      <w:numFmt w:val="decimal"/>
      <w:lvlText w:val="%1."/>
      <w:lvlJc w:val="left"/>
      <w:pPr>
        <w:ind w:left="720" w:hanging="360"/>
      </w:pPr>
    </w:lvl>
    <w:lvl w:ilvl="1" w:tplc="BC4C3D4C">
      <w:start w:val="1"/>
      <w:numFmt w:val="lowerLetter"/>
      <w:lvlText w:val="%2."/>
      <w:lvlJc w:val="left"/>
      <w:pPr>
        <w:ind w:left="1440" w:hanging="360"/>
      </w:pPr>
    </w:lvl>
    <w:lvl w:ilvl="2" w:tplc="10C0E69A">
      <w:start w:val="1"/>
      <w:numFmt w:val="lowerRoman"/>
      <w:lvlText w:val="%3."/>
      <w:lvlJc w:val="right"/>
      <w:pPr>
        <w:ind w:left="2160" w:hanging="180"/>
      </w:pPr>
    </w:lvl>
    <w:lvl w:ilvl="3" w:tplc="61A8F34E">
      <w:start w:val="1"/>
      <w:numFmt w:val="decimal"/>
      <w:lvlText w:val="%4."/>
      <w:lvlJc w:val="left"/>
      <w:pPr>
        <w:ind w:left="2880" w:hanging="360"/>
      </w:pPr>
    </w:lvl>
    <w:lvl w:ilvl="4" w:tplc="A5287050">
      <w:start w:val="1"/>
      <w:numFmt w:val="lowerLetter"/>
      <w:lvlText w:val="%5."/>
      <w:lvlJc w:val="left"/>
      <w:pPr>
        <w:ind w:left="3600" w:hanging="360"/>
      </w:pPr>
    </w:lvl>
    <w:lvl w:ilvl="5" w:tplc="4F0AAD88">
      <w:start w:val="1"/>
      <w:numFmt w:val="lowerRoman"/>
      <w:lvlText w:val="%6."/>
      <w:lvlJc w:val="right"/>
      <w:pPr>
        <w:ind w:left="4320" w:hanging="180"/>
      </w:pPr>
    </w:lvl>
    <w:lvl w:ilvl="6" w:tplc="EED65014">
      <w:start w:val="1"/>
      <w:numFmt w:val="decimal"/>
      <w:lvlText w:val="%7."/>
      <w:lvlJc w:val="left"/>
      <w:pPr>
        <w:ind w:left="5040" w:hanging="360"/>
      </w:pPr>
    </w:lvl>
    <w:lvl w:ilvl="7" w:tplc="86E0BF0E">
      <w:start w:val="1"/>
      <w:numFmt w:val="lowerLetter"/>
      <w:lvlText w:val="%8."/>
      <w:lvlJc w:val="left"/>
      <w:pPr>
        <w:ind w:left="5760" w:hanging="360"/>
      </w:pPr>
    </w:lvl>
    <w:lvl w:ilvl="8" w:tplc="FDE4C5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Liberation Sans" w:hAnsi="Liberation Sans" w:eastAsia="Liberation Sans" w:cs="Liberation Sans"/>
      <w:sz w:val="34"/>
    </w:rPr>
  </w:style>
  <w:style w:type="character" w:styleId="Heading3Char" w:customStyle="1">
    <w:name w:val="Heading 3 Char"/>
    <w:basedOn w:val="a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CaptionChar" w:customStyle="1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Liberation Sans" w:hAnsi="Liberation Sans" w:eastAsia="Liberation Sans" w:cs="Liberation Sans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b" w:customStyle="1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6" w:customStyle="1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9" w:customStyle="1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styleId="afb" w:customStyle="1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d" w:customStyle="1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f" w:customStyle="1">
    <w:name w:val="Нижний колонтитул Знак"/>
    <w:basedOn w:val="a0"/>
    <w:link w:val="afe"/>
    <w:uiPriority w:val="99"/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character" w:styleId="aff2" w:customStyle="1">
    <w:name w:val="Абзац списка Знак"/>
    <w:link w:val="aff1"/>
    <w:uiPriority w:val="34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pandia.ru/text/category/stroitelmznie_normi_i_pravil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456D-0275-4467-9008-F439AC0C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5473</Characters>
  <CharactersWithSpaces>6421</CharactersWithSpaces>
  <Company/>
  <DocSecurity>0</DocSecurity>
  <HyperlinksChanged>false</HyperlinksChanged>
  <Lines>45</Lines>
  <LinksUpToDate>false</LinksUpToDate>
  <Pages>4</Pages>
  <Paragraphs>12</Paragraphs>
  <ScaleCrop>false</ScaleCrop>
  <SharedDoc>false</SharedDoc>
  <Template>Normal</Template>
  <TotalTime>1</TotalTime>
  <Words>960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Рудь Андрей Олегович</dc:creator>
  <cp:lastModifiedBy>vo-603@JSRK.RU</cp:lastModifiedBy>
  <cp:revision>2</cp:revision>
  <dcterms:created xsi:type="dcterms:W3CDTF">2026-07-02T11:14:00Z</dcterms:created>
  <dcterms:modified xsi:type="dcterms:W3CDTF">2026-07-02T11:14:00Z</dcterms:modified>
</cp:coreProperties>
</file>