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57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ОБОСНОВАНИЕ ЦЕНЫ КОНТРАКТА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(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МЕТОДИКА РАСЧЕТА СТАРТОВОЙ ЦЕНЫ)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pPr w:horzAnchor="page" w:tblpX="919" w:vertAnchor="page" w:tblpY="1119" w:leftFromText="180" w:topFromText="0" w:rightFromText="180" w:bottomFromText="0"/>
        <w:tblW w:w="15238" w:type="dxa"/>
        <w:tblLayout w:type="fixed"/>
        <w:tblLook w:val="04A0" w:firstRow="1" w:lastRow="0" w:firstColumn="1" w:lastColumn="0" w:noHBand="0" w:noVBand="1"/>
      </w:tblPr>
      <w:tblGrid>
        <w:gridCol w:w="498"/>
        <w:gridCol w:w="1134"/>
        <w:gridCol w:w="3827"/>
        <w:gridCol w:w="850"/>
        <w:gridCol w:w="709"/>
        <w:gridCol w:w="1417"/>
        <w:gridCol w:w="1276"/>
        <w:gridCol w:w="1276"/>
        <w:gridCol w:w="1417"/>
        <w:gridCol w:w="1417"/>
        <w:gridCol w:w="1417"/>
      </w:tblGrid>
      <w:tr>
        <w:tblPrEx/>
        <w:trPr>
          <w:trHeight w:val="30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Объект закупки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06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d0d0d"/>
                <w:spacing w:val="0"/>
                <w:sz w:val="20"/>
                <w:szCs w:val="20"/>
                <w:lang w:eastAsia="ru-RU"/>
              </w:rPr>
              <w:t xml:space="preserve">Оказание услуг по предоставлению доступа к </w:t>
            </w:r>
            <w:r>
              <w:rPr>
                <w:rFonts w:ascii="Times New Roman" w:hAnsi="Times New Roman" w:eastAsia="Times New Roman" w:cs="Times New Roman"/>
                <w:color w:val="0d0d0d"/>
                <w:spacing w:val="0"/>
                <w:sz w:val="20"/>
                <w:szCs w:val="20"/>
                <w:lang w:eastAsia="ru-RU"/>
              </w:rPr>
              <w:t xml:space="preserve">информационно-телекоммуникационной сети «Интернет» по адресу: г. Москва, вн. тер. г. муниципальный округ Басманный, улица Большая Почтовая, д. 26, стр. 1</w:t>
            </w:r>
            <w:r>
              <w:rPr>
                <w:rFonts w:ascii="Times New Roman" w:hAnsi="Times New Roman" w:eastAsia="Times New Roman" w:cs="Times New Roman"/>
                <w:color w:val="0d0d0d"/>
                <w:spacing w:val="0"/>
                <w:sz w:val="20"/>
                <w:szCs w:val="20"/>
                <w:lang w:eastAsia="ru-RU"/>
              </w:rPr>
            </w:r>
            <w:r/>
          </w:p>
        </w:tc>
      </w:tr>
      <w:tr>
        <w:tblPrEx/>
        <w:trPr>
          <w:trHeight w:val="926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3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Используемый метод определения НМЦК с обоснованием: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60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 сопоставимых рыночных цен (анализа рынка), данный метод определения НМЦК является приоритетным, выбран в соответствии с ч. 6 ст. 22 Федерального закона от 05.04.2013 № 44-ФЗ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 контрактной системе в сфере закупок товаров, работ, услуг для обеспечения государственных и муниципальных нужд» и разделом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III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Расчет цены Контракта</w:t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  <w:r>
              <w:rPr>
                <w:rFonts w:ascii="Times New Roman" w:hAnsi="Times New Roman" w:cs="Times New Roman"/>
                <w:b/>
                <w:color w:val="000000"/>
              </w:rPr>
            </w:r>
          </w:p>
        </w:tc>
      </w:tr>
      <w:tr>
        <w:tblPrEx/>
        <w:trPr>
          <w:trHeight w:val="124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ind w:left="-115" w:right="-103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товара/работы/услуги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Ед. изм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КС-2-КП/№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от 20.05.2026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№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КС-2-КП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/№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207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от 20.05.2026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№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Ответ на запрос ценовой информации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КС-2-КП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/№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213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lang w:eastAsia="ru-RU"/>
              </w:rPr>
              <w:t xml:space="preserve">от 21.05.2026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r>
          </w:p>
          <w:p>
            <w:pPr>
              <w:ind w:left="-78" w:right="-78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 № 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none"/>
              </w:rPr>
            </w:r>
          </w:p>
        </w:tc>
      </w:tr>
      <w:tr>
        <w:tblPrEx/>
        <w:trPr>
          <w:trHeight w:val="539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  <w:p>
            <w:pPr>
              <w:contextualSpacing/>
              <w:ind w:left="-89" w:right="-97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Цена за ед.,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руб.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Итого,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54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both"/>
              <w:spacing w:after="60" w:line="252" w:lineRule="auto"/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Оказание услуг по предоставлению доступа к информационно-телекоммуникационной сети «Интернет» по адресу:  г. Москва, вн. тер. г. муниципальный округ Басманный, улица Большая Почтовая, д. 26, стр. 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contextualSpacing/>
              <w:jc w:val="both"/>
              <w:spacing w:after="60" w:line="252" w:lineRule="auto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ОКПД2: 61.90.10.160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57 800,00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404 600,00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71 200,00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404 600,00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455 000,00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498 400,00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714"/>
        </w:trPr>
        <w:tc>
          <w:tcPr>
            <w:gridSpan w:val="11"/>
            <w:tcBorders>
              <w:top w:val="single" w:color="000000" w:sz="4" w:space="0"/>
            </w:tcBorders>
            <w:tcW w:w="1523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val="ru-RU"/>
              </w:rPr>
              <w:t xml:space="preserve">Ценовые предложения получены посредством размещения запроса цен в единой информационной системе в сфере закупок (ЕИС)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val="ru-RU"/>
              </w:rPr>
              <w:t xml:space="preserve">https://zakupki.gov.ru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val="ru-RU"/>
              </w:rPr>
              <w:t xml:space="preserve">Анализ рынка произведен на основании служебной записки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val="ru-RU"/>
              </w:rPr>
              <w:t xml:space="preserve">Начальника отдела сопровождения и эксплуатации информационно-аналитических систем Матлашова И.В.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none"/>
                <w:lang w:val="ru-RU"/>
              </w:rPr>
              <w:t xml:space="preserve"> от 15.05.2026 № ОСИАС-З-64.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</w:rPr>
            </w:r>
          </w:p>
          <w:p>
            <w:pPr>
              <w:ind w:left="0" w:right="0" w:firstLine="0"/>
              <w:jc w:val="both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С учетом принципа эффективности использования бюджетных средств и разъяснений в письме Министерства экономического развития Российской Федерации от 26 октября 2015 го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да № ОГ-Д28-13651, закупка осуществляется  по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пункту 4 части 1 статьи 93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 Федерального закона "О контрактной системе в сфере закупок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товаров, работ, услуг для обеспечения государственных и муниципальных нужд" от 05.04.2013 № 44-ФЗ по времени поступления ценового предложения, а также по цене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white"/>
                <w:lang w:eastAsia="ru-RU"/>
              </w:rPr>
              <w:t xml:space="preserve">предложенной Источником № 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при соблюдении следующего условия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en-US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697"/>
              <w:numPr>
                <w:ilvl w:val="0"/>
                <w:numId w:val="5"/>
              </w:numPr>
              <w:contextualSpacing/>
              <w:ind w:left="0" w:right="0" w:firstLine="0"/>
              <w:jc w:val="left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u w:val="single"/>
                <w:lang w:val="ru-RU"/>
              </w:rPr>
              <w:t xml:space="preserve">При осуществлении закупки с определенным участником + НМЦК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</w:rPr>
            </w:r>
          </w:p>
          <w:p>
            <w:pPr>
              <w:pStyle w:val="697"/>
              <w:numPr>
                <w:ilvl w:val="0"/>
                <w:numId w:val="3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t xml:space="preserve"> после проверки НМЦК посредством проведения Закупочной сессии на Официальном сайте единого агрегатора торговли (ЕАТ) 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t xml:space="preserve">https://agregatoreat.ru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t xml:space="preserve">) в случае отсутствия Победителя</w:t>
            </w:r>
            <w:r>
              <w:rPr>
                <w:rStyle w:val="842"/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t xml:space="preserve"> по результатам формирования Итогового протокола такой сессии (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r>
          </w:p>
          <w:p>
            <w:pPr>
              <w:contextualSpacing w:val="0"/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lang w:val="en-US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u w:val="single"/>
                <w:lang w:val="ru-RU"/>
              </w:rPr>
              <w:t xml:space="preserve">При осуществлении Закупочной сессии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u w:val="single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</w:rPr>
            </w:r>
          </w:p>
          <w:p>
            <w:pPr>
              <w:pStyle w:val="697"/>
              <w:numPr>
                <w:ilvl w:val="0"/>
                <w:numId w:val="6"/>
              </w:numPr>
              <w:ind w:left="0" w:right="0" w:firstLine="0"/>
              <w:jc w:val="both"/>
              <w:spacing w:after="0" w:line="240" w:lineRule="auto"/>
              <w:tabs>
                <w:tab w:val="left" w:pos="142" w:leader="none"/>
              </w:tabs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 случае отсутствия в Итоговом протоколе сведений о Победителе Закупочной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  <w:t xml:space="preserve"> сессии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white"/>
                <w:lang w:val="ru-RU"/>
              </w:rPr>
              <w:t xml:space="preserve">в случае наличия Победителя 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white"/>
                <w:lang w:val="ru-RU"/>
              </w:rPr>
              <w:t xml:space="preserve">по результатам формирования Итогового протокола Закупочной сессии</w:t>
            </w:r>
            <w:r>
              <w:rPr>
                <w:rFonts w:ascii="Times New Roman" w:hAnsi="Times New Roman" w:eastAsia="Times New Roman" w:cs="Times New Roman"/>
                <w:i/>
                <w:iCs/>
                <w:sz w:val="18"/>
                <w:szCs w:val="18"/>
                <w:highlight w:val="white"/>
                <w:lang w:val="ru-RU"/>
              </w:rPr>
              <w:t xml:space="preserve">, контракт заключается по цене предложенной Победителем Закупочной сессии при условии, что такая цена ниже предложенной Источником №1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val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-426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     Консультант</w:t>
      </w:r>
      <w:r>
        <w:rPr>
          <w:rFonts w:ascii="Times New Roman" w:hAnsi="Times New Roman" w:cs="Times New Roman"/>
        </w:rPr>
        <w:t xml:space="preserve"> по закупкам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 П.П. Мухин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sectPr>
      <w:footnotePr/>
      <w:endnotePr/>
      <w:type w:val="nextPage"/>
      <w:pgSz w:w="16838" w:h="11906" w:orient="landscape"/>
      <w:pgMar w:top="567" w:right="567" w:bottom="28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2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7"/>
    <w:next w:val="857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8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7"/>
    <w:next w:val="857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8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7"/>
    <w:next w:val="857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8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7"/>
    <w:next w:val="857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8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7"/>
    <w:next w:val="857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8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8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8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8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8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7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7"/>
    <w:next w:val="857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8"/>
    <w:link w:val="699"/>
    <w:uiPriority w:val="10"/>
    <w:rPr>
      <w:sz w:val="48"/>
      <w:szCs w:val="48"/>
    </w:rPr>
  </w:style>
  <w:style w:type="paragraph" w:styleId="701">
    <w:name w:val="Subtitle"/>
    <w:basedOn w:val="857"/>
    <w:next w:val="857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8"/>
    <w:link w:val="701"/>
    <w:uiPriority w:val="11"/>
    <w:rPr>
      <w:sz w:val="24"/>
      <w:szCs w:val="24"/>
    </w:rPr>
  </w:style>
  <w:style w:type="paragraph" w:styleId="703">
    <w:name w:val="Quote"/>
    <w:basedOn w:val="857"/>
    <w:next w:val="857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7"/>
    <w:next w:val="857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paragraph" w:styleId="707">
    <w:name w:val="Header"/>
    <w:basedOn w:val="857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Header Char"/>
    <w:basedOn w:val="858"/>
    <w:link w:val="707"/>
    <w:uiPriority w:val="99"/>
  </w:style>
  <w:style w:type="paragraph" w:styleId="709">
    <w:name w:val="Footer"/>
    <w:basedOn w:val="857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>
    <w:name w:val="Footer Char"/>
    <w:basedOn w:val="858"/>
    <w:link w:val="709"/>
    <w:uiPriority w:val="99"/>
  </w:style>
  <w:style w:type="paragraph" w:styleId="711">
    <w:name w:val="Caption"/>
    <w:basedOn w:val="857"/>
    <w:next w:val="857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709"/>
    <w:uiPriority w:val="99"/>
  </w:style>
  <w:style w:type="table" w:styleId="713">
    <w:name w:val="Table Grid"/>
    <w:basedOn w:val="8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3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8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9">
    <w:name w:val="Hyperlink"/>
    <w:uiPriority w:val="99"/>
    <w:unhideWhenUsed/>
    <w:rPr>
      <w:color w:val="0000ff" w:themeColor="hyperlink"/>
      <w:u w:val="single"/>
    </w:r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58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Balloon Text"/>
    <w:basedOn w:val="857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858"/>
    <w:link w:val="861"/>
    <w:uiPriority w:val="99"/>
    <w:semiHidden/>
    <w:rPr>
      <w:rFonts w:ascii="Segoe UI" w:hAnsi="Segoe UI" w:cs="Segoe UI"/>
      <w:sz w:val="18"/>
      <w:szCs w:val="18"/>
    </w:rPr>
  </w:style>
  <w:style w:type="character" w:styleId="863" w:customStyle="1">
    <w:name w:val="Strong"/>
    <w:qFormat/>
    <w:rPr>
      <w:rFonts w:cs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Теселкин Владимир Андреевич</dc:creator>
  <cp:keywords/>
  <dc:description/>
  <cp:lastModifiedBy>p.mukhin</cp:lastModifiedBy>
  <cp:revision>51</cp:revision>
  <dcterms:created xsi:type="dcterms:W3CDTF">2023-07-23T11:26:00Z</dcterms:created>
  <dcterms:modified xsi:type="dcterms:W3CDTF">2026-05-25T15:37:05Z</dcterms:modified>
</cp:coreProperties>
</file>