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1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 xml:space="preserve">ДОГОВОР №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</w: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870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</w:rPr>
        <w:t xml:space="preserve">г. Тверь</w:t>
      </w:r>
      <w:r>
        <w:rPr>
          <w:rFonts w:ascii="Times New Roman" w:hAnsi="Times New Roman"/>
          <w:bCs/>
          <w:color w:val="000000"/>
        </w:rPr>
        <w:tab/>
        <w:tab/>
        <w:t xml:space="preserve"> </w:t>
      </w:r>
      <w:r>
        <w:rPr>
          <w:rFonts w:ascii="Times New Roman" w:hAnsi="Times New Roman"/>
          <w:bCs/>
          <w:color w:val="000000"/>
        </w:rPr>
        <w:t xml:space="preserve">   </w:t>
        <w:tab/>
        <w:tab/>
        <w:tab/>
        <w:tab/>
        <w:tab/>
        <w:t xml:space="preserve">    «</w:t>
      </w:r>
      <w:r>
        <w:rPr>
          <w:rFonts w:ascii="Times New Roman" w:hAnsi="Times New Roman"/>
          <w:bCs/>
          <w:color w:val="000000"/>
        </w:rPr>
        <w:t xml:space="preserve">       </w:t>
      </w:r>
      <w:r>
        <w:rPr>
          <w:rFonts w:ascii="Times New Roman" w:hAnsi="Times New Roman"/>
          <w:bCs/>
          <w:color w:val="000000"/>
        </w:rPr>
        <w:t xml:space="preserve">»  </w:t>
      </w:r>
      <w:r>
        <w:rPr>
          <w:rFonts w:ascii="Times New Roman" w:hAnsi="Times New Roman"/>
          <w:bCs/>
          <w:color w:val="000000"/>
        </w:rPr>
        <w:t xml:space="preserve">______________</w:t>
      </w:r>
      <w:r>
        <w:rPr>
          <w:rFonts w:ascii="Times New Roman" w:hAnsi="Times New Roman"/>
          <w:bCs/>
          <w:color w:val="000000"/>
        </w:rPr>
        <w:t xml:space="preserve"> 2026</w:t>
      </w:r>
      <w:r>
        <w:rPr>
          <w:rFonts w:ascii="Times New Roman" w:hAnsi="Times New Roman"/>
          <w:bCs/>
          <w:color w:val="000000"/>
        </w:rPr>
        <w:t xml:space="preserve"> г.</w:t>
      </w: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</w:p>
    <w:p>
      <w:pPr>
        <w:jc w:val="both"/>
        <w:rPr>
          <w:rFonts w:ascii="Times New Roman" w:hAnsi="Times New Roman"/>
          <w:b/>
          <w:bCs/>
          <w:color w:val="000000"/>
          <w:u w:val="single"/>
        </w:rPr>
      </w:pPr>
      <w:r>
        <w:rPr>
          <w:b/>
          <w:sz w:val="24"/>
          <w:szCs w:val="24"/>
          <w:highlight w:val="none"/>
          <w:u w:val="single"/>
        </w:rPr>
      </w:r>
      <w:r>
        <w:rPr>
          <w:b/>
          <w:sz w:val="24"/>
          <w:szCs w:val="24"/>
          <w:highlight w:val="none"/>
          <w:u w:val="single"/>
        </w:rPr>
      </w:r>
      <w:r>
        <w:rPr>
          <w:rFonts w:ascii="Times New Roman" w:hAnsi="Times New Roman"/>
          <w:b/>
          <w:bCs/>
          <w:color w:val="000000"/>
          <w:u w:val="single"/>
        </w:rPr>
      </w:r>
    </w:p>
    <w:p>
      <w:pPr>
        <w:pStyle w:val="870"/>
        <w:jc w:val="both"/>
        <w:rPr>
          <w:b/>
          <w:bCs/>
          <w:sz w:val="24"/>
          <w:szCs w:val="24"/>
          <w:highlight w:val="none"/>
          <w:u w:val="single"/>
        </w:rPr>
      </w:pPr>
      <w:r>
        <w:rPr>
          <w:rFonts w:ascii="Times New Roman" w:hAnsi="Times New Roman"/>
          <w:b/>
          <w:bCs/>
          <w:color w:val="000000"/>
          <w:u w:val="single"/>
        </w:rPr>
      </w:r>
      <w:r>
        <w:rPr>
          <w:sz w:val="24"/>
          <w:szCs w:val="24"/>
        </w:rPr>
        <w:t xml:space="preserve">ИКЗ: </w:t>
      </w:r>
      <w:r>
        <w:rPr>
          <w:b/>
          <w:sz w:val="24"/>
          <w:szCs w:val="24"/>
          <w:u w:val="single"/>
        </w:rPr>
        <w:t xml:space="preserve">261690107233069500100100180000000000</w:t>
      </w:r>
      <w:r>
        <w:rPr>
          <w:b/>
          <w:bCs/>
          <w:sz w:val="24"/>
          <w:szCs w:val="24"/>
          <w:highlight w:val="none"/>
          <w:u w:val="single"/>
        </w:rPr>
      </w:r>
      <w:r>
        <w:rPr>
          <w:b/>
          <w:bCs/>
          <w:sz w:val="24"/>
          <w:szCs w:val="24"/>
          <w:highlight w:val="none"/>
          <w:u w:val="single"/>
        </w:rPr>
      </w:r>
    </w:p>
    <w:p>
      <w:pPr>
        <w:pStyle w:val="87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</w:p>
    <w:p>
      <w:pPr>
        <w:pStyle w:val="870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____________________________</w:t>
      </w:r>
      <w:r>
        <w:rPr>
          <w:rFonts w:ascii="Times New Roman" w:hAnsi="Times New Roman"/>
          <w:bCs/>
        </w:rPr>
        <w:t xml:space="preserve">, вместе именуемые «Стороны», </w:t>
      </w:r>
      <w:r>
        <w:rPr>
          <w:rFonts w:ascii="Times New Roman" w:hAnsi="Times New Roman"/>
          <w:bCs/>
        </w:rPr>
        <w:t xml:space="preserve">и Управление Роспотребнадзора по Тверской области, в лице Руководителя Выскубова Арнольда Феликсовича, действующего на основании Положения,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с соблюдением требований Гражданского кодекса РФ </w:t>
      </w:r>
      <w:r>
        <w:rPr>
          <w:rFonts w:ascii="Times New Roman" w:hAnsi="Times New Roman"/>
          <w:bCs/>
        </w:rPr>
        <w:t xml:space="preserve">заключили настоящий Сублицензионный договор (далее по тексту – «Договор»)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  <w:bCs/>
        </w:rPr>
        <w:t xml:space="preserve"> о нижеследующем: </w: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sz w:val="22"/>
          <w:szCs w:val="22"/>
        </w:rPr>
      </w:pPr>
      <w:r/>
      <w:bookmarkStart w:id="0" w:name="_Toc510612353"/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1. </w:t>
      </w:r>
      <w:r>
        <w:rPr>
          <w:rFonts w:ascii="Times New Roman" w:hAnsi="Times New Roman"/>
          <w:color w:val="000000"/>
          <w:sz w:val="22"/>
          <w:szCs w:val="22"/>
        </w:rPr>
        <w:t xml:space="preserve">П</w:t>
      </w:r>
      <w:bookmarkEnd w:id="0"/>
      <w:r>
        <w:rPr>
          <w:rFonts w:ascii="Times New Roman" w:hAnsi="Times New Roman"/>
          <w:color w:val="000000"/>
          <w:sz w:val="22"/>
          <w:szCs w:val="22"/>
        </w:rPr>
        <w:t xml:space="preserve">РЕДМЕТ ДОГОВОРА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0" w:leader="none"/>
        </w:tabs>
        <w:rPr>
          <w:rFonts w:ascii="Times New Roman" w:hAnsi="Times New Roman"/>
          <w:bCs/>
          <w:color w:val="000000"/>
        </w:rPr>
        <w:outlineLvl w:val="0"/>
      </w:pPr>
      <w:r>
        <w:rPr>
          <w:rFonts w:ascii="Times New Roman" w:hAnsi="Times New Roman"/>
          <w:bCs/>
          <w:color w:val="000000"/>
        </w:rPr>
        <w:t xml:space="preserve">1.1.</w:t>
      </w:r>
      <w:r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 xml:space="preserve">Сублицензиат</w:t>
      </w:r>
      <w:r>
        <w:rPr>
          <w:rFonts w:ascii="Times New Roman" w:hAnsi="Times New Roman"/>
          <w:bCs/>
          <w:color w:val="000000"/>
        </w:rPr>
        <w:t xml:space="preserve"> за вознаграждение предоставляет </w:t>
      </w:r>
      <w:r>
        <w:rPr>
          <w:rFonts w:ascii="Times New Roman" w:hAnsi="Times New Roman"/>
          <w:bCs/>
          <w:color w:val="000000"/>
        </w:rPr>
        <w:t xml:space="preserve">Заказчик</w:t>
      </w:r>
      <w:r>
        <w:rPr>
          <w:rFonts w:ascii="Times New Roman" w:hAnsi="Times New Roman"/>
          <w:bCs/>
          <w:color w:val="000000"/>
        </w:rPr>
        <w:t xml:space="preserve">у неисключительные </w:t>
      </w:r>
      <w:r>
        <w:rPr>
          <w:rFonts w:ascii="Times New Roman" w:hAnsi="Times New Roman"/>
          <w:bCs/>
        </w:rPr>
        <w:t xml:space="preserve">права использования </w:t>
      </w:r>
      <w:r>
        <w:rPr>
          <w:rFonts w:ascii="Times New Roman" w:hAnsi="Times New Roman"/>
          <w:bCs/>
        </w:rPr>
        <w:t xml:space="preserve">(далее по тексту - права использования) программ для ЭВМ</w:t>
      </w:r>
      <w:r>
        <w:rPr>
          <w:rFonts w:ascii="Times New Roman" w:hAnsi="Times New Roman"/>
          <w:bCs/>
          <w:color w:val="000000"/>
        </w:rPr>
        <w:t xml:space="preserve"> (далее по тексту - «ПО»)</w:t>
      </w:r>
      <w:r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 xml:space="preserve">а также </w:t>
      </w:r>
      <w:r>
        <w:rPr>
          <w:rFonts w:ascii="Times New Roman" w:hAnsi="Times New Roman"/>
          <w:bCs/>
        </w:rPr>
        <w:t xml:space="preserve">сопутствующие товары</w:t>
      </w:r>
      <w:r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 xml:space="preserve">опре</w:t>
      </w:r>
      <w:r>
        <w:rPr>
          <w:rFonts w:ascii="Times New Roman" w:hAnsi="Times New Roman"/>
          <w:bCs/>
        </w:rPr>
        <w:t xml:space="preserve">деленные</w:t>
      </w:r>
      <w:r>
        <w:rPr>
          <w:rFonts w:ascii="Times New Roman" w:hAnsi="Times New Roman"/>
          <w:bCs/>
        </w:rPr>
        <w:t xml:space="preserve"> в Приложении №1 и №2</w:t>
      </w:r>
      <w:r>
        <w:rPr>
          <w:rFonts w:ascii="Times New Roman" w:hAnsi="Times New Roman"/>
          <w:bCs/>
        </w:rPr>
        <w:t xml:space="preserve"> к настоящему Д</w:t>
      </w:r>
      <w:r>
        <w:rPr>
          <w:rFonts w:ascii="Times New Roman" w:hAnsi="Times New Roman"/>
          <w:bCs/>
        </w:rPr>
        <w:t xml:space="preserve">оговору,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color w:val="000000"/>
        </w:rPr>
        <w:t xml:space="preserve">на условиях и</w:t>
      </w:r>
      <w:r>
        <w:rPr>
          <w:rFonts w:ascii="Times New Roman" w:hAnsi="Times New Roman"/>
          <w:bCs/>
          <w:color w:val="000000"/>
        </w:rPr>
        <w:t xml:space="preserve"> в</w:t>
      </w:r>
      <w:r>
        <w:rPr>
          <w:rFonts w:ascii="Times New Roman" w:hAnsi="Times New Roman"/>
          <w:bCs/>
          <w:color w:val="000000"/>
        </w:rPr>
        <w:t xml:space="preserve"> объеме, предусмотренн</w:t>
      </w:r>
      <w:r>
        <w:rPr>
          <w:rFonts w:ascii="Times New Roman" w:hAnsi="Times New Roman"/>
          <w:bCs/>
          <w:color w:val="000000"/>
        </w:rPr>
        <w:t xml:space="preserve">ых</w:t>
      </w:r>
      <w:r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 xml:space="preserve">настоящим Д</w:t>
      </w:r>
      <w:r>
        <w:rPr>
          <w:rFonts w:ascii="Times New Roman" w:hAnsi="Times New Roman"/>
          <w:bCs/>
          <w:color w:val="000000"/>
        </w:rPr>
        <w:t xml:space="preserve">оговором</w:t>
      </w:r>
      <w:r>
        <w:rPr>
          <w:rFonts w:ascii="Times New Roman" w:hAnsi="Times New Roman"/>
          <w:bCs/>
          <w:color w:val="000000"/>
        </w:rPr>
        <w:t xml:space="preserve">.</w:t>
      </w: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0" w:leader="none"/>
        </w:tabs>
        <w:rPr>
          <w:rFonts w:ascii="Times New Roman" w:hAnsi="Times New Roman"/>
          <w:bCs/>
          <w:color w:val="000000"/>
        </w:rPr>
        <w:outlineLvl w:val="0"/>
      </w:pPr>
      <w:r>
        <w:rPr>
          <w:rFonts w:ascii="Times New Roman" w:hAnsi="Times New Roman"/>
          <w:bCs/>
          <w:color w:val="000000"/>
        </w:rPr>
        <w:t xml:space="preserve">1.2.</w:t>
      </w:r>
      <w:r>
        <w:rPr>
          <w:rFonts w:ascii="Times New Roman" w:hAnsi="Times New Roman"/>
          <w:bCs/>
          <w:color w:val="000000"/>
        </w:rPr>
        <w:t xml:space="preserve">Заказчик</w:t>
      </w:r>
      <w:r>
        <w:rPr>
          <w:rFonts w:ascii="Times New Roman" w:hAnsi="Times New Roman"/>
          <w:bCs/>
          <w:color w:val="000000"/>
        </w:rPr>
        <w:t xml:space="preserve"> получает право использования ПО на территории </w:t>
      </w:r>
      <w:r>
        <w:rPr>
          <w:rFonts w:ascii="Times New Roman" w:hAnsi="Times New Roman"/>
          <w:bCs/>
          <w:color w:val="000000"/>
        </w:rPr>
        <w:t xml:space="preserve">РФ</w:t>
      </w:r>
      <w:r>
        <w:rPr>
          <w:rFonts w:ascii="Times New Roman" w:hAnsi="Times New Roman"/>
          <w:bCs/>
          <w:color w:val="000000"/>
        </w:rPr>
        <w:t xml:space="preserve"> в количе</w:t>
      </w:r>
      <w:r>
        <w:rPr>
          <w:rFonts w:ascii="Times New Roman" w:hAnsi="Times New Roman"/>
          <w:bCs/>
          <w:color w:val="000000"/>
        </w:rPr>
        <w:t xml:space="preserve">с</w:t>
      </w:r>
      <w:r>
        <w:rPr>
          <w:rFonts w:ascii="Times New Roman" w:hAnsi="Times New Roman"/>
          <w:bCs/>
          <w:color w:val="000000"/>
        </w:rPr>
        <w:t xml:space="preserve">тве, указанном в Приложении №1.</w:t>
      </w: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0" w:leader="none"/>
          <w:tab w:val="num" w:pos="435" w:leader="none"/>
        </w:tabs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1.3</w:t>
      </w:r>
      <w:r>
        <w:rPr>
          <w:rFonts w:ascii="Times New Roman" w:hAnsi="Times New Roman"/>
          <w:bCs/>
          <w:color w:val="000000"/>
        </w:rPr>
        <w:t xml:space="preserve">.</w:t>
      </w:r>
      <w:r>
        <w:rPr>
          <w:rFonts w:ascii="Times New Roman" w:hAnsi="Times New Roman"/>
          <w:bCs/>
          <w:color w:val="000000"/>
        </w:rPr>
        <w:t xml:space="preserve">Заказчик</w:t>
      </w:r>
      <w:r>
        <w:rPr>
          <w:rFonts w:ascii="Times New Roman" w:hAnsi="Times New Roman"/>
          <w:bCs/>
          <w:color w:val="000000"/>
        </w:rPr>
        <w:t xml:space="preserve"> получает следующие права использования ПО в соответствии с его функционалом, определенным в технической документации, а именно имеет право использовать ПО исключительно для своей внутренней деятельности, включая следующие правомочия:</w:t>
      </w: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</w:p>
    <w:p>
      <w:pPr>
        <w:pStyle w:val="870"/>
        <w:numPr>
          <w:ilvl w:val="0"/>
          <w:numId w:val="1"/>
        </w:numPr>
        <w:ind w:left="0" w:firstLine="0"/>
        <w:jc w:val="both"/>
        <w:tabs>
          <w:tab w:val="num" w:pos="0" w:leader="none"/>
          <w:tab w:val="num" w:pos="426" w:leader="none"/>
          <w:tab w:val="clear" w:pos="1429" w:leader="none"/>
        </w:tabs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устанавливать и переустанавливать ПО на своем оборудовании, при этом количество пользователей, не должно превышать количества, определенного в Приложении №1; </w:t>
      </w: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</w:p>
    <w:p>
      <w:pPr>
        <w:pStyle w:val="870"/>
        <w:numPr>
          <w:ilvl w:val="0"/>
          <w:numId w:val="1"/>
        </w:numPr>
        <w:ind w:left="0" w:firstLine="0"/>
        <w:jc w:val="both"/>
        <w:tabs>
          <w:tab w:val="num" w:pos="0" w:leader="none"/>
          <w:tab w:val="num" w:pos="426" w:leader="none"/>
          <w:tab w:val="clear" w:pos="1429" w:leader="none"/>
        </w:tabs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создавать резервную или архивную копию ПО, не использовать созданную копию в иных целях;</w:t>
      </w: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</w:p>
    <w:p>
      <w:pPr>
        <w:pStyle w:val="870"/>
        <w:numPr>
          <w:ilvl w:val="0"/>
          <w:numId w:val="1"/>
        </w:numPr>
        <w:ind w:left="0" w:firstLine="0"/>
        <w:jc w:val="both"/>
        <w:tabs>
          <w:tab w:val="num" w:pos="0" w:leader="none"/>
          <w:tab w:val="num" w:pos="426" w:leader="none"/>
          <w:tab w:val="clear" w:pos="1429" w:leader="none"/>
        </w:tabs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Все исключительные права на ПО сохраняются за компанией, являющейся Правообладателем программ для ЭВМ.</w:t>
      </w: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</w:p>
    <w:p>
      <w:pPr>
        <w:pStyle w:val="895"/>
        <w:numPr>
          <w:ilvl w:val="1"/>
          <w:numId w:val="0"/>
        </w:numPr>
        <w:jc w:val="both"/>
        <w:tabs>
          <w:tab w:val="num" w:pos="0" w:leader="none"/>
          <w:tab w:val="num" w:pos="426" w:leader="none"/>
        </w:tabs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Соблюдать конфиденциальность полученной от </w:t>
      </w:r>
      <w:r>
        <w:rPr>
          <w:rFonts w:cs="Times New Roman"/>
          <w:sz w:val="22"/>
          <w:szCs w:val="22"/>
        </w:rPr>
        <w:t xml:space="preserve">Сублицензиат</w:t>
      </w:r>
      <w:r>
        <w:rPr>
          <w:rFonts w:cs="Times New Roman"/>
          <w:color w:val="000000"/>
          <w:sz w:val="22"/>
          <w:szCs w:val="22"/>
        </w:rPr>
        <w:t xml:space="preserve">а</w:t>
      </w:r>
      <w:r>
        <w:rPr>
          <w:rFonts w:cs="Times New Roman"/>
          <w:sz w:val="22"/>
          <w:szCs w:val="22"/>
        </w:rPr>
        <w:t xml:space="preserve"> информации.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5"/>
        <w:numPr>
          <w:ilvl w:val="1"/>
          <w:numId w:val="0"/>
        </w:numPr>
        <w:jc w:val="both"/>
        <w:tabs>
          <w:tab w:val="num" w:pos="0" w:leader="none"/>
          <w:tab w:val="num" w:pos="426" w:leader="none"/>
        </w:tabs>
        <w:rPr>
          <w:color w:val="000000"/>
        </w:rPr>
      </w:pPr>
      <w:r>
        <w:rPr>
          <w:color w:val="000000"/>
        </w:rPr>
        <w:t xml:space="preserve">1.4</w:t>
      </w:r>
      <w:r>
        <w:rPr>
          <w:color w:val="000000"/>
        </w:rPr>
        <w:t xml:space="preserve">.</w:t>
      </w:r>
      <w:r>
        <w:rPr>
          <w:color w:val="000000"/>
        </w:rPr>
        <w:t xml:space="preserve"> </w:t>
      </w:r>
      <w:r>
        <w:rPr>
          <w:color w:val="000000"/>
        </w:rPr>
        <w:t xml:space="preserve">Заказчик</w:t>
      </w:r>
      <w:r>
        <w:rPr>
          <w:color w:val="000000"/>
        </w:rPr>
        <w:t xml:space="preserve"> не приобретает каких-либо прав на ПО, за исключением оговоренных в настоящем Договоре.</w:t>
      </w:r>
      <w:r>
        <w:rPr>
          <w:color w:val="000000"/>
        </w:rPr>
      </w:r>
      <w:r>
        <w:rPr>
          <w:color w:val="000000"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color w:val="000000"/>
          <w:sz w:val="22"/>
          <w:szCs w:val="22"/>
        </w:rPr>
      </w:pPr>
      <w:r/>
      <w:bookmarkStart w:id="1" w:name="_Toc510612356"/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2. </w:t>
      </w:r>
      <w:r>
        <w:rPr>
          <w:rFonts w:ascii="Times New Roman" w:hAnsi="Times New Roman"/>
          <w:color w:val="000000"/>
          <w:sz w:val="22"/>
          <w:szCs w:val="22"/>
        </w:rPr>
        <w:t xml:space="preserve">СТОИМОСТЬ ДОГОВОРА И ПОРЯДОК ОПЛАТЫ</w:t>
      </w:r>
      <w:bookmarkEnd w:id="1"/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870"/>
        <w:numPr>
          <w:ilvl w:val="1"/>
          <w:numId w:val="0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2</w:t>
      </w:r>
      <w:r>
        <w:rPr>
          <w:rFonts w:ascii="Times New Roman" w:hAnsi="Times New Roman"/>
          <w:color w:val="000000"/>
        </w:rPr>
        <w:t xml:space="preserve">.1. Цена настоящего Договора составляет </w:t>
      </w:r>
      <w:r>
        <w:rPr>
          <w:rFonts w:ascii="Times New Roman" w:hAnsi="Times New Roman"/>
          <w:b/>
          <w:sz w:val="24"/>
          <w:szCs w:val="24"/>
        </w:rPr>
        <w:t xml:space="preserve">________________________</w:t>
      </w:r>
      <w:r>
        <w:rPr>
          <w:rFonts w:ascii="Times New Roman" w:hAnsi="Times New Roman"/>
          <w:color w:val="000000"/>
        </w:rPr>
        <w:t xml:space="preserve"> с учетом всех расходов и других обязательных платежей. Цена настоящего Договора является твердой и определяется на весь срок исполнения Договора.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2</w:t>
      </w:r>
      <w:r>
        <w:rPr>
          <w:rFonts w:ascii="Times New Roman" w:hAnsi="Times New Roman"/>
          <w:color w:val="000000"/>
        </w:rPr>
        <w:t xml:space="preserve">.2. Оплата по настоящему Договору производится путем безналичного перечисления денежных средств на расчетный счет </w:t>
      </w:r>
      <w:r>
        <w:rPr>
          <w:rFonts w:ascii="Times New Roman" w:hAnsi="Times New Roman"/>
          <w:color w:val="000000"/>
        </w:rPr>
        <w:t xml:space="preserve">Сублицензиат</w:t>
      </w:r>
      <w:r>
        <w:rPr>
          <w:rFonts w:ascii="Times New Roman" w:hAnsi="Times New Roman"/>
          <w:color w:val="000000"/>
        </w:rPr>
        <w:t xml:space="preserve">а из средств федерального бюджета.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2</w:t>
      </w:r>
      <w:r>
        <w:rPr>
          <w:rFonts w:ascii="Times New Roman" w:hAnsi="Times New Roman"/>
          <w:color w:val="000000"/>
        </w:rPr>
        <w:t xml:space="preserve">.3. Оплата по настоящему Договору производится </w:t>
      </w:r>
      <w:r>
        <w:rPr>
          <w:rFonts w:ascii="Times New Roman" w:hAnsi="Times New Roman"/>
          <w:color w:val="000000"/>
        </w:rPr>
        <w:t xml:space="preserve">Заказчик</w:t>
      </w:r>
      <w:r>
        <w:rPr>
          <w:rFonts w:ascii="Times New Roman" w:hAnsi="Times New Roman"/>
          <w:color w:val="000000"/>
        </w:rPr>
        <w:t xml:space="preserve">ом согла</w:t>
      </w:r>
      <w:r>
        <w:rPr>
          <w:rFonts w:ascii="Times New Roman" w:hAnsi="Times New Roman"/>
          <w:color w:val="000000"/>
        </w:rPr>
        <w:t xml:space="preserve">сно Приложению №1 к настоящему Д</w:t>
      </w:r>
      <w:r>
        <w:rPr>
          <w:rFonts w:ascii="Times New Roman" w:hAnsi="Times New Roman"/>
          <w:color w:val="000000"/>
        </w:rPr>
        <w:t xml:space="preserve">оговору.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  2</w:t>
      </w:r>
      <w:r>
        <w:rPr>
          <w:rFonts w:ascii="Times New Roman" w:hAnsi="Times New Roman"/>
          <w:color w:val="000000"/>
        </w:rPr>
        <w:t xml:space="preserve">.4. Оплата</w:t>
      </w:r>
      <w:r>
        <w:rPr>
          <w:rFonts w:ascii="Times New Roman" w:hAnsi="Times New Roman"/>
          <w:color w:val="000000"/>
        </w:rPr>
        <w:t xml:space="preserve"> по настоящему Договору</w:t>
      </w:r>
      <w:r>
        <w:rPr>
          <w:rFonts w:ascii="Times New Roman" w:hAnsi="Times New Roman"/>
          <w:color w:val="000000"/>
        </w:rPr>
        <w:t xml:space="preserve"> осуществл</w:t>
      </w:r>
      <w:r>
        <w:rPr>
          <w:rFonts w:ascii="Times New Roman" w:hAnsi="Times New Roman"/>
          <w:color w:val="000000"/>
        </w:rPr>
        <w:t xml:space="preserve">яется </w:t>
      </w:r>
      <w:r>
        <w:rPr>
          <w:rFonts w:ascii="Times New Roman" w:hAnsi="Times New Roman"/>
          <w:color w:val="000000"/>
        </w:rPr>
        <w:t xml:space="preserve">Заказчик</w:t>
      </w:r>
      <w:r>
        <w:rPr>
          <w:rFonts w:ascii="Times New Roman" w:hAnsi="Times New Roman"/>
          <w:color w:val="000000"/>
        </w:rPr>
        <w:t xml:space="preserve">ом </w:t>
      </w:r>
      <w:r>
        <w:rPr>
          <w:rFonts w:ascii="Times New Roman" w:hAnsi="Times New Roman"/>
          <w:color w:val="000000"/>
        </w:rPr>
        <w:t xml:space="preserve">в течение 5 (пяти</w:t>
      </w:r>
      <w:r>
        <w:rPr>
          <w:rFonts w:ascii="Times New Roman" w:hAnsi="Times New Roman"/>
          <w:color w:val="000000"/>
        </w:rPr>
        <w:t xml:space="preserve">) рабочих</w:t>
      </w:r>
      <w:r>
        <w:rPr>
          <w:rFonts w:ascii="Times New Roman" w:hAnsi="Times New Roman"/>
          <w:color w:val="000000"/>
        </w:rPr>
        <w:t xml:space="preserve"> дней со дня подписания Сторонами приемо-передаточного(-ых) документа(-ов)</w:t>
      </w:r>
      <w:r>
        <w:rPr>
          <w:rFonts w:ascii="Times New Roman" w:hAnsi="Times New Roman"/>
          <w:color w:val="000000"/>
        </w:rPr>
        <w:t xml:space="preserve">, в том числе указанных в </w:t>
      </w:r>
      <w:r>
        <w:rPr>
          <w:rFonts w:ascii="Times New Roman" w:hAnsi="Times New Roman"/>
          <w:color w:val="000000"/>
        </w:rPr>
        <w:t xml:space="preserve">разделе</w:t>
      </w:r>
      <w:r>
        <w:rPr>
          <w:rFonts w:ascii="Times New Roman" w:hAnsi="Times New Roman"/>
          <w:color w:val="000000"/>
        </w:rPr>
        <w:t xml:space="preserve"> 3</w:t>
      </w:r>
      <w:r>
        <w:rPr>
          <w:rFonts w:ascii="Times New Roman" w:hAnsi="Times New Roman"/>
          <w:color w:val="000000"/>
        </w:rPr>
        <w:t xml:space="preserve"> настоящего Договора, на основании выставленного </w:t>
      </w:r>
      <w:r>
        <w:rPr>
          <w:rFonts w:ascii="Times New Roman" w:hAnsi="Times New Roman"/>
          <w:color w:val="000000"/>
        </w:rPr>
        <w:t xml:space="preserve">Сублицензиат</w:t>
      </w:r>
      <w:r>
        <w:rPr>
          <w:rFonts w:ascii="Times New Roman" w:hAnsi="Times New Roman"/>
          <w:color w:val="000000"/>
        </w:rPr>
        <w:t xml:space="preserve">ом счета.</w:t>
      </w: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color w:val="000000"/>
          <w:sz w:val="22"/>
          <w:szCs w:val="22"/>
          <w:lang w:val="ru-RU"/>
        </w:rPr>
      </w:pPr>
      <w:r/>
      <w:bookmarkStart w:id="2" w:name="_Toc510612354"/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3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. 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СРОКИ, </w:t>
      </w:r>
      <w:r>
        <w:rPr>
          <w:rFonts w:ascii="Times New Roman" w:hAnsi="Times New Roman"/>
          <w:color w:val="000000"/>
          <w:sz w:val="22"/>
          <w:szCs w:val="22"/>
        </w:rPr>
        <w:t xml:space="preserve">ПОРЯДОК ПЕРЕДАЧИ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 И ПРИЕМКИ</w:t>
      </w:r>
      <w:r>
        <w:rPr>
          <w:rFonts w:ascii="Times New Roman" w:hAnsi="Times New Roman"/>
          <w:color w:val="000000"/>
          <w:sz w:val="22"/>
          <w:szCs w:val="22"/>
        </w:rPr>
        <w:t xml:space="preserve"> ПРАВ</w:t>
      </w:r>
      <w:r>
        <w:rPr>
          <w:rFonts w:ascii="Times New Roman" w:hAnsi="Times New Roman"/>
          <w:color w:val="000000"/>
          <w:sz w:val="22"/>
          <w:szCs w:val="22"/>
        </w:rPr>
        <w:t xml:space="preserve"> ИСПОЛЬЗОВАНИЯ ПО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, ТОВАРОВ И УСЛУГ.</w:t>
      </w:r>
      <w:r>
        <w:rPr>
          <w:rFonts w:ascii="Times New Roman" w:hAnsi="Times New Roman"/>
          <w:color w:val="000000"/>
          <w:sz w:val="22"/>
          <w:szCs w:val="22"/>
          <w:lang w:val="ru-RU"/>
        </w:rPr>
      </w:r>
      <w:r>
        <w:rPr>
          <w:rFonts w:ascii="Times New Roman" w:hAnsi="Times New Roman"/>
          <w:color w:val="000000"/>
          <w:sz w:val="22"/>
          <w:szCs w:val="22"/>
          <w:lang w:val="ru-RU"/>
        </w:rPr>
      </w:r>
    </w:p>
    <w:p>
      <w:pPr>
        <w:pStyle w:val="87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3.1. Срок </w:t>
      </w:r>
      <w:r>
        <w:rPr>
          <w:rFonts w:ascii="Times New Roman" w:hAnsi="Times New Roman"/>
          <w:color w:val="000000"/>
        </w:rPr>
        <w:t xml:space="preserve">выполнения обязательств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по </w:t>
      </w:r>
      <w:r>
        <w:rPr>
          <w:rFonts w:ascii="Times New Roman" w:hAnsi="Times New Roman"/>
          <w:color w:val="000000"/>
        </w:rPr>
        <w:t xml:space="preserve">на</w:t>
      </w:r>
      <w:r>
        <w:rPr>
          <w:rFonts w:ascii="Times New Roman" w:hAnsi="Times New Roman"/>
          <w:color w:val="000000"/>
        </w:rPr>
        <w:t xml:space="preserve">стоящему Договору: 20 рабочих дней с момента заключения договора</w:t>
      </w:r>
      <w:r>
        <w:rPr>
          <w:rFonts w:ascii="Times New Roman" w:hAnsi="Times New Roman"/>
          <w:b/>
          <w:color w:val="000000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70"/>
        <w:numPr>
          <w:ilvl w:val="1"/>
          <w:numId w:val="0"/>
        </w:numPr>
        <w:jc w:val="both"/>
        <w:rPr>
          <w:rFonts w:ascii="Times New Roman" w:hAnsi="Times New Roman"/>
          <w:color w:val="000000"/>
        </w:rPr>
      </w:pPr>
      <w:r/>
      <w:bookmarkEnd w:id="2"/>
      <w:r>
        <w:rPr>
          <w:rFonts w:ascii="Times New Roman" w:hAnsi="Times New Roman"/>
          <w:color w:val="000000"/>
        </w:rPr>
        <w:t xml:space="preserve">3.2</w:t>
      </w:r>
      <w:r>
        <w:rPr>
          <w:rFonts w:ascii="Times New Roman" w:hAnsi="Times New Roman"/>
          <w:color w:val="000000"/>
        </w:rPr>
        <w:t xml:space="preserve">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Передача </w:t>
      </w:r>
      <w:r>
        <w:rPr>
          <w:rFonts w:ascii="Times New Roman" w:hAnsi="Times New Roman"/>
          <w:color w:val="000000"/>
        </w:rPr>
        <w:t xml:space="preserve">Заказчик</w:t>
      </w:r>
      <w:r>
        <w:rPr>
          <w:rFonts w:ascii="Times New Roman" w:hAnsi="Times New Roman"/>
          <w:color w:val="000000"/>
        </w:rPr>
        <w:t xml:space="preserve">у права использования ПО оформляется подписанием акта приема-передачи права использования ПО, который является документом, подтверждающим надлежащее выполнение </w:t>
      </w:r>
      <w:r>
        <w:rPr>
          <w:rFonts w:ascii="Times New Roman" w:hAnsi="Times New Roman"/>
          <w:color w:val="000000"/>
        </w:rPr>
        <w:t xml:space="preserve">Сублицензиат</w:t>
      </w:r>
      <w:r>
        <w:rPr>
          <w:rFonts w:ascii="Times New Roman" w:hAnsi="Times New Roman"/>
          <w:color w:val="000000"/>
        </w:rPr>
        <w:t xml:space="preserve">ом своих обязательств по передаче прав использования ПО.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3.3. </w:t>
      </w:r>
      <w:r>
        <w:rPr>
          <w:rFonts w:ascii="Times New Roman" w:hAnsi="Times New Roman"/>
          <w:color w:val="000000"/>
        </w:rPr>
        <w:t xml:space="preserve">Передача </w:t>
      </w:r>
      <w:r>
        <w:rPr>
          <w:rFonts w:ascii="Times New Roman" w:hAnsi="Times New Roman"/>
          <w:color w:val="000000"/>
        </w:rPr>
        <w:t xml:space="preserve">Заказчик</w:t>
      </w:r>
      <w:r>
        <w:rPr>
          <w:rFonts w:ascii="Times New Roman" w:hAnsi="Times New Roman"/>
          <w:color w:val="000000"/>
        </w:rPr>
        <w:t xml:space="preserve">у Товара оформляется подписанием Товарной накладной</w:t>
      </w:r>
      <w:r>
        <w:rPr>
          <w:rFonts w:ascii="Times New Roman" w:hAnsi="Times New Roman"/>
          <w:color w:val="000000"/>
        </w:rPr>
        <w:t xml:space="preserve">(УПД)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color w:val="000000"/>
          <w:sz w:val="22"/>
          <w:szCs w:val="22"/>
          <w:lang w:val="ru-RU"/>
        </w:rPr>
      </w:pPr>
      <w:r/>
      <w:bookmarkStart w:id="3" w:name="_Toc510612357"/>
      <w:r>
        <w:rPr>
          <w:rFonts w:ascii="Times New Roman" w:hAnsi="Times New Roman"/>
          <w:color w:val="000000"/>
          <w:sz w:val="22"/>
          <w:szCs w:val="22"/>
          <w:lang w:val="ru-RU"/>
        </w:rPr>
      </w:r>
      <w:r>
        <w:rPr>
          <w:rFonts w:ascii="Times New Roman" w:hAnsi="Times New Roman"/>
          <w:color w:val="000000"/>
          <w:sz w:val="22"/>
          <w:szCs w:val="22"/>
          <w:lang w:val="ru-RU"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4. </w:t>
      </w:r>
      <w:r>
        <w:rPr>
          <w:rFonts w:ascii="Times New Roman" w:hAnsi="Times New Roman"/>
          <w:color w:val="000000"/>
          <w:sz w:val="22"/>
          <w:szCs w:val="22"/>
        </w:rPr>
        <w:t xml:space="preserve">ГАРАНТИИ ЗАКОННОСТИ (ПРАВОМЕРНОСТИ) ЗАКЛЮЧЕНИЯ </w:t>
      </w:r>
      <w:r>
        <w:rPr>
          <w:rFonts w:ascii="Times New Roman" w:hAnsi="Times New Roman"/>
          <w:color w:val="000000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000000"/>
          <w:sz w:val="22"/>
          <w:szCs w:val="22"/>
        </w:rPr>
        <w:t xml:space="preserve">ОМ НАСТОЯЩЕГО ДОГОВОРА В ЧАСТИ РАСПРОСТРАНЕНИЯ ПО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4.1.Настоящим </w:t>
      </w:r>
      <w:r>
        <w:rPr>
          <w:rFonts w:ascii="Times New Roman" w:hAnsi="Times New Roman"/>
          <w:color w:val="000000"/>
        </w:rPr>
        <w:t xml:space="preserve">Сублицензиат</w:t>
      </w:r>
      <w:r>
        <w:rPr>
          <w:rFonts w:ascii="Times New Roman" w:hAnsi="Times New Roman"/>
          <w:color w:val="000000"/>
        </w:rPr>
        <w:t xml:space="preserve"> гарантирует наличие у него необходимых имущественных прав на распространение ПО, в том числе на заключение (суб)лицензионных договоров (неисключительных сублицензий) на передачу неисключительных прав использования ПО на территории РФ.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color w:val="000000"/>
          <w:sz w:val="22"/>
          <w:szCs w:val="22"/>
        </w:rPr>
      </w:pPr>
      <w:r/>
      <w:bookmarkEnd w:id="3"/>
      <w:r/>
      <w:bookmarkStart w:id="4" w:name="_Toc510612359"/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5. </w:t>
      </w:r>
      <w:r>
        <w:rPr>
          <w:rFonts w:ascii="Times New Roman" w:hAnsi="Times New Roman"/>
          <w:color w:val="000000"/>
          <w:sz w:val="22"/>
          <w:szCs w:val="22"/>
        </w:rPr>
        <w:t xml:space="preserve">СРОК ДЕЙСТВИЯ ДОГОВОРА</w:t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5.1.Настоящий</w:t>
      </w:r>
      <w:r>
        <w:rPr>
          <w:rFonts w:ascii="Times New Roman" w:hAnsi="Times New Roman"/>
          <w:color w:val="000000"/>
        </w:rPr>
        <w:t xml:space="preserve"> Д</w:t>
      </w:r>
      <w:r>
        <w:rPr>
          <w:rFonts w:ascii="Times New Roman" w:hAnsi="Times New Roman"/>
          <w:color w:val="000000"/>
        </w:rPr>
        <w:t xml:space="preserve">оговор вступает в силу с даты его подписания </w:t>
      </w:r>
      <w:r>
        <w:rPr>
          <w:rFonts w:ascii="Times New Roman" w:hAnsi="Times New Roman"/>
          <w:color w:val="000000"/>
        </w:rPr>
        <w:t xml:space="preserve">обеими сторонами и действует до</w:t>
      </w:r>
      <w:r>
        <w:rPr>
          <w:rFonts w:ascii="Times New Roman" w:hAnsi="Times New Roman"/>
          <w:color w:val="000000"/>
        </w:rPr>
        <w:t xml:space="preserve"> 25 декабря 2026</w:t>
      </w:r>
      <w:r>
        <w:rPr>
          <w:rFonts w:ascii="Times New Roman" w:hAnsi="Times New Roman"/>
          <w:color w:val="000000"/>
        </w:rPr>
        <w:t xml:space="preserve"> года, а в части взаиморасчетов до </w:t>
      </w:r>
      <w:r>
        <w:rPr>
          <w:rFonts w:ascii="Times New Roman" w:hAnsi="Times New Roman"/>
          <w:color w:val="000000"/>
        </w:rPr>
        <w:t xml:space="preserve">полного исполнения обязательств сторонами.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6. </w:t>
      </w:r>
      <w:r>
        <w:rPr>
          <w:rFonts w:ascii="Times New Roman" w:hAnsi="Times New Roman"/>
          <w:color w:val="000000"/>
          <w:sz w:val="22"/>
          <w:szCs w:val="22"/>
        </w:rPr>
        <w:t xml:space="preserve">ЗАЩИТА В СЛУЧАЕ НАРУШЕНИЙ ИНТЕЛЛЕКТУАЛЬНЫХ ПРАВ ТРЕТЬИХ ЛИЦ</w:t>
      </w:r>
      <w:r>
        <w:rPr>
          <w:rFonts w:ascii="Times New Roman" w:hAnsi="Times New Roman"/>
          <w:color w:val="000000"/>
          <w:sz w:val="22"/>
          <w:szCs w:val="22"/>
          <w:lang w:val="ru-RU"/>
        </w:rPr>
      </w:r>
      <w:r>
        <w:rPr>
          <w:rFonts w:ascii="Times New Roman" w:hAnsi="Times New Roman"/>
          <w:color w:val="000000"/>
          <w:sz w:val="22"/>
          <w:szCs w:val="22"/>
          <w:lang w:val="ru-RU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6.1.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Сублицензиат</w:t>
      </w:r>
      <w:r>
        <w:rPr>
          <w:rFonts w:ascii="Times New Roman" w:hAnsi="Times New Roman"/>
          <w:color w:val="000000"/>
        </w:rPr>
        <w:t xml:space="preserve"> будет защищать интересы </w:t>
      </w:r>
      <w:r>
        <w:rPr>
          <w:rFonts w:ascii="Times New Roman" w:hAnsi="Times New Roman"/>
          <w:color w:val="000000"/>
        </w:rPr>
        <w:t xml:space="preserve">Заказчик</w:t>
      </w:r>
      <w:r>
        <w:rPr>
          <w:rFonts w:ascii="Times New Roman" w:hAnsi="Times New Roman"/>
          <w:color w:val="000000"/>
        </w:rPr>
        <w:t xml:space="preserve">а в случае предъявления к нему третьим лицом претензии о том, что использование им ПО нарушает авторские права данных лиц.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6.2.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В случае предъявления претензии </w:t>
      </w:r>
      <w:r>
        <w:rPr>
          <w:rFonts w:ascii="Times New Roman" w:hAnsi="Times New Roman"/>
          <w:color w:val="000000"/>
        </w:rPr>
        <w:t xml:space="preserve">Заказчик</w:t>
      </w:r>
      <w:r>
        <w:rPr>
          <w:rFonts w:ascii="Times New Roman" w:hAnsi="Times New Roman"/>
          <w:color w:val="000000"/>
        </w:rPr>
        <w:t xml:space="preserve"> должен незамедлительно письменно уведомить </w:t>
      </w:r>
      <w:r>
        <w:rPr>
          <w:rFonts w:ascii="Times New Roman" w:hAnsi="Times New Roman"/>
          <w:color w:val="000000"/>
        </w:rPr>
        <w:t xml:space="preserve">Сублицензиат</w:t>
      </w:r>
      <w:r>
        <w:rPr>
          <w:rFonts w:ascii="Times New Roman" w:hAnsi="Times New Roman"/>
          <w:color w:val="000000"/>
        </w:rPr>
        <w:t xml:space="preserve">а и предоставить ему право самостоятельно осуществлять защиту или добиваться мирового соглашения.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6.3.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Обязательства </w:t>
      </w:r>
      <w:r>
        <w:rPr>
          <w:rFonts w:ascii="Times New Roman" w:hAnsi="Times New Roman"/>
          <w:color w:val="000000"/>
        </w:rPr>
        <w:t xml:space="preserve">Сублицензиат</w:t>
      </w:r>
      <w:r>
        <w:rPr>
          <w:rFonts w:ascii="Times New Roman" w:hAnsi="Times New Roman"/>
          <w:color w:val="000000"/>
        </w:rPr>
        <w:t xml:space="preserve">а не имеют силы, если в основе претензии или неблагоприятного окончательного решения суда лежат: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0"/>
          <w:numId w:val="8"/>
        </w:numPr>
        <w:ind w:lef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использование </w:t>
      </w:r>
      <w:r>
        <w:rPr>
          <w:rFonts w:ascii="Times New Roman" w:hAnsi="Times New Roman"/>
          <w:color w:val="000000"/>
        </w:rPr>
        <w:t xml:space="preserve">Заказчик</w:t>
      </w:r>
      <w:r>
        <w:rPr>
          <w:rFonts w:ascii="Times New Roman" w:hAnsi="Times New Roman"/>
          <w:color w:val="000000"/>
        </w:rPr>
        <w:t xml:space="preserve">ом ПО после того, как </w:t>
      </w:r>
      <w:r>
        <w:rPr>
          <w:rFonts w:ascii="Times New Roman" w:hAnsi="Times New Roman"/>
          <w:color w:val="000000"/>
        </w:rPr>
        <w:t xml:space="preserve">Сублицензиат</w:t>
      </w:r>
      <w:r>
        <w:rPr>
          <w:rFonts w:ascii="Times New Roman" w:hAnsi="Times New Roman"/>
          <w:color w:val="000000"/>
        </w:rPr>
        <w:t xml:space="preserve"> уведомил о необходимости прекратить использование ПО по причине предъявления такой претензии;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0"/>
          <w:numId w:val="10"/>
        </w:numPr>
        <w:ind w:lef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несанкционированное изменение (модификация) </w:t>
      </w:r>
      <w:r>
        <w:rPr>
          <w:rFonts w:ascii="Times New Roman" w:hAnsi="Times New Roman"/>
          <w:color w:val="000000"/>
        </w:rPr>
        <w:t xml:space="preserve">Заказчик</w:t>
      </w:r>
      <w:r>
        <w:rPr>
          <w:rFonts w:ascii="Times New Roman" w:hAnsi="Times New Roman"/>
          <w:color w:val="000000"/>
        </w:rPr>
        <w:t xml:space="preserve">ом ПО;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0"/>
          <w:numId w:val="10"/>
        </w:numPr>
        <w:ind w:lef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любое использование ПО с нарушением условий использования</w:t>
      </w:r>
      <w:r>
        <w:rPr>
          <w:rFonts w:ascii="Times New Roman" w:hAnsi="Times New Roman"/>
          <w:color w:val="000000"/>
        </w:rPr>
        <w:t xml:space="preserve"> ПО, предусмотренных настоящим Д</w:t>
      </w:r>
      <w:r>
        <w:rPr>
          <w:rFonts w:ascii="Times New Roman" w:hAnsi="Times New Roman"/>
          <w:color w:val="000000"/>
        </w:rPr>
        <w:t xml:space="preserve">оговором и действующим законодательством.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7. </w:t>
      </w:r>
      <w:r>
        <w:rPr>
          <w:rFonts w:ascii="Times New Roman" w:hAnsi="Times New Roman"/>
          <w:color w:val="000000"/>
          <w:sz w:val="22"/>
          <w:szCs w:val="22"/>
        </w:rPr>
        <w:t xml:space="preserve">ОТВЕТСТВЕННОСТЬ СТОРОН</w:t>
      </w:r>
      <w:bookmarkEnd w:id="4"/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142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7.1.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За неисполнение или ненадлежащее исполне</w:t>
      </w:r>
      <w:r>
        <w:rPr>
          <w:rFonts w:ascii="Times New Roman" w:hAnsi="Times New Roman"/>
          <w:color w:val="000000"/>
        </w:rPr>
        <w:t xml:space="preserve">ние обязательств по настоящему Д</w:t>
      </w:r>
      <w:r>
        <w:rPr>
          <w:rFonts w:ascii="Times New Roman" w:hAnsi="Times New Roman"/>
          <w:color w:val="000000"/>
        </w:rPr>
        <w:t xml:space="preserve">оговору стороны несут ответственно</w:t>
      </w:r>
      <w:r>
        <w:rPr>
          <w:rFonts w:ascii="Times New Roman" w:hAnsi="Times New Roman"/>
          <w:color w:val="000000"/>
        </w:rPr>
        <w:t xml:space="preserve">сть в соответствии c условиями Д</w:t>
      </w:r>
      <w:r>
        <w:rPr>
          <w:rFonts w:ascii="Times New Roman" w:hAnsi="Times New Roman"/>
          <w:color w:val="000000"/>
        </w:rPr>
        <w:t xml:space="preserve">оговора и действующим законодательством РФ.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8. </w:t>
      </w:r>
      <w:r>
        <w:rPr>
          <w:rFonts w:ascii="Times New Roman" w:hAnsi="Times New Roman"/>
          <w:color w:val="000000"/>
          <w:sz w:val="22"/>
          <w:szCs w:val="22"/>
        </w:rPr>
        <w:t xml:space="preserve">ФОРС-МАЖОР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0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8.1.Стороны освобождаются от ответственности за частичное или полное неисполнение обязате</w:t>
      </w:r>
      <w:r>
        <w:rPr>
          <w:rFonts w:ascii="Times New Roman" w:hAnsi="Times New Roman"/>
          <w:color w:val="000000"/>
        </w:rPr>
        <w:t xml:space="preserve">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 предотвратить разумными мерами.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0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8.2.К обстоятельствам непреодолимой силы относятся события, на которые стороны не могут о</w:t>
      </w:r>
      <w:r>
        <w:rPr>
          <w:rFonts w:ascii="Times New Roman" w:hAnsi="Times New Roman"/>
          <w:color w:val="000000"/>
        </w:rPr>
        <w:t xml:space="preserve">казывать влияние и за возникновение которых не несут ответственности: землетрясение, наводнение, пожар, забастовки, насильственные или военные действия любого характера, решения органов государственной власти, препятствующие выполнению настоящего Договора.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0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8.3.Сторона, ссылающаяся на обстоятельства непреодолимой силы, обязана незамедлительно информировать другую сторону о наступлении подобных обстоятельств в письменной форме.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0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8.4.Если состояние невыполнения обязательств, вытекающих из настоящего Договора, и обусловленное действием обстоятельств непреодолимой силы длится более 2 (двух) месяцев подряд и нет возможности сделат</w:t>
      </w:r>
      <w:r>
        <w:rPr>
          <w:rFonts w:ascii="Times New Roman" w:hAnsi="Times New Roman"/>
          <w:color w:val="000000"/>
        </w:rPr>
        <w:t xml:space="preserve">ь заявление о дате прекращения обстоятельств в течение указанного периода, то каждая Сторона имеет право расторгнуть настоящий Договор в одностороннем порядке, известив об этом другую Сторону не менее, чем за 15 (пятнадцать) дней до реализации этого права.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9. </w:t>
      </w:r>
      <w:r>
        <w:rPr>
          <w:rFonts w:ascii="Times New Roman" w:hAnsi="Times New Roman"/>
          <w:color w:val="000000"/>
          <w:sz w:val="22"/>
          <w:szCs w:val="22"/>
        </w:rPr>
        <w:t xml:space="preserve">ПОРЯДОК РАССМОТРЕНИЯ СПОРОВ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9.1.При возн</w:t>
      </w:r>
      <w:r>
        <w:rPr>
          <w:rFonts w:ascii="Times New Roman" w:hAnsi="Times New Roman"/>
          <w:color w:val="000000"/>
        </w:rPr>
        <w:t xml:space="preserve">икновении споров по настоящему Д</w:t>
      </w:r>
      <w:r>
        <w:rPr>
          <w:rFonts w:ascii="Times New Roman" w:hAnsi="Times New Roman"/>
          <w:color w:val="000000"/>
        </w:rPr>
        <w:t xml:space="preserve">оговору обязательным является предъявление Претензии, срок рассмотрения которой устанавливается в 10 дней с даты ее вручения стороне.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9.2.Претензия и отзыв на нее вручаются либо под расписку, либо почтовым отправлением с уведомлением о вручении.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9.3.В случае невозможно</w:t>
      </w:r>
      <w:r>
        <w:rPr>
          <w:rFonts w:ascii="Times New Roman" w:hAnsi="Times New Roman"/>
          <w:color w:val="000000"/>
        </w:rPr>
        <w:t xml:space="preserve">сти урегулирования споров и разногласий в претензионном порядке, стороны вправе передать их на рассмотрение в Арбитражный суд по месту нахождения ответчика. Исковое заявление может быть подано не ранее чем через 20 дней с даты получения претензии стороной.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10. </w:t>
      </w:r>
      <w:r>
        <w:rPr>
          <w:rFonts w:ascii="Times New Roman" w:hAnsi="Times New Roman"/>
          <w:color w:val="000000"/>
          <w:sz w:val="22"/>
          <w:szCs w:val="22"/>
        </w:rPr>
        <w:t xml:space="preserve">КОНФИДЕНЦИАЛЬНОСТЬ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10.1.Стороны обязуются не разглашать конфиденциальную информацию и не использовать ее, кроме как в целях исполне</w:t>
      </w:r>
      <w:r>
        <w:rPr>
          <w:rFonts w:ascii="Times New Roman" w:hAnsi="Times New Roman"/>
          <w:color w:val="000000"/>
        </w:rPr>
        <w:t xml:space="preserve">ния обязательств по настоящему Д</w:t>
      </w:r>
      <w:r>
        <w:rPr>
          <w:rFonts w:ascii="Times New Roman" w:hAnsi="Times New Roman"/>
          <w:color w:val="000000"/>
        </w:rPr>
        <w:t xml:space="preserve">оговору.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10.2.Конфиденциальной считается информация, полученная в рамках выполнен</w:t>
      </w:r>
      <w:r>
        <w:rPr>
          <w:rFonts w:ascii="Times New Roman" w:hAnsi="Times New Roman"/>
          <w:color w:val="000000"/>
        </w:rPr>
        <w:t xml:space="preserve">ия настоящего Д</w:t>
      </w:r>
      <w:r>
        <w:rPr>
          <w:rFonts w:ascii="Times New Roman" w:hAnsi="Times New Roman"/>
          <w:color w:val="000000"/>
        </w:rPr>
        <w:t xml:space="preserve">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</w:t>
      </w:r>
      <w:r>
        <w:rPr>
          <w:rFonts w:ascii="Times New Roman" w:hAnsi="Times New Roman"/>
          <w:color w:val="000000"/>
        </w:rPr>
        <w:t xml:space="preserve">редаваемые в рамках настоящего Д</w:t>
      </w:r>
      <w:r>
        <w:rPr>
          <w:rFonts w:ascii="Times New Roman" w:hAnsi="Times New Roman"/>
          <w:color w:val="000000"/>
        </w:rPr>
        <w:t xml:space="preserve">оговора, должны иметь пометку «Конфиденциально».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10.3.Сторона, не выполнившая условия конфиденциальности, несет ответственность в соответствии с законодательством Российской Федерации.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10.4.Конфиденциальная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10.5.Информация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10.6.Сам факт з</w:t>
      </w:r>
      <w:r>
        <w:rPr>
          <w:rFonts w:ascii="Times New Roman" w:hAnsi="Times New Roman"/>
          <w:color w:val="000000"/>
        </w:rPr>
        <w:t xml:space="preserve">аключения и предмет настоящего Д</w:t>
      </w:r>
      <w:r>
        <w:rPr>
          <w:rFonts w:ascii="Times New Roman" w:hAnsi="Times New Roman"/>
          <w:color w:val="000000"/>
        </w:rPr>
        <w:t xml:space="preserve">оговора не является конфиденциальным и может использоваться сторонами в рекламно-маркетинговых целях.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2"/>
        <w:jc w:val="center"/>
        <w:keepLines w:val="0"/>
        <w:spacing w:before="120" w:after="120"/>
        <w:widowControl w:val="off"/>
        <w:tabs>
          <w:tab w:val="num" w:pos="360" w:leader="none"/>
        </w:tabs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11. </w:t>
      </w:r>
      <w:r>
        <w:rPr>
          <w:rFonts w:ascii="Times New Roman" w:hAnsi="Times New Roman"/>
          <w:color w:val="000000"/>
          <w:sz w:val="22"/>
          <w:szCs w:val="22"/>
        </w:rPr>
        <w:t xml:space="preserve">ПРОЧИЕ УСЛОВИЯ</w:t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11.1.Настоящий Д</w:t>
      </w:r>
      <w:r>
        <w:rPr>
          <w:rFonts w:ascii="Times New Roman" w:hAnsi="Times New Roman"/>
          <w:color w:val="000000"/>
        </w:rPr>
        <w:t xml:space="preserve">оговор вступает в силу с даты его подписания обеи</w:t>
      </w:r>
      <w:r>
        <w:rPr>
          <w:rFonts w:ascii="Times New Roman" w:hAnsi="Times New Roman"/>
          <w:color w:val="000000"/>
        </w:rPr>
        <w:t xml:space="preserve">ми сторонами, а в случае, если Д</w:t>
      </w:r>
      <w:r>
        <w:rPr>
          <w:rFonts w:ascii="Times New Roman" w:hAnsi="Times New Roman"/>
          <w:color w:val="000000"/>
        </w:rPr>
        <w:t xml:space="preserve">оговор подписан в разные даты, он вступает в силу с последней из них и действует до выполнения сторонами принятых на себя обязательств.</w:t>
      </w:r>
      <w:bookmarkStart w:id="5" w:name="_Ref26774448"/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11.2.Настоящий Д</w:t>
      </w:r>
      <w:r>
        <w:rPr>
          <w:rFonts w:ascii="Times New Roman" w:hAnsi="Times New Roman"/>
          <w:color w:val="000000"/>
        </w:rPr>
        <w:t xml:space="preserve">оговор в соответствии с п.3 ст. 421 ГК РФ является смешанным договором, т.е. договором, в котором содержаться элементы </w:t>
      </w:r>
      <w:r>
        <w:rPr>
          <w:rFonts w:ascii="Times New Roman" w:hAnsi="Times New Roman"/>
          <w:color w:val="000000"/>
        </w:rPr>
        <w:t xml:space="preserve">двух</w:t>
      </w:r>
      <w:r>
        <w:rPr>
          <w:rFonts w:ascii="Times New Roman" w:hAnsi="Times New Roman"/>
          <w:color w:val="000000"/>
        </w:rPr>
        <w:t xml:space="preserve"> различных типов договоров – сублиц</w:t>
      </w:r>
      <w:r>
        <w:rPr>
          <w:rFonts w:ascii="Times New Roman" w:hAnsi="Times New Roman"/>
          <w:color w:val="000000"/>
        </w:rPr>
        <w:t xml:space="preserve">ензионного договора и</w:t>
      </w:r>
      <w:r>
        <w:rPr>
          <w:rFonts w:ascii="Times New Roman" w:hAnsi="Times New Roman"/>
          <w:color w:val="000000"/>
        </w:rPr>
        <w:t xml:space="preserve"> договора поставки товара. Заключение между Сторонами </w:t>
      </w:r>
      <w:r>
        <w:rPr>
          <w:rFonts w:ascii="Times New Roman" w:hAnsi="Times New Roman"/>
          <w:color w:val="000000"/>
        </w:rPr>
        <w:t xml:space="preserve">двух</w:t>
      </w:r>
      <w:r>
        <w:rPr>
          <w:rFonts w:ascii="Times New Roman" w:hAnsi="Times New Roman"/>
          <w:color w:val="000000"/>
        </w:rPr>
        <w:t xml:space="preserve"> договоров путем составления одного документа (настоящего Договора) отвечает интересам Сторон, поскольку указанные договоры тесно взаимосвязаны, а также в целях упрощения учета взаимных обязательств.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  <w:tab w:val="left" w:pos="993" w:leader="none"/>
          <w:tab w:val="left" w:pos="1560" w:leader="none"/>
        </w:tabs>
        <w:rPr>
          <w:rFonts w:ascii="Times New Roman" w:hAnsi="Times New Roman"/>
          <w:color w:val="000000"/>
        </w:rPr>
      </w:pPr>
      <w:r/>
      <w:bookmarkEnd w:id="5"/>
      <w:r>
        <w:rPr>
          <w:rFonts w:ascii="Times New Roman" w:hAnsi="Times New Roman"/>
          <w:color w:val="000000"/>
        </w:rPr>
        <w:t xml:space="preserve">11.3.Настоящий Д</w:t>
      </w:r>
      <w:r>
        <w:rPr>
          <w:rFonts w:ascii="Times New Roman" w:hAnsi="Times New Roman"/>
          <w:color w:val="000000"/>
        </w:rPr>
        <w:t xml:space="preserve">оговор может быть изменен либо дополнен на основании письменного соглашения сторон.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1"/>
          <w:numId w:val="0"/>
        </w:numPr>
        <w:jc w:val="both"/>
        <w:tabs>
          <w:tab w:val="num" w:pos="435" w:leader="none"/>
        </w:tabs>
        <w:rPr>
          <w:rFonts w:ascii="Times New Roman" w:hAnsi="Times New Roman"/>
          <w:color w:val="000000"/>
        </w:rPr>
      </w:pPr>
      <w:r/>
      <w:bookmarkStart w:id="6" w:name="_Toc510612364"/>
      <w:r>
        <w:rPr>
          <w:rFonts w:ascii="Times New Roman" w:hAnsi="Times New Roman"/>
          <w:color w:val="000000"/>
        </w:rPr>
        <w:t xml:space="preserve">11.4.Приложения к настоящему Д</w:t>
      </w:r>
      <w:r>
        <w:rPr>
          <w:rFonts w:ascii="Times New Roman" w:hAnsi="Times New Roman"/>
          <w:color w:val="000000"/>
        </w:rPr>
        <w:t xml:space="preserve">оговору: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numPr>
          <w:ilvl w:val="0"/>
          <w:numId w:val="1"/>
        </w:numPr>
        <w:ind w:left="0" w:firstLine="0"/>
        <w:jc w:val="both"/>
        <w:tabs>
          <w:tab w:val="num" w:pos="900" w:leader="none"/>
          <w:tab w:val="clear" w:pos="1429" w:leader="none"/>
        </w:tabs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Приложение №1 – Спецификация.</w:t>
      </w:r>
      <w:r>
        <w:rPr>
          <w:rFonts w:ascii="Times New Roman" w:hAnsi="Times New Roman"/>
          <w:bCs/>
          <w:color w:val="000000"/>
        </w:rPr>
      </w:r>
      <w:r>
        <w:rPr>
          <w:rFonts w:ascii="Times New Roman" w:hAnsi="Times New Roman"/>
          <w:bCs/>
          <w:color w:val="000000"/>
        </w:rPr>
      </w:r>
    </w:p>
    <w:p>
      <w:pPr>
        <w:pStyle w:val="888"/>
        <w:jc w:val="center"/>
        <w:spacing w:before="1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РЕКВИЗИТЫ И ПОДПИСИ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492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71"/>
              <w:jc w:val="center"/>
              <w:keepNext w:val="0"/>
              <w:widowControl w:val="off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/>
            <w:bookmarkEnd w:id="6"/>
            <w:r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 xml:space="preserve">Сублицензиат</w:t>
            </w:r>
            <w:r>
              <w:rPr>
                <w:rFonts w:ascii="Times New Roman" w:hAnsi="Times New Roman"/>
                <w:bCs w:val="0"/>
                <w:sz w:val="22"/>
                <w:szCs w:val="22"/>
                <w:lang w:val="ru-RU"/>
              </w:rPr>
              <w:t xml:space="preserve">:</w:t>
            </w:r>
            <w:r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r>
          </w:p>
          <w:p>
            <w:pPr>
              <w:pStyle w:val="893"/>
              <w:jc w:val="center"/>
              <w:spacing w:after="0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71"/>
              <w:jc w:val="center"/>
              <w:keepNext w:val="0"/>
              <w:widowControl w:val="off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 xml:space="preserve">Заказчик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:</w:t>
            </w:r>
            <w:r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r>
          </w:p>
          <w:p>
            <w:pPr>
              <w:pStyle w:val="893"/>
              <w:jc w:val="center"/>
            </w:pPr>
            <w:r/>
            <w:r/>
          </w:p>
        </w:tc>
      </w:tr>
      <w:tr>
        <w:tblPrEx/>
        <w:trPr>
          <w:trHeight w:val="701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Управление Федеральной службы по надзору в сфере защиты прав потребителей и благополучия человека по Тверской области (Управление Роспотребнадзора по Тверской области)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Юр.адрес</w:t>
            </w:r>
            <w:r>
              <w:rPr>
                <w:rFonts w:ascii="Times New Roman" w:hAnsi="Times New Roman"/>
              </w:rPr>
              <w:t xml:space="preserve">:170034 г.Тверь, ул.Дарвина, д.17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ИНН/КПП 6901072330/695001001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Нижегородской области (Управление Роспотребнадзора по Тверской области, л/с 03361788230)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Банк: ОКЦ № 1 ВВГУ Банка России//УФК по Нижегородской области, г. Нижний Новгород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  012202102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р/счет  03211643000000013223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Кор.счет 40102810745370000024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E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  <w:lang w:val="en-US"/>
              </w:rPr>
              <w:t xml:space="preserve">mail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lang w:val="en-GB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</w:instrText>
            </w:r>
            <w:r>
              <w:rPr>
                <w:rFonts w:ascii="Times New Roman" w:hAnsi="Times New Roman"/>
                <w:lang w:val="en-GB"/>
              </w:rPr>
              <w:instrText xml:space="preserve">HYPERLINK</w:instrText>
            </w:r>
            <w:r>
              <w:rPr>
                <w:rFonts w:ascii="Times New Roman" w:hAnsi="Times New Roman"/>
              </w:rPr>
              <w:instrText xml:space="preserve">  "</w:instrText>
            </w:r>
            <w:r>
              <w:rPr>
                <w:rFonts w:ascii="Times New Roman" w:hAnsi="Times New Roman"/>
                <w:lang w:val="en-GB"/>
              </w:rPr>
              <w:instrText xml:space="preserve">mailto</w:instrText>
            </w:r>
            <w:r>
              <w:rPr>
                <w:rFonts w:ascii="Times New Roman" w:hAnsi="Times New Roman"/>
              </w:rPr>
              <w:instrText xml:space="preserve">:</w:instrText>
            </w:r>
            <w:r>
              <w:rPr>
                <w:rFonts w:ascii="Times New Roman" w:hAnsi="Times New Roman"/>
                <w:lang w:val="en-GB"/>
              </w:rPr>
              <w:instrText xml:space="preserve">info</w:instrText>
            </w:r>
            <w:r>
              <w:rPr>
                <w:rFonts w:ascii="Times New Roman" w:hAnsi="Times New Roman"/>
              </w:rPr>
              <w:instrText xml:space="preserve">@69.</w:instrText>
            </w:r>
            <w:r>
              <w:rPr>
                <w:rFonts w:ascii="Times New Roman" w:hAnsi="Times New Roman"/>
                <w:lang w:val="en-GB"/>
              </w:rPr>
              <w:instrText xml:space="preserve">rospotrebnadzor</w:instrText>
            </w:r>
            <w:r>
              <w:rPr>
                <w:rFonts w:ascii="Times New Roman" w:hAnsi="Times New Roman"/>
              </w:rPr>
              <w:instrText xml:space="preserve">.</w:instrText>
            </w:r>
            <w:r>
              <w:rPr>
                <w:rFonts w:ascii="Times New Roman" w:hAnsi="Times New Roman"/>
                <w:lang w:val="en-GB"/>
              </w:rPr>
              <w:instrText xml:space="preserve">ru</w:instrText>
            </w:r>
            <w:r>
              <w:rPr>
                <w:rFonts w:ascii="Times New Roman" w:hAnsi="Times New Roman"/>
              </w:rPr>
              <w:instrText xml:space="preserve">" </w:instrText>
            </w:r>
            <w:r>
              <w:rPr>
                <w:rFonts w:ascii="Times New Roman" w:hAnsi="Times New Roman"/>
                <w:lang w:val="en-GB"/>
              </w:rPr>
              <w:fldChar w:fldCharType="separate"/>
            </w:r>
            <w:r>
              <w:rPr>
                <w:rStyle w:val="894"/>
                <w:rFonts w:ascii="Times New Roman" w:hAnsi="Times New Roman"/>
                <w:lang w:val="en-US"/>
              </w:rPr>
              <w:t xml:space="preserve">info</w:t>
            </w:r>
            <w:r>
              <w:rPr>
                <w:rStyle w:val="894"/>
                <w:rFonts w:ascii="Times New Roman" w:hAnsi="Times New Roman"/>
              </w:rPr>
              <w:t xml:space="preserve">@69.</w:t>
            </w:r>
            <w:r>
              <w:rPr>
                <w:rStyle w:val="894"/>
                <w:rFonts w:ascii="Times New Roman" w:hAnsi="Times New Roman"/>
                <w:lang w:val="en-US"/>
              </w:rPr>
              <w:t xml:space="preserve">rospotrebnadzor</w:t>
            </w:r>
            <w:r>
              <w:rPr>
                <w:rStyle w:val="894"/>
                <w:rFonts w:ascii="Times New Roman" w:hAnsi="Times New Roman"/>
              </w:rPr>
              <w:t xml:space="preserve">.</w:t>
            </w:r>
            <w:r>
              <w:rPr>
                <w:rStyle w:val="894"/>
                <w:rFonts w:ascii="Times New Roman" w:hAnsi="Times New Roman"/>
                <w:lang w:val="en-US"/>
              </w:rPr>
              <w:t xml:space="preserve">ru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официальный сайт: </w:t>
            </w:r>
            <w:r>
              <w:rPr>
                <w:rFonts w:ascii="Times New Roman" w:hAnsi="Times New Roman"/>
                <w:lang w:val="en-GB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</w:instrText>
            </w:r>
            <w:r>
              <w:rPr>
                <w:rFonts w:ascii="Times New Roman" w:hAnsi="Times New Roman"/>
                <w:lang w:val="en-GB"/>
              </w:rPr>
              <w:instrText xml:space="preserve">HYPERLINK</w:instrText>
            </w:r>
            <w:r>
              <w:rPr>
                <w:rFonts w:ascii="Times New Roman" w:hAnsi="Times New Roman"/>
              </w:rPr>
              <w:instrText xml:space="preserve">  "</w:instrText>
            </w:r>
            <w:r>
              <w:rPr>
                <w:rFonts w:ascii="Times New Roman" w:hAnsi="Times New Roman"/>
                <w:lang w:val="en-GB"/>
              </w:rPr>
              <w:instrText xml:space="preserve">mailto</w:instrText>
            </w:r>
            <w:r>
              <w:rPr>
                <w:rFonts w:ascii="Times New Roman" w:hAnsi="Times New Roman"/>
              </w:rPr>
              <w:instrText xml:space="preserve">:</w:instrText>
            </w:r>
            <w:r>
              <w:rPr>
                <w:rFonts w:ascii="Times New Roman" w:hAnsi="Times New Roman"/>
                <w:lang w:val="en-GB"/>
              </w:rPr>
              <w:instrText xml:space="preserve">info</w:instrText>
            </w:r>
            <w:r>
              <w:rPr>
                <w:rFonts w:ascii="Times New Roman" w:hAnsi="Times New Roman"/>
              </w:rPr>
              <w:instrText xml:space="preserve">@69.</w:instrText>
            </w:r>
            <w:r>
              <w:rPr>
                <w:rFonts w:ascii="Times New Roman" w:hAnsi="Times New Roman"/>
                <w:lang w:val="en-GB"/>
              </w:rPr>
              <w:instrText xml:space="preserve">rospotrebnadzor</w:instrText>
            </w:r>
            <w:r>
              <w:rPr>
                <w:rFonts w:ascii="Times New Roman" w:hAnsi="Times New Roman"/>
              </w:rPr>
              <w:instrText xml:space="preserve">.</w:instrText>
            </w:r>
            <w:r>
              <w:rPr>
                <w:rFonts w:ascii="Times New Roman" w:hAnsi="Times New Roman"/>
                <w:lang w:val="en-GB"/>
              </w:rPr>
              <w:instrText xml:space="preserve">ru</w:instrText>
            </w:r>
            <w:r>
              <w:rPr>
                <w:rFonts w:ascii="Times New Roman" w:hAnsi="Times New Roman"/>
              </w:rPr>
              <w:instrText xml:space="preserve">" </w:instrText>
            </w:r>
            <w:r>
              <w:rPr>
                <w:rFonts w:ascii="Times New Roman" w:hAnsi="Times New Roman"/>
                <w:lang w:val="en-GB"/>
              </w:rPr>
              <w:fldChar w:fldCharType="separate"/>
            </w:r>
            <w:r>
              <w:rPr>
                <w:rStyle w:val="894"/>
                <w:rFonts w:ascii="Times New Roman" w:hAnsi="Times New Roman"/>
              </w:rPr>
              <w:t xml:space="preserve">69.</w:t>
            </w:r>
            <w:r>
              <w:rPr>
                <w:rStyle w:val="894"/>
                <w:rFonts w:ascii="Times New Roman" w:hAnsi="Times New Roman"/>
                <w:lang w:val="en-GB"/>
              </w:rPr>
              <w:t xml:space="preserve">rospotrebnadzor</w:t>
            </w:r>
            <w:r>
              <w:rPr>
                <w:rStyle w:val="894"/>
                <w:rFonts w:ascii="Times New Roman" w:hAnsi="Times New Roman"/>
              </w:rPr>
              <w:t xml:space="preserve">.</w:t>
            </w:r>
            <w:r>
              <w:rPr>
                <w:rStyle w:val="894"/>
                <w:rFonts w:ascii="Times New Roman" w:hAnsi="Times New Roman"/>
                <w:lang w:val="en-GB"/>
              </w:rPr>
              <w:t xml:space="preserve">ru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(4822) 34-22-11 факс.(4822) 35-61-85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_________________________/Выскубов А.Ф.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м.п.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883"/>
        <w:jc w:val="right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83"/>
        <w:jc w:val="right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83"/>
        <w:jc w:val="right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83"/>
        <w:jc w:val="right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83"/>
        <w:jc w:val="right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83"/>
        <w:jc w:val="right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83"/>
        <w:jc w:val="right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83"/>
        <w:jc w:val="right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83"/>
        <w:jc w:val="right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83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83"/>
        <w:jc w:val="right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Приложение №1 к договору №</w:t>
      </w:r>
      <w:r>
        <w:rPr>
          <w:b/>
          <w:bCs/>
          <w:sz w:val="22"/>
          <w:szCs w:val="22"/>
          <w:lang w:val="ru-RU"/>
        </w:rPr>
        <w:t xml:space="preserve">      </w:t>
      </w:r>
      <w:r>
        <w:rPr>
          <w:b/>
          <w:bCs/>
          <w:sz w:val="22"/>
          <w:szCs w:val="22"/>
        </w:rPr>
        <w:t xml:space="preserve">от «</w:t>
      </w:r>
      <w:r>
        <w:rPr>
          <w:b/>
          <w:bCs/>
          <w:sz w:val="22"/>
          <w:szCs w:val="22"/>
          <w:lang w:val="ru-RU"/>
        </w:rPr>
        <w:t xml:space="preserve">___</w:t>
      </w:r>
      <w:r>
        <w:rPr>
          <w:b/>
          <w:bCs/>
          <w:sz w:val="22"/>
          <w:szCs w:val="22"/>
        </w:rPr>
        <w:t xml:space="preserve">»</w:t>
      </w:r>
      <w:r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 xml:space="preserve">____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202</w:t>
      </w:r>
      <w:r>
        <w:rPr>
          <w:b/>
          <w:bCs/>
          <w:sz w:val="22"/>
          <w:szCs w:val="22"/>
        </w:rPr>
        <w:t xml:space="preserve">6</w:t>
      </w:r>
      <w:r>
        <w:rPr>
          <w:b/>
          <w:bCs/>
          <w:sz w:val="22"/>
          <w:szCs w:val="22"/>
        </w:rPr>
        <w:t xml:space="preserve">г.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70"/>
        <w:jc w:val="both"/>
        <w:tabs>
          <w:tab w:val="num" w:pos="1069" w:leader="none"/>
        </w:tabs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</w:r>
      <w:r>
        <w:rPr>
          <w:rFonts w:ascii="Times New Roman" w:hAnsi="Times New Roman"/>
          <w:color w:val="000000"/>
          <w:lang w:val="en-US"/>
        </w:rPr>
      </w:r>
      <w:r>
        <w:rPr>
          <w:rFonts w:ascii="Times New Roman" w:hAnsi="Times New Roman"/>
          <w:color w:val="000000"/>
          <w:lang w:val="en-US"/>
        </w:rPr>
      </w:r>
    </w:p>
    <w:p>
      <w:pPr>
        <w:pStyle w:val="870"/>
        <w:jc w:val="both"/>
        <w:tabs>
          <w:tab w:val="num" w:pos="1069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jc w:val="both"/>
        <w:tabs>
          <w:tab w:val="num" w:pos="1069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7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Спецификация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7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highlight w:val="yellow"/>
        </w:rPr>
      </w:r>
      <w:r>
        <w:rPr>
          <w:rFonts w:ascii="Times New Roman" w:hAnsi="Times New Roman"/>
          <w:b/>
          <w:sz w:val="24"/>
          <w:szCs w:val="24"/>
          <w:highlight w:val="yellow"/>
        </w:rPr>
      </w:r>
      <w:r>
        <w:rPr>
          <w:rFonts w:ascii="Times New Roman" w:hAnsi="Times New Roman"/>
          <w:b/>
          <w:sz w:val="24"/>
          <w:szCs w:val="24"/>
          <w:highlight w:val="yellow"/>
        </w:rPr>
      </w:r>
    </w:p>
    <w:tbl>
      <w:tblPr>
        <w:tblW w:w="10796" w:type="dxa"/>
        <w:tblInd w:w="-24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20" w:firstRow="1" w:lastRow="0" w:firstColumn="0" w:lastColumn="0" w:noHBand="0" w:noVBand="0"/>
      </w:tblPr>
      <w:tblGrid>
        <w:gridCol w:w="460"/>
        <w:gridCol w:w="2398"/>
        <w:gridCol w:w="1984"/>
        <w:gridCol w:w="857"/>
        <w:gridCol w:w="853"/>
        <w:gridCol w:w="1409"/>
        <w:gridCol w:w="1358"/>
        <w:gridCol w:w="147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151"/>
          <w:tblHeader/>
        </w:trPr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460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№ п/п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2398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  <w:color w:val="000000"/>
              </w:rPr>
              <w:t xml:space="preserve">ОКПД2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right w:val="single" w:color="000000" w:sz="4" w:space="0"/>
            </w:tcBorders>
            <w:tcMar>
              <w:left w:w="30" w:type="dxa"/>
              <w:top w:w="30" w:type="dxa"/>
              <w:right w:w="30" w:type="dxa"/>
              <w:bottom w:w="2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Наименование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Mar>
              <w:left w:w="30" w:type="dxa"/>
              <w:top w:w="30" w:type="dxa"/>
              <w:right w:w="30" w:type="dxa"/>
              <w:bottom w:w="20" w:type="dxa"/>
            </w:tcMar>
            <w:tcW w:w="857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keepNext/>
              <w:spacing w:before="120" w:after="120"/>
              <w:tabs>
                <w:tab w:val="left" w:pos="1134" w:leader="none"/>
                <w:tab w:val="left" w:pos="1418" w:leader="none"/>
              </w:tabs>
              <w:rPr>
                <w:rFonts w:ascii="Times New Roman" w:hAnsi="Times New Roman"/>
                <w:sz w:val="24"/>
                <w:szCs w:val="24"/>
              </w:rPr>
              <w:outlineLvl w:val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853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Кол-во, шт.. 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1409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  <w:bCs/>
                <w:color w:val="000000"/>
              </w:rPr>
            </w:pPr>
            <w:r>
              <w:rPr>
                <w:rFonts w:ascii="Times New Roman" w:hAnsi="Times New Roman" w:eastAsia="Calibri"/>
                <w:bCs/>
                <w:color w:val="000000"/>
              </w:rPr>
              <w:t xml:space="preserve">Цена единицы с НДС /без НДС, руб.</w:t>
            </w:r>
            <w:r>
              <w:rPr>
                <w:rFonts w:ascii="Times New Roman" w:hAnsi="Times New Roman" w:eastAsia="Calibri"/>
                <w:bCs/>
                <w:color w:val="000000"/>
              </w:rPr>
            </w:r>
            <w:r>
              <w:rPr>
                <w:rFonts w:ascii="Times New Roman" w:hAnsi="Times New Roman" w:eastAsia="Calibri"/>
                <w:bCs/>
                <w:color w:val="000000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1358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  <w:bCs/>
                <w:color w:val="000000"/>
              </w:rPr>
            </w:pPr>
            <w:r>
              <w:rPr>
                <w:rFonts w:ascii="Times New Roman" w:hAnsi="Times New Roman" w:eastAsia="Calibri"/>
                <w:bCs/>
                <w:color w:val="000000"/>
              </w:rPr>
              <w:t xml:space="preserve">Сумма с НДС / без НДС, руб.</w:t>
            </w:r>
            <w:r>
              <w:rPr>
                <w:rFonts w:ascii="Times New Roman" w:hAnsi="Times New Roman" w:eastAsia="Calibri"/>
                <w:bCs/>
                <w:color w:val="000000"/>
              </w:rPr>
            </w:r>
            <w:r>
              <w:rPr>
                <w:rFonts w:ascii="Times New Roman" w:hAnsi="Times New Roman" w:eastAsia="Calibri"/>
                <w:bCs/>
                <w:color w:val="000000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1477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  <w:bCs/>
                <w:color w:val="000000"/>
              </w:rPr>
            </w:pPr>
            <w:r>
              <w:rPr>
                <w:rFonts w:ascii="Times New Roman" w:hAnsi="Times New Roman" w:eastAsia="Calibri"/>
                <w:bCs/>
                <w:color w:val="000000"/>
              </w:rPr>
              <w:t xml:space="preserve">НДС (__%),</w:t>
            </w:r>
            <w:r>
              <w:rPr>
                <w:rFonts w:ascii="Times New Roman" w:hAnsi="Times New Roman" w:eastAsia="Calibri"/>
                <w:bCs/>
                <w:color w:val="000000"/>
              </w:rPr>
            </w:r>
            <w:r>
              <w:rPr>
                <w:rFonts w:ascii="Times New Roman" w:hAnsi="Times New Roman" w:eastAsia="Calibri"/>
                <w:bCs/>
                <w:color w:val="000000"/>
              </w:rPr>
            </w:r>
          </w:p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  <w:bCs/>
                <w:color w:val="000000"/>
              </w:rPr>
            </w:pPr>
            <w:r>
              <w:rPr>
                <w:rFonts w:ascii="Times New Roman" w:hAnsi="Times New Roman" w:eastAsia="Calibri"/>
                <w:bCs/>
                <w:color w:val="000000"/>
              </w:rPr>
              <w:t xml:space="preserve">руб. </w:t>
            </w:r>
            <w:r>
              <w:rPr>
                <w:rFonts w:ascii="Times New Roman" w:hAnsi="Times New Roman" w:eastAsia="Calibri"/>
                <w:bCs/>
                <w:color w:val="000000"/>
              </w:rPr>
            </w:r>
            <w:r>
              <w:rPr>
                <w:rFonts w:ascii="Times New Roman" w:hAnsi="Times New Roman" w:eastAsia="Calibri"/>
                <w:bCs/>
                <w:color w:val="000000"/>
              </w:rPr>
            </w:r>
          </w:p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  <w:bCs/>
                <w:color w:val="000000"/>
              </w:rPr>
            </w:pPr>
            <w:r>
              <w:rPr>
                <w:rFonts w:ascii="Times New Roman" w:hAnsi="Times New Roman" w:eastAsia="Calibri"/>
                <w:bCs/>
                <w:color w:val="000000"/>
              </w:rPr>
              <w:t xml:space="preserve">(при наличии)</w:t>
            </w:r>
            <w:r>
              <w:rPr>
                <w:rFonts w:ascii="Times New Roman" w:hAnsi="Times New Roman" w:eastAsia="Calibri"/>
                <w:bCs/>
                <w:color w:val="000000"/>
              </w:rPr>
            </w:r>
            <w:r>
              <w:rPr>
                <w:rFonts w:ascii="Times New Roman" w:hAnsi="Times New Roman" w:eastAsia="Calibri"/>
                <w:bCs/>
                <w:color w:val="000000"/>
              </w:rPr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/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460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239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58.29.11.000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right w:val="single" w:color="000000" w:sz="4" w:space="0"/>
            </w:tcBorders>
            <w:tcMar>
              <w:left w:w="30" w:type="dxa"/>
              <w:top w:w="30" w:type="dxa"/>
              <w:right w:w="30" w:type="dxa"/>
              <w:bottom w:w="2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приобретение неисключительных прав на использование программного обеспечения (операционные системы)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(электронный экземпляр)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Mar>
              <w:left w:w="30" w:type="dxa"/>
              <w:top w:w="30" w:type="dxa"/>
              <w:right w:w="30" w:type="dxa"/>
              <w:bottom w:w="20" w:type="dxa"/>
            </w:tcMar>
            <w:tcW w:w="85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Шт.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87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87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t xml:space="preserve">( одна лицензия на два устройства (ЭВМ))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85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87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1409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1358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1477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/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460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239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right w:val="single" w:color="000000" w:sz="4" w:space="0"/>
            </w:tcBorders>
            <w:tcMar>
              <w:left w:w="30" w:type="dxa"/>
              <w:top w:w="30" w:type="dxa"/>
              <w:right w:w="30" w:type="dxa"/>
              <w:bottom w:w="2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Mar>
              <w:left w:w="30" w:type="dxa"/>
              <w:top w:w="30" w:type="dxa"/>
              <w:right w:w="30" w:type="dxa"/>
              <w:bottom w:w="20" w:type="dxa"/>
            </w:tcMar>
            <w:tcW w:w="85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85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1409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1358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Mar>
              <w:left w:w="57" w:type="dxa"/>
              <w:top w:w="57" w:type="dxa"/>
              <w:right w:w="57" w:type="dxa"/>
              <w:bottom w:w="57" w:type="dxa"/>
            </w:tcMar>
            <w:tcW w:w="1477" w:type="dxa"/>
            <w:vAlign w:val="center"/>
            <w:textDirection w:val="lrTb"/>
            <w:noWrap w:val="false"/>
          </w:tcPr>
          <w:p>
            <w:pPr>
              <w:pStyle w:val="870"/>
              <w:ind w:left="-17" w:right="-17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</w:tbl>
    <w:p>
      <w:pPr>
        <w:pStyle w:val="87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96"/>
        <w:gridCol w:w="51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vAlign w:val="top"/>
            <w:textDirection w:val="lrTb"/>
            <w:noWrap w:val="false"/>
          </w:tcPr>
          <w:p>
            <w:pPr>
              <w:pStyle w:val="8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Заказчик_____________________/Выскубов А.Ф./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vAlign w:val="top"/>
            <w:textDirection w:val="lrTb"/>
            <w:noWrap w:val="false"/>
          </w:tcPr>
          <w:p>
            <w:pPr>
              <w:pStyle w:val="8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Сублицензиат</w:t>
            </w:r>
            <w:r>
              <w:rPr>
                <w:rFonts w:ascii="Times New Roman" w:hAnsi="Times New Roman"/>
              </w:rPr>
              <w:t xml:space="preserve">______________   / _______________/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870"/>
        <w:jc w:val="both"/>
        <w:tabs>
          <w:tab w:val="left" w:pos="4095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883"/>
        <w:jc w:val="right"/>
        <w:tabs>
          <w:tab w:val="clear" w:pos="4677" w:leader="none"/>
          <w:tab w:val="clear" w:pos="9355" w:leader="none"/>
        </w:tabs>
        <w:rPr>
          <w:b/>
          <w:bCs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Приложение №2 к договору №</w:t>
      </w:r>
      <w:r>
        <w:rPr>
          <w:b w:val="0"/>
          <w:bCs w:val="0"/>
          <w:sz w:val="22"/>
          <w:szCs w:val="22"/>
          <w:lang w:val="ru-RU"/>
        </w:rPr>
        <w:t xml:space="preserve">      </w:t>
      </w:r>
      <w:r>
        <w:rPr>
          <w:b w:val="0"/>
          <w:bCs w:val="0"/>
          <w:sz w:val="22"/>
          <w:szCs w:val="22"/>
        </w:rPr>
        <w:t xml:space="preserve">от «</w:t>
      </w:r>
      <w:r>
        <w:rPr>
          <w:b w:val="0"/>
          <w:bCs w:val="0"/>
          <w:sz w:val="22"/>
          <w:szCs w:val="22"/>
          <w:lang w:val="ru-RU"/>
        </w:rPr>
        <w:t xml:space="preserve">___</w:t>
      </w:r>
      <w:r>
        <w:rPr>
          <w:b w:val="0"/>
          <w:bCs w:val="0"/>
          <w:sz w:val="22"/>
          <w:szCs w:val="22"/>
        </w:rPr>
        <w:t xml:space="preserve">»</w:t>
      </w:r>
      <w:r>
        <w:rPr>
          <w:b w:val="0"/>
          <w:bCs w:val="0"/>
          <w:sz w:val="22"/>
          <w:szCs w:val="22"/>
          <w:lang w:val="ru-RU"/>
        </w:rPr>
        <w:t xml:space="preserve"> </w:t>
      </w:r>
      <w:r>
        <w:rPr>
          <w:b w:val="0"/>
          <w:bCs w:val="0"/>
          <w:sz w:val="22"/>
          <w:szCs w:val="22"/>
          <w:lang w:val="ru-RU"/>
        </w:rPr>
        <w:t xml:space="preserve">____</w:t>
      </w:r>
      <w:r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202</w:t>
      </w:r>
      <w:r>
        <w:rPr>
          <w:b w:val="0"/>
          <w:bCs w:val="0"/>
          <w:sz w:val="22"/>
          <w:szCs w:val="22"/>
        </w:rPr>
        <w:t xml:space="preserve">6</w:t>
      </w:r>
      <w:r>
        <w:rPr>
          <w:b w:val="0"/>
          <w:bCs w:val="0"/>
          <w:sz w:val="22"/>
          <w:szCs w:val="22"/>
        </w:rPr>
        <w:t xml:space="preserve">г.</w:t>
      </w: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</w:p>
    <w:p>
      <w:pPr>
        <w:pStyle w:val="88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910"/>
        <w:ind w:left="0"/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ОПИСАНИЕ ОБЪЕКТА ЗАКУПКИ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</w:p>
    <w:p>
      <w:pPr>
        <w:pStyle w:val="910"/>
        <w:ind w:left="426"/>
        <w:jc w:val="center"/>
        <w:spacing w:after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 соответствии со статьей 33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instrText xml:space="preserve"> HYPERLINK "https://www.consultant.ru/document/cons_doc_LAW_144624/" </w:instrTex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pStyle w:val="910"/>
        <w:ind w:left="0"/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(техническое задание)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</w:p>
    <w:p>
      <w:pPr>
        <w:pStyle w:val="870"/>
        <w:ind w:left="426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на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риобретение неисключительных прав на использование программного обеспечения (операционные системы) в целях импортозамещения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pStyle w:val="870"/>
        <w:ind w:firstLine="284"/>
        <w:jc w:val="center"/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</w:r>
      <w:r>
        <w:rPr>
          <w:rFonts w:ascii="Times New Roman" w:hAnsi="Times New Roman" w:cs="Times New Roman"/>
          <w:b/>
          <w:spacing w:val="-1"/>
        </w:rPr>
      </w:r>
    </w:p>
    <w:p>
      <w:pPr>
        <w:pStyle w:val="87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Закупка у субъектов малого предпринимательства.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</w:p>
    <w:p>
      <w:pPr>
        <w:pStyle w:val="870"/>
        <w:rPr>
          <w:rFonts w:ascii="Times New Roman" w:hAnsi="Times New Roman" w:cs="Times New Roman"/>
          <w:bCs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</w:rPr>
      </w:r>
    </w:p>
    <w:tbl>
      <w:tblPr>
        <w:tblW w:w="101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1559"/>
        <w:gridCol w:w="1417"/>
        <w:gridCol w:w="2694"/>
        <w:gridCol w:w="2268"/>
        <w:gridCol w:w="850"/>
        <w:gridCol w:w="850"/>
      </w:tblGrid>
      <w:tr>
        <w:tblPrEx/>
        <w:trPr>
          <w:trHeight w:val="7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ОКПД 2/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87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Позиция КТРУ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Наименование характеристики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Значение характеристики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87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изм.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</w:tr>
      <w:tr>
        <w:tblPrEx/>
        <w:trPr>
          <w:trHeight w:val="91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34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ind w:left="57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Программное обеспечение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58.29.11.000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  <w:p>
            <w:pPr>
              <w:pStyle w:val="87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  <w:p>
            <w:pPr>
              <w:pStyle w:val="87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58.29.11.000-00000003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870"/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Класс программ для электронных вычислительных машин и баз данных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0"/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(02.09) Операционные системы общего назначения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Шт.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  <w:p>
            <w:pPr>
              <w:pStyle w:val="87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(одна лицензия на два устройства(ЭВМ))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>
          <w:trHeight w:val="27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vMerge w:val="continue"/>
            <w:textDirection w:val="lrTb"/>
            <w:noWrap w:val="false"/>
          </w:tcPr>
          <w:p>
            <w:pPr>
              <w:pStyle w:val="87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87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vMerge w:val="continue"/>
            <w:textDirection w:val="lrTb"/>
            <w:noWrap w:val="false"/>
          </w:tcPr>
          <w:p>
            <w:pPr>
              <w:pStyle w:val="87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870"/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Способ предоставления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0"/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Копия электронного экземпляра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8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</w:tr>
    </w:tbl>
    <w:p>
      <w:pPr>
        <w:pStyle w:val="87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</w:p>
    <w:p>
      <w:pPr>
        <w:pStyle w:val="870"/>
        <w:numPr>
          <w:ilvl w:val="0"/>
          <w:numId w:val="18"/>
        </w:numPr>
        <w:ind w:left="709"/>
        <w:jc w:val="both"/>
        <w:spacing w:after="120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Наименование: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приобретение неисключительных прав на использование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программного обеспечения (операционные системы)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целях импортозамещения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0"/>
        <w:numPr>
          <w:ilvl w:val="0"/>
          <w:numId w:val="18"/>
        </w:numPr>
        <w:jc w:val="both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Место передачи прав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Сублицензиар самостоятельно доставляет Товар Заказчику (Сублицензиату) по адресу: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г. Тверь, ул. Дарвина, д. 17.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Сублицензиар не менее чем за 1 (один) день до осуществления поставки Товара (передачи прав) направляет в адрес Сублицензиата уведомление о времени и дате доставки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 в место доставки (связь по телефону). Телефон для связи: 8 (4822) 34-22-11, д.127. Отгрузка Товара осуществляется с понедельника по четверг с 09.00 до 17.00, в пятницу с 09.00 до 16.00, исключая время обеда с 12.00 до 12.45 часов по местному времени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0"/>
        <w:numPr>
          <w:ilvl w:val="0"/>
          <w:numId w:val="18"/>
        </w:numPr>
        <w:ind w:left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Срок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передачи неисключительных прав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течение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0 рабочих дней с даты заключения контракта.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0"/>
        <w:numPr>
          <w:ilvl w:val="0"/>
          <w:numId w:val="18"/>
        </w:numPr>
        <w:ind w:left="709"/>
        <w:jc w:val="both"/>
        <w:widowControl w:val="off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Способ передачи прав: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</w:p>
    <w:p>
      <w:pPr>
        <w:pStyle w:val="87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Лицензия 1 шт. на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устройств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– Электронная лицензия (содержит идентификационный номер). Способ предоставления – Копия электронного экземпляра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и/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или электронная версия в личном кабинете на сайте.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0"/>
        <w:numPr>
          <w:ilvl w:val="0"/>
          <w:numId w:val="18"/>
        </w:numPr>
        <w:ind w:left="709"/>
        <w:jc w:val="both"/>
        <w:widowControl w:val="off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Требования (условия), связанные с определением соответствия оказываемой услуги потребностям Заказчика: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</w:p>
    <w:p>
      <w:pPr>
        <w:pStyle w:val="870"/>
        <w:ind w:left="349"/>
        <w:jc w:val="both"/>
        <w:widowControl w:val="off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</w:p>
    <w:tbl>
      <w:tblPr>
        <w:tblW w:w="105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2"/>
        <w:gridCol w:w="1934"/>
        <w:gridCol w:w="7280"/>
        <w:gridCol w:w="941"/>
      </w:tblGrid>
      <w:tr>
        <w:tblPrEx/>
        <w:trPr/>
        <w:tc>
          <w:tcPr>
            <w:tcW w:w="392" w:type="dxa"/>
            <w:vAlign w:val="top"/>
            <w:textDirection w:val="lrTb"/>
            <w:noWrap w:val="false"/>
          </w:tcPr>
          <w:p>
            <w:pPr>
              <w:pStyle w:val="8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8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7280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Технические характеристики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W w:w="941" w:type="dxa"/>
            <w:vAlign w:val="top"/>
            <w:textDirection w:val="lrTb"/>
            <w:noWrap w:val="false"/>
          </w:tcPr>
          <w:p>
            <w:pPr>
              <w:pStyle w:val="870"/>
              <w:ind w:right="-13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Кол-во, шт.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392" w:type="dxa"/>
            <w:vAlign w:val="top"/>
            <w:textDirection w:val="lrTb"/>
            <w:noWrap w:val="false"/>
          </w:tcPr>
          <w:p>
            <w:pPr>
              <w:pStyle w:val="8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8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Лице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нзия на операционную систему специального назначения «Astra Linux* Special Edition» для 64-х разрядной платформы на базе процессорной архитектуры х86-64, уровень защищенности «Усиленный» («Воронеж»), РУСБ.10015-01 (ФСТЭК), версии 1.8, для рабочей станции,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способ передачи электронный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на срок действия исключительного права,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Срок действия: Бессрочно,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с включенными обновлениями Тип 1 на 12 мес.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Количество установок -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 устройст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7280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Программное обеспечение должно быть включено в Единый реестр российских программ для электронных вычислительных машин и баз данных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согласно постановлению правительства РФ от 16 ноября 2015 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Oперационная система должна иметь сертификат соответствия требованиям нормативных документов ФСТЭК России: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«Требования безопасности информации к операционным системам» (ФСТЭК России, 2016);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«Профиль защиты операционных систем типа «А» не ниже 4 класса ИТ.ОС.А4.ПЗ (ФСТЭК России, 2017);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«Требования по безопасности информации к средствам контейнеризации» (ФСТЭК России, 2022) не ниже 4 класса защиты.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ерационная система должна включать в свой состав сертифицированные средства контейнеризации, обеспечивающие изоляцию контейнеров, контроль целостности контейнеров и их образов, регистрацию событий безопасности, идентификацию и аутентификацию пользователей.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Требования к встроенному комплексу средств защиты информации операционной системы</w:t>
            </w:r>
            <w:bookmarkEnd w:id="0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обеспечивать встроенными сертифицированными средствами: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управление средствами аутентификации;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управление учетными записями пользователей, разграничение полномочий и назначение прав пользователям;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реализацию разграничения доступа;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возможность создания среды выполнения контейнеров и обеспечение работы с ними.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составе операционной системы должна быть реализована возможность защиты аутентификационной информации с использованием функции хэширования.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составе операционной системы должны быть графические средства ввода в домен.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вызовов, обеспечивающих: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ограничение прав пользователя на запуск приложений ядром системы;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ограничение прав пользователя средствами графического интерфейса;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разрешение запуска только тех программных компонентов, которые явно разрешены администратором безопасности.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Обеспечение запрета запуска (исполнения) пользователем созданных самостоятельно (с использованием текстовых редакторов или непосредственно в командной строке) программ с использованием интерпретируемых языков программирования.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составе операционной системы должны быть графические средства настройки защиты машинных носителей, обеспечивающие: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идентификацию устройств и сопоставление пользователя с устройством;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контроль подключения носителей информации;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учет носителей информации;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управление доступом к носителям информации;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контроль использования интерфейсов ввода/вывода информации;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ввод-вывод информации на носитель при условии совпадения маркировки носителя и объёма прав пользователя.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включать в свой состав программное обеспечение, реализующее задачи аудита и журналирования (регистрации) событий безопасности.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включать в состав графические средства контроля целостности: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контроль целостности дистрибутива;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контроль объектов файловой системы;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контроль целостности исполняемых файлов, обеспечивающий проверку их неизменности и подлинности.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составе операционной системы должна быть реализована возможность ограничения полномочий пользователей по использованию консолей.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составе операционной системы должно присутствовать ядро с функциями очистки и ограничения работы с оперативной памятью.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Должно быть обеспечено наличие регулярного включения информации об уязвимостях программного обеспечения операционной системы в банк данных угроз безопасности информации ФС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ТЭК России, устраняющих неисправности прикладного программного обеспечения и уязвимости операционной системы с подтверждением информации об исправленных уязвимостях путём размещения таких сведений в банке данных угроз безопасности информации ФСТЭК России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  <w:instrText xml:space="preserve"> HYPERLINK "http://bdu.fstec.ru/vul" \h </w:instrTex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  <w:t xml:space="preserve">http://bdu.fstec.ru/vul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Механизмами безопасности операционной системы должна быть обеспечена защита системных и привилегирова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нных процессов от несанкционированного доступа и управления (исключение возможности повышения привилегий пользователей и управления привилегированными процессами в случае использования дефектов/уязвимостей в программном обеспечении информационной системы).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обеспечивать запрет операций за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писи в системные каталоги и файлы (программы, файлы конфигурации), а также установки программного обеспечения, запуска и останова системных процессов операционной системы, вне зависимости от изменения пользователем своих привилегий в текущем сеансе работы.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обеспечивать возможность контроля целостности исполняемых файлов и файлов библиотек: EXE, DLL,NET 7.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Требования к функциональным возможностям операционной системы</w:t>
            </w:r>
            <w:bookmarkEnd w:id="0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быть предназначена для функционирования на средствах вычислительной техники с аппаратной платформой х86-64 включая процессоры Intel не ниже 10-го поколения.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иметь отдельный дистрибутив для процессорных архитектур: Байкал-М, Эльбрус (8С, 8СВ).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поддерживать работу на ядре Linux версии не ниже 6.1.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обеспечивать функционал в графическом исполнении: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создания, настройки и управления несколькими служебными репозиториями используемого программного обеспечения, с поддержкой проверки зависимостей пакетной базы и автоматической публикацией в сети по протоколам http и ftp;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графической утилиты управления драйверами nvidia, intel, radeon с возможностью выбора драйверов и возможностью восстановления драйверов при неудачной загрузке ОС;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настройки выделяемых ресурсов памяти пользователям (квоты);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графического инструмента для редактирования значения переменных окружения (изменять значение и описание переменных, удалять и объявлять переменные);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графических средств настройки и изменения ориентации экрана в ручном или автоматическом режиме, с возможностью калибровки поворота, а также задания ориентации по умолчанию;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менеджера графического входа по управлению графическими пользовательскими сессиями, предоставляющего следующие возможности: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 подключение к сессии из менеджера графического входа по протоколу RDP;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 возможность сохранения непрерывной сессии при переключениях между локальным и удаленным доступом;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 блокировка подключения к неактуальной сессии при переключениях между локальным и удаленным доступом.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графического инструмента управления регистрацией событий, включающий в себя управление сервисом системных событий, настройку ротации событий и настройку параметров сбора системных событий. Графическое средство просмотра системных событий;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настройки сохранения и восстановления сессии пользователя (восстановление при старте запущенных программ и их расположения после полного отключения электропитания АРМ);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настройки потребления электроэнергии (яркость экрана, потухание, выключение монитора, переход в ждущий режим, сон и гибернацию) в случае изменения настроек электропитания (питание от сети, питание от батареи, низкий заряд батареи);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монтирования usb устройств по сети (usbip или аналог) для подключения к нескольким ПК;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настройки одновременной работы нескольких сотрудников на одном ПК с разделяемыми профилями;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создания системных отчётов, 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редназначенных для сбора, сжатия, сохранения и отправки в службу сопровождения диагностических данных о работе системы;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запуска работы с удалёнными, отдельными и вложенными графическими сессиями;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настройки планирования времени завершения работы без участия пользователя (завершение сессии, выключение АРМ, перехода в энергосберегающие режимы) с настройкой уведомления о событии;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графического инструмента для настройки частот процессора;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запуска приложений с изменением приоритета выполнения с возможностью запуска от имени другого пользователя;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астройки параметров загрузчика операционной системы (загружаемая операционная система по умолчанию, передаваемые параметры ядра, таймаут для ожидания действий пользователя, выбора источника ввода данных при загрузке, выбор терминала для вывода информации);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расчёта контрольных сумм файлов и их сравнения;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инструментов поиска файлов по шаблону, по содержимому, по времени создания или изменения, а также размеру файла;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работы с архивами (zip, rar, 7zip, tar, tgz, tar.gz,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tar.bz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tar.xz, iso);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для оповещения пользователя о конфликте IP-адресов при подключении к сети;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графических средств настройки системы, в том числе: установки и синхронизация времени; управления пользователями; просмотра системных журналов; настройки и обслуживания принтеров.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поддерживать следующий функционал: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графический интерфейс, адаптированный под использование на портативных устройствах;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возможность подключения к сети wi-fi до входа в систему, а также аутентификация в сети Wi-Fi с использованием смарт-карты;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в репозитории операционной системы браузера из единого реестра российских программ для электронных вычислительных машин и баз данных;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поддержка управления настройками системы, приложениями и сервисами (включая контекстные меню) с помощью touchscreen (сенсорный экран) с возможностью автоматического отключения при подключении мышки;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возможность ввода аутентификационых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управления энергопотреблением портативного устройства в зависимости от состояния батареи/источника питания;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возможность создания учётной записи администратора и одного или нескольких пользователей во время установки.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обеспечивать поддержку файловых систем и сетевых протоколов: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ext2/3/4, fat, ntfs, iso9660, XFS, ZFS, BTRFS;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TCP/IP, DHCP, DNS, FTP, TFTP, SMTP, IMAP, HTTP(S), NTP, SSH, NFS, SMB;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поддержка стандарта ISO9660;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обеспечивать возможность создания точек восстановления (снапшотов) для последующего возвращения системы к исходному состоянию в случае сбоя.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Операционная система должна обеспечивать среду функционирован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ия для сертифицированных средств криптографической защиты информации, предназначенных для создания и проверки электронной подписи, сквозного шифрования сетевых соединений и каналов связи, установления защищенного соединения и обмена зашифрованными данными.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Дополнительные функциональные компоненты: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клиентское ПО, для осуществления подключения по протоколу RDP;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агенты служб централизованного управления системой;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приложение для сканирования документов с возможностью пропуска пустых страниц;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средство для работы с архивами;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средство просмотра и редактирования файлов .pdf;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средство для эмуляции запуска исполняемых файлов .exe;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средства просмотра и редактирования графики и изображений;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средство оптического распознавания символов.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Требования к совместимости операционной системы</w:t>
            </w:r>
            <w:bookmarkEnd w:id="0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Совместимость операционной системы со средствами криптографической защиты информации КриптоПро CSP версии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 ниже 5.0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должна быть подтверждена наличием записи об операционной системе как среды функционирования в формуляре (правилах пользования) средств криптографической защиты информации.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ОС должна иметь подтверждённую совместимость со средствами антивирусной защиты.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Требования к предоставляемым обновлениям Тип 1 для ОС (далее Продукта) сроком на 12 мес.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Порядок выпуска и предоставления обновлений или технической поддержки Продукта регламентируется в соответствии с действующей Политикой (Положением), размещённой на сайте Вендора и в личном кабинете Пользователя.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Информационно-справочная поддержка функционирования Продукта осуществляется в соот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ветствии с правилами формирования и ведения единого реестра российских программ для электронных вычислительных машин и баз данных, утв. Постановлением Правительства РФ от 16.11.2015 №1236, а также требованиями регуляторов в области безопасности информации.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Информационно-справочная поддержка функционирования Продукта обеспечивается посредством использования телефонной связи, программных средств обмена сообщениями с Пользователями.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Прием обращений (далее - Запрос) осуществляется Вендором круглосуточно через Личный кабинет. Прием обращений по телефону осуществляется по рабочим дням с 09:00 до 18:00 по МСК.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Обновление или техническая поддержка включает: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Доступ к обновлениям безопасности Продукта;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Информационно-справочная поддержка в миграции на очередное обновление Продукта;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Исправление ошибок, несоответствий, инцидентов, дефектов за счет выпуска новых обновлений Продукта;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Информационно-справочная поддержка по установке и обновлению Продукта;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Информационно-справочная поддержка по настройке Продукта после обновления;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Моделирование сценариев на тестовом стенде Вендора (при наличии технической возможности);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Прогноз совместимости оборудования по спецификации с актуальным и будущим обновлением Продукта;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numPr>
                <w:ilvl w:val="0"/>
                <w:numId w:val="19"/>
              </w:numPr>
              <w:ind w:left="398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Решение вопросов, связанных с совместимостью оборудования путем внесения улучшений в рамках обновления Продукта (при наличии технической возможности).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11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Подробный порядок обработки обращений, связанных с обновлениями или технической поддержки Продукта, размещается в Личном кабинете.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41" w:type="dxa"/>
            <w:vAlign w:val="top"/>
            <w:textDirection w:val="lrTb"/>
            <w:noWrap w:val="false"/>
          </w:tcPr>
          <w:p>
            <w:pPr>
              <w:pStyle w:val="8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1( на два устройства (ЭВМ))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70"/>
        <w:ind w:left="426"/>
        <w:jc w:val="both"/>
        <w:widowControl w:val="off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*Указание на товарный знак (его словесное обозначение) обусловлено необходимостью расширения функционирующего кластера операционных систем Astra Linux, сохранения ра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ботоспособности инфраструктуры Заказчика, единого обновления, централизованного управления совместно с существующей инфраструктурой Заказчика, на которых используются лицензии операционных систем специального назначения «Astra Linux Special Edition» (номер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лицензи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й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246900101-26-alse-1.8-client-medium-FSTEK-x86_64-0-4310,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246900101-25-alse-1.8-client-medium-FSTEK-x86_64-0-2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7247,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246900101-25-alse-1.8-client-medium-FSTEK-x86_64-0-2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7775,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246900101-25-alse-1.8-client-medium-FSTEK-x86_64-0-10582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246900101-25-alse-1.8-client-medium-FSTEK-x86_64-0-17759,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246900101-alse-1.7-client-max-FSTEK-x86_64-0-4731), а также с целью обеспечения полной совместимости с инфраструктурой служебных репозиториев, используемых в инфраструктуре Заказчика).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Также в соответствии с методическими рекомендациями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по выполнению требований законодательства Российской Федерации в сфере информационной безоп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асности при подключении автоматизированных рабочих мест органов и организаций к федеральной государственной информационной системе «Единый портал государственных и муниципальных услуг (функций)» в части функциональности единого окна цифровой обратной связи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предполагается подключение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к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в том числе к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автоматизированным рабочим местам органов и организаций на базе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операционной системы Astra Linux Special Edition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В соответст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вии с пунктом 1 части 1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установка эквивалентного программного обеспечения не допускается.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</w:rPr>
      </w:r>
    </w:p>
    <w:p>
      <w:pPr>
        <w:pStyle w:val="870"/>
        <w:numPr>
          <w:ilvl w:val="0"/>
          <w:numId w:val="18"/>
        </w:numPr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Гарантийные обязательства: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</w:p>
    <w:p>
      <w:pPr>
        <w:pStyle w:val="87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Гарантийный срок на предоставленную лицензию на право использования программного обеспечения составляет не менее 12 (Двенадцати) месяцев.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87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Датой начала гарантийного срока является дата подписания Заказчиком документа о приемке.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87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Срок предоставления обновлений производителем программного обеспечения не менее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месяцев с даты подписания Заказчиком в единой информационной системе в сфере закупок документа о приемке.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870"/>
        <w:numPr>
          <w:ilvl w:val="0"/>
          <w:numId w:val="18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Дополнительные требования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ч. 3 ст. 14 Федеральн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– Закон о контрактной системе) и Постановлением Правительства Российской Федерации от 23 декабр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Постановление)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установлен запрет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емых, оказываемых иностранными гражданами, иностранными юридическими лицами (далее - иностранные лица), по перечню согласно приложению N 1 постановления, в том числе программы для электронных вычислительных машины и (или) базы данных (п.146 приложения №1).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87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Постановлением Правительства Российской Федерации от 23 марта 2017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N 325 "Об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программного обеспечения, и внесении изменений в Правила формирования и ведения единого 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еестра российских программ для электронных вычислительных машин и баз данных" установлены дополнительные требования к программам для электронных вычислительных машин и базам данных, сведения о которых включены в реестр российского программного обеспечения.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870"/>
        <w:ind w:left="709"/>
        <w:jc w:val="both"/>
        <w:rPr>
          <w:rFonts w:ascii="Times New Roman" w:hAnsi="Times New Roman" w:eastAsia="Arial"/>
          <w:sz w:val="24"/>
          <w:szCs w:val="24"/>
        </w:rPr>
      </w:pPr>
      <w:r>
        <w:rPr>
          <w:rFonts w:ascii="Times New Roman" w:hAnsi="Times New Roman" w:eastAsia="Arial"/>
          <w:sz w:val="24"/>
          <w:szCs w:val="24"/>
        </w:rPr>
      </w:r>
      <w:r>
        <w:rPr>
          <w:rFonts w:ascii="Times New Roman" w:hAnsi="Times New Roman" w:eastAsia="Arial"/>
          <w:sz w:val="24"/>
          <w:szCs w:val="24"/>
        </w:rPr>
      </w:r>
    </w:p>
    <w:sectPr>
      <w:footnotePr/>
      <w:endnotePr/>
      <w:type w:val="nextPage"/>
      <w:pgSz w:w="11906" w:h="16838" w:orient="portrait"/>
      <w:pgMar w:top="-426" w:right="851" w:bottom="426" w:left="900" w:header="135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Segoe UI">
    <w:panose1 w:val="020B0502040204020203"/>
  </w:font>
  <w:font w:name="Noto Sans Devanagari">
    <w:panose1 w:val="020B0502040504020204"/>
  </w:font>
  <w:font w:name="Cambria">
    <w:panose1 w:val="02040803050406030204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ヒラギノ角ゴ Pro W3">
    <w:panose1 w:val="020B060602020203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1429" w:hanging="360"/>
        <w:tabs>
          <w:tab w:val="num" w:pos="0" w:leader="none"/>
        </w:tabs>
      </w:pPr>
      <w:rPr>
        <w:rFonts w:ascii="Symbol" w:hAnsi="Symbol" w:cs="Symbol"/>
      </w:rPr>
    </w:lvl>
    <w:lvl w:ilvl="1">
      <w:start w:val="0"/>
      <w:numFmt w:val="bullet"/>
      <w:isLgl w:val="false"/>
      <w:suff w:val="tab"/>
      <w:lvlText w:val="◦"/>
      <w:lvlJc w:val="left"/>
      <w:pPr>
        <w:ind w:left="1789" w:hanging="360"/>
        <w:tabs>
          <w:tab w:val="num" w:pos="0" w:leader="none"/>
        </w:tabs>
      </w:pPr>
      <w:rPr>
        <w:rFonts w:ascii="OpenSymbol" w:hAnsi="OpenSymbol" w:cs="OpenSymbol"/>
      </w:rPr>
    </w:lvl>
    <w:lvl w:ilvl="2">
      <w:start w:val="0"/>
      <w:numFmt w:val="bullet"/>
      <w:isLgl w:val="false"/>
      <w:suff w:val="tab"/>
      <w:lvlText w:val="▪"/>
      <w:lvlJc w:val="left"/>
      <w:pPr>
        <w:ind w:left="2149" w:hanging="360"/>
        <w:tabs>
          <w:tab w:val="num" w:pos="0" w:leader="none"/>
        </w:tabs>
      </w:pPr>
      <w:rPr>
        <w:rFonts w:ascii="OpenSymbol" w:hAnsi="OpenSymbol" w:cs="OpenSymbol"/>
      </w:rPr>
    </w:lvl>
    <w:lvl w:ilvl="3">
      <w:start w:val="0"/>
      <w:numFmt w:val="bullet"/>
      <w:isLgl w:val="false"/>
      <w:suff w:val="tab"/>
      <w:lvlText w:val=""/>
      <w:lvlJc w:val="left"/>
      <w:pPr>
        <w:ind w:left="2509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0"/>
      <w:numFmt w:val="bullet"/>
      <w:isLgl w:val="false"/>
      <w:suff w:val="tab"/>
      <w:lvlText w:val="◦"/>
      <w:lvlJc w:val="left"/>
      <w:pPr>
        <w:ind w:left="2869" w:hanging="360"/>
        <w:tabs>
          <w:tab w:val="num" w:pos="0" w:leader="none"/>
        </w:tabs>
      </w:pPr>
      <w:rPr>
        <w:rFonts w:ascii="OpenSymbol" w:hAnsi="OpenSymbol" w:cs="OpenSymbol"/>
      </w:rPr>
    </w:lvl>
    <w:lvl w:ilvl="5">
      <w:start w:val="0"/>
      <w:numFmt w:val="bullet"/>
      <w:isLgl w:val="false"/>
      <w:suff w:val="tab"/>
      <w:lvlText w:val="▪"/>
      <w:lvlJc w:val="left"/>
      <w:pPr>
        <w:ind w:left="3229" w:hanging="360"/>
        <w:tabs>
          <w:tab w:val="num" w:pos="0" w:leader="none"/>
        </w:tabs>
      </w:pPr>
      <w:rPr>
        <w:rFonts w:ascii="OpenSymbol" w:hAnsi="OpenSymbol" w:cs="OpenSymbol"/>
      </w:rPr>
    </w:lvl>
    <w:lvl w:ilvl="6">
      <w:start w:val="0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0"/>
      <w:numFmt w:val="bullet"/>
      <w:isLgl w:val="false"/>
      <w:suff w:val="tab"/>
      <w:lvlText w:val="◦"/>
      <w:lvlJc w:val="left"/>
      <w:pPr>
        <w:ind w:left="3949" w:hanging="360"/>
        <w:tabs>
          <w:tab w:val="num" w:pos="0" w:leader="none"/>
        </w:tabs>
      </w:pPr>
      <w:rPr>
        <w:rFonts w:ascii="OpenSymbol" w:hAnsi="OpenSymbol" w:cs="OpenSymbol"/>
      </w:rPr>
    </w:lvl>
    <w:lvl w:ilvl="8">
      <w:start w:val="0"/>
      <w:numFmt w:val="bullet"/>
      <w:isLgl w:val="false"/>
      <w:suff w:val="tab"/>
      <w:lvlText w:val="▪"/>
      <w:lvlJc w:val="left"/>
      <w:pPr>
        <w:ind w:left="4309" w:hanging="360"/>
        <w:tabs>
          <w:tab w:val="num" w:pos="0" w:leader="none"/>
        </w:tabs>
      </w:pPr>
      <w:rPr>
        <w:rFonts w:ascii="OpenSymbol" w:hAnsi="OpenSymbol" w:cs="OpenSymbol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380" w:hanging="480"/>
        <w:tabs>
          <w:tab w:val="num" w:pos="1380" w:leader="none"/>
        </w:tabs>
      </w:pPr>
      <w:rPr>
        <w:rFonts w:ascii="Times New Roman" w:hAnsi="Times New Roman" w:cs="Times New Roman"/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2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0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2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4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6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8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0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2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4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6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  <w:tabs>
          <w:tab w:val="num" w:pos="1699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  <w:tabs>
          <w:tab w:val="num" w:pos="1429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  <w:tabs>
          <w:tab w:val="num" w:pos="1429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  <w:tabs>
          <w:tab w:val="num" w:pos="1789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  <w:tabs>
          <w:tab w:val="num" w:pos="1789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  <w:tabs>
          <w:tab w:val="num" w:pos="2149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  <w:tabs>
          <w:tab w:val="num" w:pos="2149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  <w:tabs>
          <w:tab w:val="num" w:pos="2509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  <w:tabs>
          <w:tab w:val="num" w:pos="2509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5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3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5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9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1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55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4.3.%3."/>
      <w:lvlJc w:val="left"/>
      <w:pPr>
        <w:ind w:left="1288" w:hanging="720"/>
        <w:tabs>
          <w:tab w:val="num" w:pos="1288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1429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)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pStyle w:val="895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2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1429" w:hanging="360"/>
        <w:tabs>
          <w:tab w:val="num" w:pos="0" w:leader="none"/>
        </w:tabs>
      </w:pPr>
      <w:rPr>
        <w:rFonts w:ascii="Symbol" w:hAnsi="Symbol" w:cs="Symbol"/>
      </w:rPr>
    </w:lvl>
    <w:lvl w:ilvl="1">
      <w:start w:val="0"/>
      <w:numFmt w:val="bullet"/>
      <w:isLgl w:val="false"/>
      <w:suff w:val="tab"/>
      <w:lvlText w:val="◦"/>
      <w:lvlJc w:val="left"/>
      <w:pPr>
        <w:ind w:left="1789" w:hanging="360"/>
        <w:tabs>
          <w:tab w:val="num" w:pos="0" w:leader="none"/>
        </w:tabs>
      </w:pPr>
      <w:rPr>
        <w:rFonts w:ascii="OpenSymbol" w:hAnsi="OpenSymbol" w:cs="OpenSymbol"/>
      </w:rPr>
    </w:lvl>
    <w:lvl w:ilvl="2">
      <w:start w:val="0"/>
      <w:numFmt w:val="bullet"/>
      <w:isLgl w:val="false"/>
      <w:suff w:val="tab"/>
      <w:lvlText w:val="▪"/>
      <w:lvlJc w:val="left"/>
      <w:pPr>
        <w:ind w:left="2149" w:hanging="360"/>
        <w:tabs>
          <w:tab w:val="num" w:pos="0" w:leader="none"/>
        </w:tabs>
      </w:pPr>
      <w:rPr>
        <w:rFonts w:ascii="OpenSymbol" w:hAnsi="OpenSymbol" w:cs="OpenSymbol"/>
      </w:rPr>
    </w:lvl>
    <w:lvl w:ilvl="3">
      <w:start w:val="0"/>
      <w:numFmt w:val="bullet"/>
      <w:isLgl w:val="false"/>
      <w:suff w:val="tab"/>
      <w:lvlText w:val=""/>
      <w:lvlJc w:val="left"/>
      <w:pPr>
        <w:ind w:left="2509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0"/>
      <w:numFmt w:val="bullet"/>
      <w:isLgl w:val="false"/>
      <w:suff w:val="tab"/>
      <w:lvlText w:val="◦"/>
      <w:lvlJc w:val="left"/>
      <w:pPr>
        <w:ind w:left="2869" w:hanging="360"/>
        <w:tabs>
          <w:tab w:val="num" w:pos="0" w:leader="none"/>
        </w:tabs>
      </w:pPr>
      <w:rPr>
        <w:rFonts w:ascii="OpenSymbol" w:hAnsi="OpenSymbol" w:cs="OpenSymbol"/>
      </w:rPr>
    </w:lvl>
    <w:lvl w:ilvl="5">
      <w:start w:val="0"/>
      <w:numFmt w:val="bullet"/>
      <w:isLgl w:val="false"/>
      <w:suff w:val="tab"/>
      <w:lvlText w:val="▪"/>
      <w:lvlJc w:val="left"/>
      <w:pPr>
        <w:ind w:left="3229" w:hanging="360"/>
        <w:tabs>
          <w:tab w:val="num" w:pos="0" w:leader="none"/>
        </w:tabs>
      </w:pPr>
      <w:rPr>
        <w:rFonts w:ascii="OpenSymbol" w:hAnsi="OpenSymbol" w:cs="OpenSymbol"/>
      </w:rPr>
    </w:lvl>
    <w:lvl w:ilvl="6">
      <w:start w:val="0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0"/>
      <w:numFmt w:val="bullet"/>
      <w:isLgl w:val="false"/>
      <w:suff w:val="tab"/>
      <w:lvlText w:val="◦"/>
      <w:lvlJc w:val="left"/>
      <w:pPr>
        <w:ind w:left="3949" w:hanging="360"/>
        <w:tabs>
          <w:tab w:val="num" w:pos="0" w:leader="none"/>
        </w:tabs>
      </w:pPr>
      <w:rPr>
        <w:rFonts w:ascii="OpenSymbol" w:hAnsi="OpenSymbol" w:cs="OpenSymbol"/>
      </w:rPr>
    </w:lvl>
    <w:lvl w:ilvl="8">
      <w:start w:val="0"/>
      <w:numFmt w:val="bullet"/>
      <w:isLgl w:val="false"/>
      <w:suff w:val="tab"/>
      <w:lvlText w:val="▪"/>
      <w:lvlJc w:val="left"/>
      <w:pPr>
        <w:ind w:left="4309" w:hanging="360"/>
        <w:tabs>
          <w:tab w:val="num" w:pos="0" w:leader="none"/>
        </w:tabs>
      </w:pPr>
      <w:rPr>
        <w:rFonts w:ascii="OpenSymbol" w:hAnsi="OpenSymbol" w:cs="OpenSymbol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0"/>
  </w:num>
  <w:num w:numId="5">
    <w:abstractNumId w:val="13"/>
  </w:num>
  <w:num w:numId="6">
    <w:abstractNumId w:val="1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16"/>
  </w:num>
  <w:num w:numId="12">
    <w:abstractNumId w:val="11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70"/>
    <w:next w:val="870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70"/>
    <w:next w:val="870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70"/>
    <w:next w:val="870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70"/>
    <w:next w:val="870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70"/>
    <w:next w:val="870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70"/>
    <w:next w:val="870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70"/>
    <w:next w:val="870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70"/>
    <w:next w:val="870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70"/>
    <w:next w:val="870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870"/>
    <w:uiPriority w:val="34"/>
    <w:qFormat/>
    <w:pPr>
      <w:contextualSpacing/>
      <w:ind w:left="720"/>
    </w:pPr>
  </w:style>
  <w:style w:type="paragraph" w:styleId="711">
    <w:name w:val="No Spacing"/>
    <w:uiPriority w:val="1"/>
    <w:qFormat/>
    <w:pPr>
      <w:spacing w:before="0" w:after="0" w:line="240" w:lineRule="auto"/>
    </w:pPr>
  </w:style>
  <w:style w:type="paragraph" w:styleId="712">
    <w:name w:val="Title"/>
    <w:basedOn w:val="870"/>
    <w:next w:val="870"/>
    <w:link w:val="7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3">
    <w:name w:val="Title Char"/>
    <w:link w:val="712"/>
    <w:uiPriority w:val="10"/>
    <w:rPr>
      <w:sz w:val="48"/>
      <w:szCs w:val="48"/>
    </w:rPr>
  </w:style>
  <w:style w:type="paragraph" w:styleId="714">
    <w:name w:val="Subtitle"/>
    <w:basedOn w:val="870"/>
    <w:next w:val="870"/>
    <w:link w:val="715"/>
    <w:uiPriority w:val="11"/>
    <w:qFormat/>
    <w:pPr>
      <w:spacing w:before="200" w:after="200"/>
    </w:pPr>
    <w:rPr>
      <w:sz w:val="24"/>
      <w:szCs w:val="24"/>
    </w:rPr>
  </w:style>
  <w:style w:type="character" w:styleId="715">
    <w:name w:val="Subtitle Char"/>
    <w:link w:val="714"/>
    <w:uiPriority w:val="11"/>
    <w:rPr>
      <w:sz w:val="24"/>
      <w:szCs w:val="24"/>
    </w:rPr>
  </w:style>
  <w:style w:type="paragraph" w:styleId="716">
    <w:name w:val="Quote"/>
    <w:basedOn w:val="870"/>
    <w:next w:val="870"/>
    <w:link w:val="717"/>
    <w:uiPriority w:val="29"/>
    <w:qFormat/>
    <w:pPr>
      <w:ind w:left="720" w:right="720"/>
    </w:pPr>
    <w:rPr>
      <w:i/>
    </w:r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70"/>
    <w:next w:val="870"/>
    <w:link w:val="7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>
    <w:name w:val="Intense Quote Char"/>
    <w:link w:val="718"/>
    <w:uiPriority w:val="30"/>
    <w:rPr>
      <w:i/>
    </w:rPr>
  </w:style>
  <w:style w:type="paragraph" w:styleId="720">
    <w:name w:val="Header"/>
    <w:basedOn w:val="870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Header Char"/>
    <w:link w:val="720"/>
    <w:uiPriority w:val="99"/>
  </w:style>
  <w:style w:type="paragraph" w:styleId="722">
    <w:name w:val="Footer"/>
    <w:basedOn w:val="87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Footer Char"/>
    <w:link w:val="722"/>
    <w:uiPriority w:val="99"/>
  </w:style>
  <w:style w:type="paragraph" w:styleId="724">
    <w:name w:val="Caption"/>
    <w:basedOn w:val="870"/>
    <w:next w:val="870"/>
    <w:link w:val="7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link w:val="724"/>
    <w:uiPriority w:val="35"/>
    <w:rPr>
      <w:b/>
      <w:bCs/>
      <w:color w:val="4f81bd" w:themeColor="accent1"/>
      <w:sz w:val="18"/>
      <w:szCs w:val="18"/>
    </w:rPr>
  </w:style>
  <w:style w:type="table" w:styleId="72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next w:val="870"/>
    <w:link w:val="870"/>
    <w:qFormat/>
    <w:rPr>
      <w:rFonts w:ascii="Verdana" w:hAnsi="Verdana" w:eastAsia="Times New Roman"/>
      <w:sz w:val="22"/>
      <w:szCs w:val="22"/>
      <w:lang w:val="ru-RU" w:eastAsia="ru-RU" w:bidi="ar-SA"/>
    </w:rPr>
  </w:style>
  <w:style w:type="paragraph" w:styleId="871">
    <w:name w:val="Заголовок 1"/>
    <w:basedOn w:val="870"/>
    <w:next w:val="870"/>
    <w:link w:val="878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872">
    <w:name w:val="Заголовок 2"/>
    <w:basedOn w:val="870"/>
    <w:next w:val="870"/>
    <w:link w:val="879"/>
    <w:qFormat/>
    <w:pPr>
      <w:keepLines/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873">
    <w:name w:val="Заголовок 3"/>
    <w:basedOn w:val="870"/>
    <w:next w:val="870"/>
    <w:link w:val="890"/>
    <w:uiPriority w:val="9"/>
    <w:semiHidden/>
    <w:unhideWhenUsed/>
    <w:qFormat/>
    <w:pPr>
      <w:keepLines/>
      <w:keepNext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en-US"/>
    </w:rPr>
  </w:style>
  <w:style w:type="paragraph" w:styleId="874">
    <w:name w:val="Заголовок 4"/>
    <w:basedOn w:val="870"/>
    <w:next w:val="870"/>
    <w:link w:val="900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styleId="875">
    <w:name w:val="Основной шрифт абзаца"/>
    <w:next w:val="875"/>
    <w:link w:val="870"/>
    <w:uiPriority w:val="1"/>
    <w:unhideWhenUsed/>
  </w:style>
  <w:style w:type="table" w:styleId="876">
    <w:name w:val="Обычная таблица"/>
    <w:next w:val="876"/>
    <w:link w:val="870"/>
    <w:uiPriority w:val="99"/>
    <w:semiHidden/>
    <w:unhideWhenUsed/>
    <w:qFormat/>
    <w:tblPr/>
  </w:style>
  <w:style w:type="numbering" w:styleId="877">
    <w:name w:val="Нет списка"/>
    <w:next w:val="877"/>
    <w:link w:val="870"/>
    <w:uiPriority w:val="99"/>
    <w:semiHidden/>
    <w:unhideWhenUsed/>
  </w:style>
  <w:style w:type="character" w:styleId="878">
    <w:name w:val="Заголовок 1 Знак"/>
    <w:next w:val="878"/>
    <w:link w:val="871"/>
    <w:rPr>
      <w:rFonts w:ascii="Cambria" w:hAnsi="Cambria" w:eastAsia="Times New Roman" w:cs="Times New Roman"/>
      <w:b/>
      <w:bCs/>
      <w:sz w:val="32"/>
      <w:szCs w:val="32"/>
      <w:lang w:eastAsia="ru-RU"/>
    </w:rPr>
  </w:style>
  <w:style w:type="character" w:styleId="879">
    <w:name w:val="Заголовок 2 Знак"/>
    <w:next w:val="879"/>
    <w:link w:val="872"/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paragraph" w:styleId="880">
    <w:name w:val="Основной текст с отступом"/>
    <w:basedOn w:val="870"/>
    <w:next w:val="880"/>
    <w:link w:val="881"/>
    <w:uiPriority w:val="99"/>
    <w:unhideWhenUsed/>
    <w:pPr>
      <w:ind w:left="283"/>
      <w:spacing w:after="120"/>
    </w:pPr>
    <w:rPr>
      <w:sz w:val="20"/>
      <w:szCs w:val="20"/>
      <w:lang w:val="en-US"/>
    </w:rPr>
  </w:style>
  <w:style w:type="character" w:styleId="881">
    <w:name w:val="Основной текст с отступом Знак"/>
    <w:next w:val="881"/>
    <w:link w:val="880"/>
    <w:uiPriority w:val="99"/>
    <w:rPr>
      <w:rFonts w:ascii="Verdana" w:hAnsi="Verdana" w:eastAsia="Times New Roman" w:cs="Times New Roman"/>
      <w:lang w:eastAsia="ru-RU"/>
    </w:rPr>
  </w:style>
  <w:style w:type="paragraph" w:styleId="882">
    <w:name w:val="Абзац списка"/>
    <w:basedOn w:val="870"/>
    <w:next w:val="882"/>
    <w:link w:val="870"/>
    <w:qFormat/>
    <w:pPr>
      <w:contextualSpacing/>
      <w:ind w:left="720"/>
    </w:pPr>
    <w:rPr>
      <w:rFonts w:ascii="Times New Roman" w:hAnsi="Times New Roman"/>
      <w:sz w:val="24"/>
      <w:szCs w:val="24"/>
    </w:rPr>
  </w:style>
  <w:style w:type="paragraph" w:styleId="883">
    <w:name w:val="Верхний колонтитул"/>
    <w:basedOn w:val="870"/>
    <w:next w:val="883"/>
    <w:link w:val="884"/>
    <w:pPr>
      <w:tabs>
        <w:tab w:val="center" w:pos="4677" w:leader="none"/>
        <w:tab w:val="right" w:pos="9355" w:leader="none"/>
      </w:tabs>
    </w:pPr>
    <w:rPr>
      <w:rFonts w:ascii="Times New Roman" w:hAnsi="Times New Roman"/>
      <w:sz w:val="24"/>
      <w:szCs w:val="24"/>
      <w:lang w:val="en-US"/>
    </w:rPr>
  </w:style>
  <w:style w:type="character" w:styleId="884">
    <w:name w:val="Верхний колонтитул Знак"/>
    <w:next w:val="884"/>
    <w:link w:val="88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5">
    <w:name w:val="Название"/>
    <w:basedOn w:val="870"/>
    <w:next w:val="885"/>
    <w:link w:val="886"/>
    <w:qFormat/>
    <w:pPr>
      <w:jc w:val="center"/>
    </w:pPr>
    <w:rPr>
      <w:rFonts w:ascii="Times New Roman" w:hAnsi="Times New Roman"/>
      <w:b/>
      <w:sz w:val="28"/>
      <w:szCs w:val="20"/>
      <w:lang w:val="en-US"/>
    </w:rPr>
  </w:style>
  <w:style w:type="character" w:styleId="886">
    <w:name w:val="Название Знак"/>
    <w:next w:val="886"/>
    <w:link w:val="88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887">
    <w:name w:val="Iau?iue"/>
    <w:next w:val="887"/>
    <w:link w:val="870"/>
    <w:rPr>
      <w:rFonts w:ascii="Times New Roman" w:hAnsi="Times New Roman" w:eastAsia="Times New Roman"/>
      <w:lang w:val="ru-RU" w:eastAsia="ru-RU" w:bidi="ar-SA"/>
    </w:rPr>
  </w:style>
  <w:style w:type="paragraph" w:styleId="888">
    <w:name w:val="Основной текст"/>
    <w:basedOn w:val="870"/>
    <w:next w:val="888"/>
    <w:link w:val="889"/>
    <w:pPr>
      <w:spacing w:after="120"/>
    </w:pPr>
    <w:rPr>
      <w:sz w:val="20"/>
      <w:szCs w:val="20"/>
      <w:lang w:val="en-US"/>
    </w:rPr>
  </w:style>
  <w:style w:type="character" w:styleId="889">
    <w:name w:val="Основной текст Знак"/>
    <w:next w:val="889"/>
    <w:link w:val="888"/>
    <w:rPr>
      <w:rFonts w:ascii="Verdana" w:hAnsi="Verdana" w:eastAsia="Times New Roman" w:cs="Times New Roman"/>
      <w:lang w:eastAsia="ru-RU"/>
    </w:rPr>
  </w:style>
  <w:style w:type="character" w:styleId="890">
    <w:name w:val="Заголовок 3 Знак"/>
    <w:next w:val="890"/>
    <w:link w:val="873"/>
    <w:uiPriority w:val="9"/>
    <w:semiHidden/>
    <w:rPr>
      <w:rFonts w:ascii="Cambria" w:hAnsi="Cambria" w:eastAsia="Times New Roman" w:cs="Times New Roman"/>
      <w:b/>
      <w:bCs/>
      <w:color w:val="4f81bd"/>
      <w:lang w:eastAsia="ru-RU"/>
    </w:rPr>
  </w:style>
  <w:style w:type="paragraph" w:styleId="891">
    <w:name w:val="Обычный1"/>
    <w:next w:val="891"/>
    <w:link w:val="870"/>
    <w:rPr>
      <w:rFonts w:ascii="Times New Roman" w:hAnsi="Times New Roman" w:eastAsia="ヒラギノ角ゴ Pro W3" w:cs="Calibri"/>
      <w:color w:val="000000"/>
      <w:sz w:val="24"/>
      <w:lang w:val="ru-RU" w:eastAsia="ar-SA" w:bidi="ar-SA"/>
    </w:rPr>
  </w:style>
  <w:style w:type="paragraph" w:styleId="892">
    <w:name w:val="Название объекта"/>
    <w:basedOn w:val="870"/>
    <w:next w:val="870"/>
    <w:link w:val="870"/>
    <w:qFormat/>
    <w:pPr>
      <w:ind w:firstLine="709"/>
      <w:jc w:val="both"/>
      <w:spacing w:before="120" w:after="120" w:line="360" w:lineRule="auto"/>
    </w:pPr>
    <w:rPr>
      <w:rFonts w:ascii="Arial" w:hAnsi="Arial"/>
      <w:sz w:val="24"/>
      <w:szCs w:val="20"/>
    </w:rPr>
  </w:style>
  <w:style w:type="paragraph" w:styleId="893">
    <w:name w:val="çàãîëîâîê 1"/>
    <w:basedOn w:val="870"/>
    <w:next w:val="870"/>
    <w:link w:val="870"/>
    <w:pPr>
      <w:jc w:val="both"/>
      <w:keepLines/>
      <w:keepNext/>
      <w:spacing w:before="120" w:after="120"/>
    </w:pPr>
    <w:rPr>
      <w:rFonts w:ascii="Times New Roman" w:hAnsi="Times New Roman"/>
      <w:b/>
      <w:bCs/>
    </w:rPr>
  </w:style>
  <w:style w:type="character" w:styleId="894">
    <w:name w:val="Гиперссылка"/>
    <w:next w:val="894"/>
    <w:link w:val="870"/>
    <w:rPr>
      <w:color w:val="0000ff"/>
      <w:u w:val="single"/>
    </w:rPr>
  </w:style>
  <w:style w:type="paragraph" w:styleId="895">
    <w:name w:val="Мои стили 2"/>
    <w:next w:val="895"/>
    <w:link w:val="870"/>
    <w:pPr>
      <w:numPr>
        <w:ilvl w:val="0"/>
        <w:numId w:val="5"/>
      </w:numPr>
    </w:pPr>
    <w:rPr>
      <w:rFonts w:ascii="Times New Roman" w:hAnsi="Times New Roman" w:eastAsia="Times New Roman" w:cs="Arial"/>
      <w:bCs/>
      <w:sz w:val="24"/>
      <w:szCs w:val="32"/>
      <w:lang w:val="ru-RU" w:eastAsia="ru-RU" w:bidi="ar-SA"/>
    </w:rPr>
  </w:style>
  <w:style w:type="paragraph" w:styleId="896">
    <w:name w:val="Без интервала"/>
    <w:next w:val="896"/>
    <w:link w:val="870"/>
    <w:uiPriority w:val="1"/>
    <w:qFormat/>
    <w:rPr>
      <w:rFonts w:ascii="Verdana" w:hAnsi="Verdana" w:eastAsia="Times New Roman"/>
      <w:sz w:val="22"/>
      <w:szCs w:val="22"/>
      <w:lang w:val="ru-RU" w:eastAsia="ru-RU" w:bidi="ar-SA"/>
    </w:rPr>
  </w:style>
  <w:style w:type="paragraph" w:styleId="897">
    <w:name w:val="Default"/>
    <w:next w:val="897"/>
    <w:link w:val="870"/>
    <w:rPr>
      <w:rFonts w:ascii="Arial" w:hAnsi="Arial" w:cs="Arial"/>
      <w:color w:val="000000"/>
      <w:sz w:val="24"/>
      <w:szCs w:val="24"/>
      <w:lang w:val="ru-RU" w:eastAsia="ru-RU" w:bidi="ar-SA"/>
    </w:rPr>
  </w:style>
  <w:style w:type="paragraph" w:styleId="898">
    <w:name w:val="Нижний колонтитул"/>
    <w:basedOn w:val="870"/>
    <w:next w:val="898"/>
    <w:link w:val="89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9">
    <w:name w:val="Нижний колонтитул Знак"/>
    <w:next w:val="899"/>
    <w:link w:val="898"/>
    <w:uiPriority w:val="99"/>
    <w:rPr>
      <w:rFonts w:ascii="Verdana" w:hAnsi="Verdana" w:eastAsia="Times New Roman"/>
      <w:sz w:val="22"/>
      <w:szCs w:val="22"/>
    </w:rPr>
  </w:style>
  <w:style w:type="character" w:styleId="900">
    <w:name w:val="Заголовок 4 Знак"/>
    <w:next w:val="900"/>
    <w:link w:val="874"/>
    <w:uiPriority w:val="9"/>
    <w:rPr>
      <w:rFonts w:eastAsia="Times New Roman"/>
      <w:b/>
      <w:bCs/>
      <w:sz w:val="28"/>
      <w:szCs w:val="28"/>
      <w:lang w:eastAsia="en-US"/>
    </w:rPr>
  </w:style>
  <w:style w:type="paragraph" w:styleId="901">
    <w:name w:val="Текст"/>
    <w:basedOn w:val="870"/>
    <w:next w:val="901"/>
    <w:link w:val="902"/>
    <w:uiPriority w:val="99"/>
    <w:semiHidden/>
    <w:unhideWhenUsed/>
    <w:rPr>
      <w:rFonts w:ascii="Calibri" w:hAnsi="Calibri" w:eastAsia="Calibri"/>
      <w:szCs w:val="21"/>
      <w:lang w:eastAsia="en-US"/>
    </w:rPr>
  </w:style>
  <w:style w:type="character" w:styleId="902">
    <w:name w:val="Текст Знак"/>
    <w:next w:val="902"/>
    <w:link w:val="901"/>
    <w:uiPriority w:val="99"/>
    <w:semiHidden/>
    <w:rPr>
      <w:sz w:val="22"/>
      <w:szCs w:val="21"/>
      <w:lang w:eastAsia="en-US"/>
    </w:rPr>
  </w:style>
  <w:style w:type="character" w:styleId="903">
    <w:name w:val="grame"/>
    <w:next w:val="903"/>
    <w:link w:val="870"/>
  </w:style>
  <w:style w:type="paragraph" w:styleId="904">
    <w:name w:val="Текст выноски"/>
    <w:basedOn w:val="870"/>
    <w:next w:val="904"/>
    <w:link w:val="90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5">
    <w:name w:val="Текст выноски Знак"/>
    <w:next w:val="905"/>
    <w:link w:val="904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906">
    <w:name w:val="msonormal_mr_css_attr"/>
    <w:basedOn w:val="870"/>
    <w:next w:val="906"/>
    <w:link w:val="870"/>
    <w:pPr>
      <w:spacing w:before="100" w:beforeAutospacing="1" w:after="100" w:afterAutospacing="1"/>
    </w:pPr>
    <w:rPr>
      <w:rFonts w:ascii="Times New Roman" w:hAnsi="Times New Roman" w:eastAsia="Calibri"/>
      <w:sz w:val="24"/>
      <w:szCs w:val="24"/>
    </w:rPr>
  </w:style>
  <w:style w:type="character" w:styleId="907" w:default="1">
    <w:name w:val="Default Paragraph Font"/>
    <w:uiPriority w:val="1"/>
    <w:semiHidden/>
    <w:unhideWhenUsed/>
  </w:style>
  <w:style w:type="numbering" w:styleId="908" w:default="1">
    <w:name w:val="No List"/>
    <w:uiPriority w:val="99"/>
    <w:semiHidden/>
    <w:unhideWhenUsed/>
  </w:style>
  <w:style w:type="table" w:styleId="909" w:default="1">
    <w:name w:val="Normal Table"/>
    <w:uiPriority w:val="99"/>
    <w:semiHidden/>
    <w:unhideWhenUsed/>
    <w:tblPr/>
  </w:style>
  <w:style w:type="paragraph" w:styleId="910" w:customStyle="1">
    <w:name w:val="Основной текст с отступом,Основной текст без отступа"/>
    <w:basedOn w:val="714"/>
    <w:next w:val="746"/>
    <w:link w:val="747"/>
    <w:unhideWhenUsed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11" w:customStyle="1">
    <w:name w:val="Standard"/>
    <w:link w:val="714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tLeas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Tahoma" w:cs="Noto Sans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vgusev</dc:creator>
  <cp:lastModifiedBy>user</cp:lastModifiedBy>
  <cp:revision>10</cp:revision>
  <dcterms:created xsi:type="dcterms:W3CDTF">2025-11-18T11:03:00Z</dcterms:created>
  <dcterms:modified xsi:type="dcterms:W3CDTF">2026-03-27T08:12:50Z</dcterms:modified>
  <cp:version>1048576</cp:version>
</cp:coreProperties>
</file>