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highlight w:val="none"/>
        </w:rPr>
        <w:t xml:space="preserve">                                                                                         ПРОЕКТ</w:t>
      </w:r>
      <w:r>
        <w:rPr>
          <w:rFonts w:ascii="Times New Roman" w:hAnsi="Times New Roman" w:eastAsia="Times New Roman" w:cs="Times New Roman"/>
          <w:b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highlight w:val="none"/>
        </w:rPr>
      </w:r>
      <w:r>
        <w:rPr>
          <w:rFonts w:ascii="Times New Roman" w:hAnsi="Times New Roman" w:eastAsia="Times New Roman" w:cs="Times New Roman"/>
          <w:b/>
          <w:highlight w:val="none"/>
        </w:rPr>
      </w:r>
    </w:p>
    <w:p>
      <w:pPr>
        <w:pStyle w:val="839"/>
        <w:jc w:val="center"/>
        <w:rPr>
          <w:rFonts w:ascii="Times New Roman" w:hAnsi="Times New Roman" w:eastAsia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</w:rPr>
        <w:t xml:space="preserve">ДОГОВОР</w:t>
      </w:r>
      <w:r>
        <w:rPr>
          <w:rFonts w:ascii="Times New Roman" w:hAnsi="Times New Roman" w:eastAsia="Times New Roman" w:cs="Times New Roman"/>
          <w:b/>
        </w:rPr>
        <w:t xml:space="preserve"> №</w:t>
      </w:r>
      <w:r>
        <w:rPr>
          <w:rFonts w:ascii="Times New Roman" w:hAnsi="Times New Roman" w:eastAsia="Times New Roman" w:cs="Times New Roman"/>
          <w:b/>
          <w:bCs/>
          <w:highlight w:val="none"/>
        </w:rPr>
      </w:r>
    </w:p>
    <w:p>
      <w:pPr>
        <w:pStyle w:val="839"/>
        <w:jc w:val="center"/>
        <w:rPr>
          <w:rFonts w:ascii="Times New Roman" w:hAnsi="Times New Roman" w:eastAsia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</w:rPr>
        <w:t xml:space="preserve">Н</w:t>
      </w:r>
      <w:r>
        <w:rPr>
          <w:rFonts w:ascii="Times New Roman" w:hAnsi="Times New Roman" w:eastAsia="Times New Roman" w:cs="Times New Roman"/>
          <w:b/>
        </w:rPr>
        <w:t xml:space="preserve">а изготовление полиграфической продукции</w:t>
      </w:r>
      <w:r>
        <w:rPr>
          <w:rFonts w:ascii="Times New Roman" w:hAnsi="Times New Roman" w:eastAsia="Times New Roman" w:cs="Times New Roman"/>
          <w:b/>
          <w:bCs/>
          <w:highlight w:val="none"/>
        </w:rPr>
      </w:r>
      <w:r>
        <w:rPr>
          <w:rFonts w:ascii="Times New Roman" w:hAnsi="Times New Roman" w:eastAsia="Times New Roman" w:cs="Times New Roman"/>
          <w:b/>
          <w:bCs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highlight w:val="none"/>
        </w:rPr>
        <w:t xml:space="preserve">ИКЗ: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г. Рузаевка</w:t>
        <w:tab/>
        <w:tab/>
        <w:tab/>
        <w:tab/>
        <w:tab/>
      </w:r>
      <w:r>
        <w:rPr>
          <w:rFonts w:ascii="Times New Roman" w:hAnsi="Times New Roman" w:eastAsia="Times New Roman" w:cs="Times New Roman"/>
          <w:b/>
        </w:rPr>
        <w:tab/>
        <w:tab/>
      </w:r>
      <w:r>
        <w:rPr>
          <w:rFonts w:ascii="Times New Roman" w:hAnsi="Times New Roman" w:eastAsia="Times New Roman" w:cs="Times New Roman"/>
          <w:b/>
        </w:rPr>
        <w:t xml:space="preserve">            </w:t>
      </w:r>
      <w:r>
        <w:rPr>
          <w:rFonts w:ascii="Times New Roman" w:hAnsi="Times New Roman" w:eastAsia="Times New Roman" w:cs="Times New Roman"/>
          <w:b/>
        </w:rPr>
        <w:t xml:space="preserve">           </w:t>
      </w:r>
      <w:r>
        <w:rPr>
          <w:rFonts w:ascii="Times New Roman" w:hAnsi="Times New Roman" w:eastAsia="Times New Roman" w:cs="Times New Roman"/>
          <w:b/>
        </w:rPr>
        <w:t xml:space="preserve">     </w:t>
      </w:r>
      <w:r>
        <w:rPr>
          <w:rFonts w:ascii="Times New Roman" w:hAnsi="Times New Roman" w:eastAsia="Times New Roman" w:cs="Times New Roman"/>
          <w:b/>
        </w:rPr>
        <w:t xml:space="preserve">  </w:t>
      </w: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 xml:space="preserve">    </w:t>
      </w:r>
      <w:r>
        <w:rPr>
          <w:rFonts w:ascii="Times New Roman" w:hAnsi="Times New Roman" w:eastAsia="Times New Roman" w:cs="Times New Roman"/>
          <w:b/>
        </w:rPr>
        <w:t xml:space="preserve">«    </w:t>
      </w:r>
      <w:r>
        <w:rPr>
          <w:rFonts w:ascii="Times New Roman" w:hAnsi="Times New Roman" w:eastAsia="Times New Roman" w:cs="Times New Roman"/>
          <w:b/>
        </w:rPr>
        <w:t xml:space="preserve">»</w:t>
      </w:r>
      <w:r>
        <w:rPr>
          <w:rFonts w:ascii="Times New Roman" w:hAnsi="Times New Roman" w:eastAsia="Times New Roman" w:cs="Times New Roman"/>
          <w:b/>
        </w:rPr>
        <w:t xml:space="preserve">            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2026</w:t>
      </w:r>
      <w:r>
        <w:rPr>
          <w:rFonts w:ascii="Times New Roman" w:hAnsi="Times New Roman" w:eastAsia="Times New Roman" w:cs="Times New Roman"/>
          <w:b/>
        </w:rPr>
        <w:t xml:space="preserve">г.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</w:t>
      </w:r>
      <w:r>
        <w:rPr>
          <w:rFonts w:ascii="Times New Roman" w:hAnsi="Times New Roman" w:eastAsia="Times New Roman" w:cs="Times New Roman"/>
        </w:rPr>
        <w:t xml:space="preserve">, именуемое в дальнейшем «Исполнитель», в лице ________________</w:t>
      </w:r>
      <w:r>
        <w:rPr>
          <w:rFonts w:ascii="Times New Roman" w:hAnsi="Times New Roman" w:eastAsia="Times New Roman" w:cs="Times New Roman"/>
        </w:rPr>
        <w:t xml:space="preserve">, действующего на основании ___________ и </w:t>
      </w:r>
      <w:r>
        <w:rPr>
          <w:rFonts w:ascii="Times New Roman" w:hAnsi="Times New Roman" w:eastAsia="Times New Roman" w:cs="Times New Roman"/>
          <w:b/>
        </w:rPr>
        <w:t xml:space="preserve">Межрегиональное территориальное управление Федерального агентства по управлению государственным имуществом в Республике Мордовия, Республике Марий Эл, Чувашской Республике и Пензенской области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именуемое в дальнейшем "За</w:t>
      </w:r>
      <w:r>
        <w:rPr>
          <w:rFonts w:ascii="Times New Roman" w:hAnsi="Times New Roman" w:eastAsia="Times New Roman" w:cs="Times New Roman"/>
        </w:rPr>
        <w:t xml:space="preserve">казчик", в лице Врио </w:t>
      </w:r>
      <w:r>
        <w:rPr>
          <w:rFonts w:ascii="Times New Roman" w:hAnsi="Times New Roman" w:eastAsia="Times New Roman" w:cs="Times New Roman"/>
        </w:rPr>
        <w:t xml:space="preserve">руководителя Зимина Сергея Александровича</w:t>
      </w:r>
      <w:r>
        <w:rPr>
          <w:rFonts w:ascii="Times New Roman" w:hAnsi="Times New Roman" w:eastAsia="Times New Roman" w:cs="Times New Roman"/>
        </w:rPr>
        <w:t xml:space="preserve">, действующего</w:t>
      </w:r>
      <w:r>
        <w:rPr>
          <w:rFonts w:ascii="Times New Roman" w:hAnsi="Times New Roman" w:eastAsia="Times New Roman" w:cs="Times New Roman"/>
        </w:rPr>
        <w:t xml:space="preserve"> на основа</w:t>
      </w:r>
      <w:r>
        <w:rPr>
          <w:rFonts w:ascii="Times New Roman" w:hAnsi="Times New Roman" w:eastAsia="Times New Roman" w:cs="Times New Roman"/>
        </w:rPr>
        <w:t xml:space="preserve">нии Приказа Росимущества №166л от 26.03.2026 г. </w:t>
      </w:r>
      <w:r>
        <w:rPr>
          <w:rFonts w:ascii="Times New Roman" w:hAnsi="Times New Roman" w:cs="Times New Roman"/>
        </w:rPr>
        <w:t xml:space="preserve">вместе именуемые Стороны,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соответствии</w:t>
      </w:r>
      <w:r>
        <w:rPr>
          <w:rFonts w:ascii="Times New Roman" w:hAnsi="Times New Roman" w:cs="Times New Roman"/>
        </w:rPr>
        <w:t xml:space="preserve"> с п. 4  ч. 1 ст. 93 ФЗ от 5 апреля 2013 года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 заключили настоящий Договор</w:t>
      </w:r>
      <w:r>
        <w:rPr>
          <w:rFonts w:ascii="Times New Roman" w:hAnsi="Times New Roman" w:cs="Times New Roman"/>
        </w:rPr>
        <w:t xml:space="preserve"> о нижеследующем: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Предмет договора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1.1.</w:t>
      </w:r>
      <w:r>
        <w:rPr>
          <w:rFonts w:ascii="Times New Roman" w:hAnsi="Times New Roman" w:eastAsia="Times New Roman" w:cs="Times New Roman"/>
        </w:rPr>
        <w:t xml:space="preserve">«</w:t>
      </w:r>
      <w:r>
        <w:rPr>
          <w:rFonts w:ascii="Times New Roman" w:hAnsi="Times New Roman" w:eastAsia="Times New Roman" w:cs="Times New Roman"/>
        </w:rPr>
        <w:t xml:space="preserve">Исполнитель» обязуется изготовить «Заказчику» полиграфическую продукцию</w:t>
      </w:r>
      <w:r>
        <w:rPr>
          <w:rFonts w:ascii="Times New Roman" w:hAnsi="Times New Roman" w:eastAsia="Times New Roman" w:cs="Times New Roman"/>
          <w:b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полный перечень которых указывается</w:t>
      </w:r>
      <w:r>
        <w:rPr>
          <w:rFonts w:ascii="Times New Roman" w:hAnsi="Times New Roman" w:eastAsia="Times New Roman" w:cs="Times New Roman"/>
        </w:rPr>
        <w:t xml:space="preserve"> в заявк</w:t>
      </w:r>
      <w:r>
        <w:rPr>
          <w:rFonts w:ascii="Times New Roman" w:hAnsi="Times New Roman" w:eastAsia="Times New Roman" w:cs="Times New Roman"/>
        </w:rPr>
        <w:t xml:space="preserve">ах</w:t>
      </w:r>
      <w:r>
        <w:rPr>
          <w:rFonts w:ascii="Times New Roman" w:hAnsi="Times New Roman" w:eastAsia="Times New Roman" w:cs="Times New Roman"/>
        </w:rPr>
        <w:t xml:space="preserve"> «Заказчика»</w:t>
      </w:r>
      <w:r>
        <w:rPr>
          <w:rFonts w:ascii="Times New Roman" w:hAnsi="Times New Roman" w:eastAsia="Times New Roman" w:cs="Times New Roman"/>
        </w:rPr>
        <w:t xml:space="preserve">, счете на оплату, товарной накладной</w:t>
      </w:r>
      <w:r>
        <w:rPr>
          <w:rFonts w:ascii="Times New Roman" w:hAnsi="Times New Roman" w:eastAsia="Times New Roman" w:cs="Times New Roman"/>
        </w:rPr>
        <w:t xml:space="preserve"> (</w:t>
      </w:r>
      <w:r>
        <w:rPr>
          <w:rFonts w:ascii="Times New Roman" w:hAnsi="Times New Roman" w:eastAsia="Times New Roman" w:cs="Times New Roman"/>
        </w:rPr>
        <w:t xml:space="preserve">результатом оказания полиграфических услуг является</w:t>
      </w:r>
      <w:r>
        <w:rPr>
          <w:rFonts w:ascii="Times New Roman" w:hAnsi="Times New Roman" w:eastAsia="Times New Roman" w:cs="Times New Roman"/>
        </w:rPr>
        <w:t xml:space="preserve"> «Товар»),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а «Заказчик» обязуется принять  и оплатить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«Товар»</w:t>
      </w:r>
      <w:r>
        <w:rPr>
          <w:rFonts w:ascii="Times New Roman" w:hAnsi="Times New Roman" w:eastAsia="Times New Roman" w:cs="Times New Roman"/>
        </w:rPr>
        <w:t xml:space="preserve"> согласно условиям настоящего договора.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1.2. </w:t>
      </w:r>
      <w:r>
        <w:rPr>
          <w:rFonts w:ascii="Times New Roman" w:hAnsi="Times New Roman" w:eastAsia="Times New Roman" w:cs="Times New Roman"/>
        </w:rPr>
        <w:t xml:space="preserve">Право собственности на </w:t>
      </w:r>
      <w:r>
        <w:rPr>
          <w:rFonts w:ascii="Times New Roman" w:hAnsi="Times New Roman" w:eastAsia="Times New Roman" w:cs="Times New Roman"/>
        </w:rPr>
        <w:t xml:space="preserve">«Товар»</w:t>
      </w:r>
      <w:r>
        <w:rPr>
          <w:rFonts w:ascii="Times New Roman" w:hAnsi="Times New Roman" w:eastAsia="Times New Roman" w:cs="Times New Roman"/>
        </w:rPr>
        <w:t xml:space="preserve"> переходит к «Заказчику» с момента фактической передачи ему </w:t>
      </w:r>
      <w:r>
        <w:rPr>
          <w:rFonts w:ascii="Times New Roman" w:hAnsi="Times New Roman" w:eastAsia="Times New Roman" w:cs="Times New Roman"/>
        </w:rPr>
        <w:t xml:space="preserve">«Товара», подп</w:t>
      </w:r>
      <w:r>
        <w:rPr>
          <w:rFonts w:ascii="Times New Roman" w:hAnsi="Times New Roman" w:eastAsia="Times New Roman" w:cs="Times New Roman"/>
        </w:rPr>
        <w:t xml:space="preserve">исания акта сдачи приемки оказанных услуг либо товарных накладных.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Порядок сдачи и приемки услуг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2.1. </w:t>
      </w:r>
      <w:r>
        <w:rPr>
          <w:rFonts w:ascii="Times New Roman" w:hAnsi="Times New Roman" w:eastAsia="Times New Roman" w:cs="Times New Roman"/>
        </w:rPr>
        <w:t xml:space="preserve">«Исполнитель» изготавливает для «Заказчика»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«Товар</w:t>
      </w:r>
      <w:r>
        <w:rPr>
          <w:rFonts w:ascii="Times New Roman" w:hAnsi="Times New Roman" w:eastAsia="Times New Roman" w:cs="Times New Roman"/>
        </w:rPr>
        <w:t xml:space="preserve">» и передает его</w:t>
      </w:r>
      <w:r>
        <w:rPr>
          <w:rFonts w:ascii="Times New Roman" w:hAnsi="Times New Roman" w:eastAsia="Times New Roman" w:cs="Times New Roman"/>
        </w:rPr>
        <w:t xml:space="preserve"> в соответствии с актом сдачи-приемки оказания услуг либо товарной</w:t>
      </w:r>
      <w:r>
        <w:rPr>
          <w:rFonts w:ascii="Times New Roman" w:hAnsi="Times New Roman" w:eastAsia="Times New Roman" w:cs="Times New Roman"/>
        </w:rPr>
        <w:t xml:space="preserve"> накладной, в срок не позднее </w:t>
      </w:r>
      <w:r>
        <w:rPr>
          <w:rFonts w:ascii="Times New Roman" w:hAnsi="Times New Roman" w:eastAsia="Times New Roman" w:cs="Times New Roman"/>
        </w:rPr>
        <w:t xml:space="preserve">2</w:t>
      </w:r>
      <w:r>
        <w:rPr>
          <w:rFonts w:ascii="Times New Roman" w:hAnsi="Times New Roman" w:eastAsia="Times New Roman" w:cs="Times New Roman"/>
        </w:rPr>
        <w:t xml:space="preserve">0</w:t>
      </w:r>
      <w:r>
        <w:rPr>
          <w:rFonts w:ascii="Times New Roman" w:hAnsi="Times New Roman" w:eastAsia="Times New Roman" w:cs="Times New Roman"/>
        </w:rPr>
        <w:t xml:space="preserve"> рабочих дней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2.2. </w:t>
      </w:r>
      <w:r>
        <w:rPr>
          <w:rFonts w:ascii="Times New Roman" w:hAnsi="Times New Roman" w:eastAsia="Times New Roman" w:cs="Times New Roman"/>
        </w:rPr>
        <w:t xml:space="preserve">Бракованный «Товар»</w:t>
      </w:r>
      <w:r>
        <w:rPr>
          <w:rFonts w:ascii="Times New Roman" w:hAnsi="Times New Roman" w:eastAsia="Times New Roman" w:cs="Times New Roman"/>
        </w:rPr>
        <w:t xml:space="preserve"> подлежит бесплатному обмену, либо при</w:t>
      </w:r>
      <w:r>
        <w:rPr>
          <w:rFonts w:ascii="Times New Roman" w:hAnsi="Times New Roman" w:eastAsia="Times New Roman" w:cs="Times New Roman"/>
        </w:rPr>
        <w:t xml:space="preserve"> договоренности сторон, на такой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«Товар»</w:t>
      </w:r>
      <w:r>
        <w:rPr>
          <w:rFonts w:ascii="Times New Roman" w:hAnsi="Times New Roman" w:eastAsia="Times New Roman" w:cs="Times New Roman"/>
        </w:rPr>
        <w:t xml:space="preserve"> может быть снижена цена.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2.3. </w:t>
      </w:r>
      <w:r>
        <w:rPr>
          <w:rFonts w:ascii="Times New Roman" w:hAnsi="Times New Roman" w:eastAsia="Times New Roman" w:cs="Times New Roman"/>
        </w:rPr>
        <w:t xml:space="preserve">Поставка «Товара»</w:t>
      </w:r>
      <w:r>
        <w:rPr>
          <w:rFonts w:ascii="Times New Roman" w:hAnsi="Times New Roman" w:eastAsia="Times New Roman" w:cs="Times New Roman"/>
        </w:rPr>
        <w:t xml:space="preserve"> производится «Исполнителем» по адресу: Республика Мордовия, г. Рузаевка, ул. Трынова, 67а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2.4. </w:t>
      </w:r>
      <w:r>
        <w:rPr>
          <w:rFonts w:ascii="Times New Roman" w:hAnsi="Times New Roman" w:eastAsia="Times New Roman" w:cs="Times New Roman"/>
        </w:rPr>
        <w:t xml:space="preserve">«Заказчик» обязан  совершить все необходимые действия, обеспечивающие принятие </w:t>
      </w:r>
      <w:r>
        <w:rPr>
          <w:rFonts w:ascii="Times New Roman" w:hAnsi="Times New Roman" w:eastAsia="Times New Roman" w:cs="Times New Roman"/>
        </w:rPr>
        <w:t xml:space="preserve">«Товара»</w:t>
      </w:r>
      <w:r>
        <w:rPr>
          <w:rFonts w:ascii="Times New Roman" w:hAnsi="Times New Roman" w:eastAsia="Times New Roman" w:cs="Times New Roman"/>
        </w:rPr>
        <w:t xml:space="preserve">, поставленной в соответствии с настоящим договором.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2.5. </w:t>
      </w:r>
      <w:r>
        <w:rPr>
          <w:rFonts w:ascii="Times New Roman" w:hAnsi="Times New Roman" w:eastAsia="Times New Roman" w:cs="Times New Roman"/>
        </w:rPr>
        <w:t xml:space="preserve">При получении «Товара»</w:t>
      </w:r>
      <w:r>
        <w:rPr>
          <w:rFonts w:ascii="Times New Roman" w:hAnsi="Times New Roman" w:eastAsia="Times New Roman" w:cs="Times New Roman"/>
        </w:rPr>
        <w:t xml:space="preserve"> «Заказчик» обязан незамедлительно осмотреть  </w:t>
      </w:r>
      <w:r>
        <w:rPr>
          <w:rFonts w:ascii="Times New Roman" w:hAnsi="Times New Roman" w:eastAsia="Times New Roman" w:cs="Times New Roman"/>
        </w:rPr>
        <w:t xml:space="preserve">«Товар», проверить его</w:t>
      </w:r>
      <w:r>
        <w:rPr>
          <w:rFonts w:ascii="Times New Roman" w:hAnsi="Times New Roman" w:eastAsia="Times New Roman" w:cs="Times New Roman"/>
        </w:rPr>
        <w:t xml:space="preserve"> количество и качество. В случае</w:t>
      </w:r>
      <w:r>
        <w:rPr>
          <w:rFonts w:ascii="Times New Roman" w:hAnsi="Times New Roman" w:eastAsia="Times New Roman" w:cs="Times New Roman"/>
        </w:rPr>
        <w:t xml:space="preserve"> выявления недостатков «Товара»</w:t>
      </w:r>
      <w:r>
        <w:rPr>
          <w:rFonts w:ascii="Times New Roman" w:hAnsi="Times New Roman" w:eastAsia="Times New Roman" w:cs="Times New Roman"/>
        </w:rPr>
        <w:t xml:space="preserve"> «Заказчик» в присутствии представителя «Исполнителя»</w:t>
      </w:r>
      <w:r>
        <w:rPr>
          <w:rFonts w:ascii="Times New Roman" w:hAnsi="Times New Roman" w:eastAsia="Times New Roman" w:cs="Times New Roman"/>
        </w:rPr>
        <w:t xml:space="preserve"> составляет соответствующий акт устранения недостатков, подписываемый сторонами.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2.6. </w:t>
      </w:r>
      <w:r>
        <w:rPr>
          <w:rFonts w:ascii="Times New Roman" w:hAnsi="Times New Roman" w:eastAsia="Times New Roman" w:cs="Times New Roman"/>
        </w:rPr>
        <w:t xml:space="preserve">В случае обоснованного </w:t>
      </w:r>
      <w:r>
        <w:rPr>
          <w:rFonts w:ascii="Times New Roman" w:hAnsi="Times New Roman" w:eastAsia="Times New Roman" w:cs="Times New Roman"/>
        </w:rPr>
        <w:t xml:space="preserve">отказа «Заказчика» от переданного «Исполнителем» «Товара»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он обязуется </w:t>
      </w:r>
      <w:r>
        <w:rPr>
          <w:rFonts w:ascii="Times New Roman" w:hAnsi="Times New Roman" w:eastAsia="Times New Roman" w:cs="Times New Roman"/>
        </w:rPr>
        <w:t xml:space="preserve">незамедлительно уведомить «Исполнителя» о своем отказе принять </w:t>
      </w:r>
      <w:r>
        <w:rPr>
          <w:rFonts w:ascii="Times New Roman" w:hAnsi="Times New Roman" w:eastAsia="Times New Roman" w:cs="Times New Roman"/>
        </w:rPr>
        <w:t xml:space="preserve">«Товар»</w:t>
      </w:r>
      <w:r>
        <w:rPr>
          <w:rFonts w:ascii="Times New Roman" w:hAnsi="Times New Roman" w:eastAsia="Times New Roman" w:cs="Times New Roman"/>
        </w:rPr>
        <w:t xml:space="preserve"> с указанием мотивов отказа.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Цена </w:t>
      </w:r>
      <w:r>
        <w:rPr>
          <w:rFonts w:ascii="Times New Roman" w:hAnsi="Times New Roman" w:eastAsia="Times New Roman" w:cs="Times New Roman"/>
          <w:b/>
        </w:rPr>
        <w:t xml:space="preserve"> договор</w:t>
      </w:r>
      <w:r>
        <w:rPr>
          <w:rFonts w:ascii="Times New Roman" w:hAnsi="Times New Roman" w:eastAsia="Times New Roman" w:cs="Times New Roman"/>
          <w:b/>
        </w:rPr>
        <w:t xml:space="preserve">а</w:t>
      </w:r>
      <w:r>
        <w:rPr>
          <w:rFonts w:ascii="Times New Roman" w:hAnsi="Times New Roman" w:eastAsia="Times New Roman" w:cs="Times New Roman"/>
          <w:b/>
        </w:rPr>
        <w:t xml:space="preserve"> и порядок расчетов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3.1. Цена договора: _____________</w:t>
      </w:r>
      <w:r>
        <w:rPr>
          <w:rFonts w:ascii="Times New Roman" w:hAnsi="Times New Roman" w:eastAsia="Times New Roman" w:cs="Times New Roman"/>
          <w:b/>
        </w:rPr>
        <w:t xml:space="preserve"> рублей ______ коп.</w:t>
      </w:r>
      <w:r>
        <w:rPr>
          <w:rFonts w:ascii="Times New Roman" w:hAnsi="Times New Roman" w:eastAsia="Times New Roman" w:cs="Times New Roman"/>
        </w:rPr>
        <w:t xml:space="preserve">, в том числе НДС/без НДС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  <w:t xml:space="preserve">3.2. Цена настоящего Контракта является твердой, </w:t>
      </w:r>
      <w:r>
        <w:rPr>
          <w:rFonts w:ascii="Times New Roman" w:hAnsi="Times New Roman" w:cs="Times New Roman"/>
        </w:rPr>
        <w:t xml:space="preserve">определяется на весь срок исполнения Контракта и не может</w:t>
      </w:r>
      <w:r>
        <w:rPr>
          <w:rFonts w:ascii="Times New Roman" w:hAnsi="Times New Roman" w:cs="Times New Roman"/>
        </w:rPr>
        <w:t xml:space="preserve"> изменяться, за исключением случаев, предусмотренных законодательством Российской Федерации. Выплата аванса не предусмотрена.</w:t>
      </w:r>
      <w:r>
        <w:rPr>
          <w:rFonts w:ascii="Times New Roman" w:hAnsi="Times New Roman" w:cs="Times New Roman"/>
        </w:rPr>
      </w:r>
      <w:r/>
    </w:p>
    <w:p>
      <w:pPr>
        <w:ind w:left="0" w:right="0" w:firstLine="0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Источник финансирования – федеральный бюджет.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3.4.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Оплата за поставляемый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«Товар»</w:t>
      </w:r>
      <w:r>
        <w:rPr>
          <w:rFonts w:ascii="Times New Roman" w:hAnsi="Times New Roman" w:eastAsia="Times New Roman" w:cs="Times New Roman"/>
        </w:rPr>
        <w:t xml:space="preserve"> производится по факту полной и надлежащей поставки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«Товара»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в </w:t>
      </w:r>
      <w:r>
        <w:rPr>
          <w:rFonts w:ascii="Times New Roman" w:hAnsi="Times New Roman" w:cs="Times New Roman"/>
          <w:b/>
          <w:bCs/>
        </w:rPr>
        <w:t xml:space="preserve">течение </w:t>
      </w:r>
      <w:r>
        <w:rPr>
          <w:rFonts w:ascii="Times New Roman" w:hAnsi="Times New Roman" w:cs="Times New Roman"/>
          <w:b/>
          <w:bCs/>
        </w:rPr>
        <w:t xml:space="preserve">7(семи)</w:t>
      </w:r>
      <w:r>
        <w:rPr>
          <w:rFonts w:ascii="Times New Roman" w:hAnsi="Times New Roman" w:cs="Times New Roman"/>
          <w:b/>
          <w:bCs/>
        </w:rPr>
        <w:t xml:space="preserve"> рабочих дней</w:t>
      </w:r>
      <w:r>
        <w:rPr>
          <w:rFonts w:ascii="Times New Roman" w:hAnsi="Times New Roman" w:cs="Times New Roman"/>
          <w:b/>
          <w:bCs/>
        </w:rPr>
        <w:t xml:space="preserve"> после предоставления накладной, счёта и (или) счета-фактуры.</w:t>
      </w:r>
      <w:r>
        <w:rPr>
          <w:rFonts w:ascii="Times New Roman" w:hAnsi="Times New Roman" w:cs="Times New Roman"/>
          <w:bCs/>
        </w:rPr>
        <w:t xml:space="preserve"> Пр</w:t>
      </w:r>
      <w:r>
        <w:rPr>
          <w:rFonts w:ascii="Times New Roman" w:hAnsi="Times New Roman" w:cs="Times New Roman"/>
          <w:bCs/>
        </w:rPr>
        <w:t xml:space="preserve">и этом уменьшается сумма,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</w:t>
      </w:r>
      <w:r>
        <w:rPr>
          <w:rFonts w:ascii="Times New Roman" w:hAnsi="Times New Roman" w:cs="Times New Roman"/>
          <w:bCs/>
        </w:rPr>
        <w:t xml:space="preserve">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3.5. </w:t>
      </w:r>
      <w:r>
        <w:rPr>
          <w:rFonts w:ascii="Times New Roman" w:hAnsi="Times New Roman" w:cs="Times New Roman"/>
          <w:bCs/>
        </w:rPr>
        <w:t xml:space="preserve">В случае изменения расчетного счета Исполнитель обязан в однодневный срок в письменной форме сообщить об этом Зак</w:t>
      </w:r>
      <w:r>
        <w:rPr>
          <w:rFonts w:ascii="Times New Roman" w:hAnsi="Times New Roman" w:cs="Times New Roman"/>
          <w:bCs/>
        </w:rPr>
        <w:t xml:space="preserve">азчику, с указанием новых реквизитов расчетного счета для внесения изменений в государственный Контракт. В противном случае все риски, связанные с перечислением Заказчиком денежных средств на указанный в настоящем Контракте счет Поставщика несет Поставщик.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9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Действия обстоятельств непреодолимой силы и ответственность сторон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4.1. </w:t>
      </w:r>
      <w:r>
        <w:rPr>
          <w:rFonts w:ascii="Times New Roman" w:hAnsi="Times New Roman" w:eastAsia="Times New Roman" w:cs="Times New Roman"/>
        </w:rPr>
        <w:t xml:space="preserve">«Исполнитель» не несет ответственности за </w:t>
      </w:r>
      <w:r>
        <w:rPr>
          <w:rFonts w:ascii="Times New Roman" w:hAnsi="Times New Roman" w:eastAsia="Times New Roman" w:cs="Times New Roman"/>
        </w:rPr>
        <w:t xml:space="preserve">соответствующий брак «Товара»</w:t>
      </w:r>
      <w:r>
        <w:rPr>
          <w:rFonts w:ascii="Times New Roman" w:hAnsi="Times New Roman" w:eastAsia="Times New Roman" w:cs="Times New Roman"/>
        </w:rPr>
        <w:t xml:space="preserve">, если «Заказчик» осуществлял верстку и правку оригинал макета (предоставленного образца) самостоятельно.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4.2. </w:t>
      </w:r>
      <w:r>
        <w:rPr>
          <w:rFonts w:ascii="Times New Roman" w:hAnsi="Times New Roman" w:eastAsia="Times New Roman" w:cs="Times New Roman"/>
        </w:rPr>
        <w:t xml:space="preserve">Любая из сторон настоящего договора, не исполнившая обязательства по договору или исполнившая их ненадлежащим образом</w:t>
      </w:r>
      <w:r>
        <w:rPr>
          <w:rFonts w:ascii="Times New Roman" w:hAnsi="Times New Roman" w:eastAsia="Times New Roman" w:cs="Times New Roman"/>
        </w:rPr>
        <w:t xml:space="preserve">, несет ответственность за это при наличии вины (умысла, неосторожности, вины, небрежности, неосмотрительности), если </w:t>
      </w:r>
      <w:r>
        <w:rPr>
          <w:rFonts w:ascii="Times New Roman" w:hAnsi="Times New Roman" w:eastAsia="Times New Roman" w:cs="Times New Roman"/>
        </w:rPr>
        <w:t xml:space="preserve">не </w:t>
      </w:r>
      <w:r>
        <w:rPr>
          <w:rFonts w:ascii="Times New Roman" w:hAnsi="Times New Roman" w:eastAsia="Times New Roman" w:cs="Times New Roman"/>
        </w:rPr>
        <w:t xml:space="preserve">докажет, что надлежащее исполнение обязательств оказалось невозможным в следствии непреодолимой силы  (форс</w:t>
      </w:r>
      <w:r>
        <w:rPr>
          <w:rFonts w:ascii="Times New Roman" w:hAnsi="Times New Roman" w:eastAsia="Times New Roman" w:cs="Times New Roman"/>
        </w:rPr>
        <w:t xml:space="preserve">-</w:t>
      </w:r>
      <w:r>
        <w:rPr>
          <w:rFonts w:ascii="Times New Roman" w:hAnsi="Times New Roman" w:eastAsia="Times New Roman" w:cs="Times New Roman"/>
        </w:rPr>
        <w:t xml:space="preserve">мажор), т.е. чрезвычайных и непредотвратимых обстоятельств при конкретных условиях конкретного периода времени.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4.3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ascii="Times New Roman" w:hAnsi="Times New Roman" w:eastAsia="Times New Roman" w:cs="Times New Roman"/>
        </w:rPr>
        <w:t xml:space="preserve">Уплата неустойки </w:t>
      </w:r>
      <w:r>
        <w:rPr>
          <w:rFonts w:ascii="Times New Roman" w:hAnsi="Times New Roman" w:eastAsia="Times New Roman" w:cs="Times New Roman"/>
        </w:rPr>
        <w:t xml:space="preserve">(штрафа, пени) и возмещение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убытков, причиненных ненадлежащим исполнением обязательств, не освобождает стороны договора от исполнения обязательств по договору.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Ответственность сторон.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5.1. За неисполнение или ненадлежащее исполнение своих обязательств по Договору Стороны несут ответственность в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с действующим законодательством Российской Федерации и условиями настоящего Договора.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5.2. В случае просрочки исполнения Исполнителем своих обязательств, предусмотренных настоящим Договором, Заказчик направляет Исполнителю требование об уплате неустойки (пени).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Договором, в размере одной трехсотой дей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ствующей на дату уплаты пени ключевой ставки 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 (подрядчиком, исполнителем).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5.3. В случае неисполнения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или ненадлежащего исполнения Исполнителем обязательств, предусмотренных Договором, за исключением просрочки исполнения Исполнителем обязательств, предусмотренных Договором,  Исполнитель уплачивает Заказчику неустойку (штраф).  Размер штрафа установлен  в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с постановлением Правительства Российской Федерации от 30.08.2017 № 1042 и составляет _______________ (10% от цены Договора).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5.4. За каждый факт неисполнения или ненадлежащего исполнения Исполнителем обязательств, предусмотренных настоящим Договором,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заключенным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с Исполнителем предложившим наиболее высокую цену за право заключения Договора, размер штрафа рассчитывается в соответствии с постановлением Правительства Российской Федерации от 30.08.2017 № 1042 и устанавливается в следующем порядке: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а) в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случае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, если цена Договора не превышает начальную (максимальную) цену Договора: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10 процентов начальной (максимальной) цены Договора, если цена Договора не превышает 3 млн. рублей;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5 процентов начальной (максимальной) цены Договора, если цена Договора составляет от 3 млн. рублей до 50 млн. рублей (включительно);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1 процент начальной (максимальной) цены Договора, если цена Договора составляет от 50 млн. рублей до 100 млн. рублей (включительно);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б) в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случае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, если цена Договора превышает начальную (максимальную) цену Договора: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10 процентов цены Договора, если цена Договора не превышает 3 млн. рублей;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5 процентов цены Договора, если цена Договора составляет от 3 млн. рублей до 50 млн. рублей (включительно);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1 процент цены Договора, если цена Договора составляет от 50 млн. рублей до 100 млн. рублей (включительно).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5.5. В случае неоплаты неустойки (пени, штрафа) Исполнителем в двухдневный срок со дня получения требования, Заказчик впра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ве уменьшить сумму оплаты за услуги на сумму неоплаченной по требованию Заказчика неустойки (пени, штрафов), либо удовлетворить свои требования за счет внесенной Исполнителем залоговой суммы, в счет обеспечения исполнения Договора, без обращения в суд.   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5.6. Исполнитель освобождается от уплаты неустойки (пени, штрафа), если докажет, что невыполнение указанного обязательства произошло вследствие обстоятельств непреодолимой силы или по вине Заказчика.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left="0" w:right="0" w:firstLine="142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5.7. В случае просрочки исполнения Заказчиком обязательств по оплате, предусмот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ренных настоящим Договором, Исполнитель вправе потребовать уплату неустойки (пени). Пеня начисляется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обязательства.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Такая пеня устанавливается в размере одной трехсотой действующей на день уплаты пени ключевой ставки Центрального банка Российской Федерации от неуплаченной в срок суммы.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5.8. В случае не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исполнения или ненадлежащего исполнения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потребовать уплаты неустойки (штрафа).  Размер штрафа установлен  в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с постановлением Правительства Российской Федерации от 30.08.2017 № 1042 составляет 1000 (одна тысяча) рублей.  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5.9. Заказчик освобождается от уплаты неустойки (пени, штрафа), если докажет, что просрочка исполнения обязательства произошла вследствие обстоятельств непреодолимой силы или по вине Исполнителя.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5.10. Уплата пеней/штрафов не освобождает Стороны от выполнения принятых обязательств по настоящему Договору.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5.11. Окончание срока действия настоящего Договора не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освобождает стороны от ответственности за его нарушение и не освобождает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стороны от исполнения своих обязательств по Договору в полном объеме.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5.12. Общая сумма начисленных штрафов 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5.13.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5.14. За каждый факт неисполнения или ненадлежащего исполнения поставщиком (подрядчиком, исполнителем) обязательства, предусмотренного Договором, которое не имеет стоимостного выражения, размер штрафа в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с постановлением Правительства Российской Федерации от 30.08.2017 № 1042 составляет 1000 (одна тысяча) рублей.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839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6. Расторжение договора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6.1. </w:t>
      </w:r>
      <w:r>
        <w:rPr>
          <w:rFonts w:ascii="Times New Roman" w:hAnsi="Times New Roman" w:eastAsia="Times New Roman" w:cs="Times New Roman"/>
        </w:rPr>
        <w:t xml:space="preserve">Настоящий договор может быть расторгнут по соглашению сторон.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6.2. </w:t>
      </w:r>
      <w:r>
        <w:rPr>
          <w:rFonts w:ascii="Times New Roman" w:hAnsi="Times New Roman" w:eastAsia="Times New Roman" w:cs="Times New Roman"/>
        </w:rPr>
        <w:t xml:space="preserve">Настоящий договор может быть расторгнут судом по требованию одной из</w:t>
      </w:r>
      <w:r>
        <w:rPr>
          <w:rFonts w:ascii="Times New Roman" w:hAnsi="Times New Roman" w:eastAsia="Times New Roman" w:cs="Times New Roman"/>
        </w:rPr>
        <w:t xml:space="preserve"> сторон только при существенном нарушении условий договора одной из сторон или в иных случаях, предусмотренных действующим договором или действующим законодательством.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6.3. </w:t>
      </w:r>
      <w:r>
        <w:rPr>
          <w:rFonts w:ascii="Times New Roman" w:hAnsi="Times New Roman" w:eastAsia="Times New Roman" w:cs="Times New Roman"/>
        </w:rPr>
        <w:t xml:space="preserve">Нарушение условий договора признается существенным</w:t>
      </w:r>
      <w:r>
        <w:rPr>
          <w:rFonts w:ascii="Times New Roman" w:hAnsi="Times New Roman" w:eastAsia="Times New Roman" w:cs="Times New Roman"/>
        </w:rPr>
        <w:t xml:space="preserve">, когда одна из сторон допустила действие (или бездействие), которое влечет для другой стороны такой ущерб, что дальнейшее действие договора теряет смысл, поскольку эта сторона в значительной мере лишается того, на что рассчитывала при заключении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6.4. </w:t>
      </w:r>
      <w:r>
        <w:rPr>
          <w:rFonts w:ascii="Times New Roman" w:hAnsi="Times New Roman" w:eastAsia="Times New Roman" w:cs="Times New Roman"/>
        </w:rPr>
        <w:t xml:space="preserve">Последствия расторжения настоящего договора определяются взаимным соглашением сторон или судом, по требованию любой из сторон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7. Порядок разрешения споров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contextualSpacing/>
        <w:ind w:left="66" w:right="0" w:hanging="66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66" w:right="0" w:hanging="66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Претензия </w:t>
      </w:r>
      <w:r>
        <w:rPr>
          <w:rFonts w:ascii="Times New Roman" w:hAnsi="Times New Roman" w:cs="Times New Roman"/>
        </w:rPr>
        <w:t xml:space="preserve">оформляется в письменной форме и направляется</w:t>
      </w:r>
      <w:r>
        <w:rPr>
          <w:rFonts w:ascii="Times New Roman" w:hAnsi="Times New Roman" w:cs="Times New Roman"/>
        </w:rPr>
        <w:t xml:space="preserve"> той Стороне по Договору, которой допущены нарушения его условий. В претензии перечисляются доп</w:t>
      </w:r>
      <w:r>
        <w:rPr>
          <w:rFonts w:ascii="Times New Roman" w:hAnsi="Times New Roman" w:cs="Times New Roman"/>
        </w:rPr>
        <w:t xml:space="preserve">ущенные при исполнении Договора нарушения со ссылкой на соответствующие положения Договораа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66" w:right="0" w:hanging="66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Срок рассмотрения писем, уведомлений или претензий не может превышать 7 (семь) рабочих дней с момента их получения. Переписка Сторон может осуществляться в </w:t>
      </w:r>
      <w:r>
        <w:rPr>
          <w:rFonts w:ascii="Times New Roman" w:hAnsi="Times New Roman" w:cs="Times New Roman"/>
        </w:rPr>
        <w:t xml:space="preserve">виде</w:t>
      </w:r>
      <w:r>
        <w:rPr>
          <w:rFonts w:ascii="Times New Roman" w:hAnsi="Times New Roman" w:cs="Times New Roman"/>
        </w:rPr>
        <w:t xml:space="preserve"> письма или телеграммы, а в случаях направления факса, электронного сообщения, с последующим предоставлением оригинала документа.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66" w:right="0" w:hanging="66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 Разногласия, возникающие между Исполнителем и Заказчиком при заключении, изменении и расторжении настоящего Договора рассматриваются в порядке предусмотренным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66" w:right="0" w:hanging="66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7.5. При не урегулировании Сторонами спора в досудебном порядке спор передается на разрешение в Арбитражный суд Республики Мордовия, в порядке установленном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8. Прочие положения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 </w:t>
      </w:r>
      <w:r>
        <w:rPr>
          <w:rFonts w:ascii="Times New Roman" w:hAnsi="Times New Roman" w:eastAsia="Times New Roman" w:cs="Times New Roman"/>
        </w:rPr>
        <w:t xml:space="preserve">Настоящий договор вступает в силу </w:t>
      </w:r>
      <w:r>
        <w:rPr>
          <w:rFonts w:ascii="Times New Roman" w:hAnsi="Times New Roman" w:eastAsia="Times New Roman" w:cs="Times New Roman"/>
          <w:b/>
          <w:bCs/>
        </w:rPr>
        <w:t xml:space="preserve">с момента подписания</w:t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 xml:space="preserve">и действует до </w:t>
      </w:r>
      <w:r>
        <w:rPr>
          <w:rFonts w:ascii="Times New Roman" w:hAnsi="Times New Roman" w:eastAsia="Times New Roman" w:cs="Times New Roman"/>
          <w:b/>
          <w:bCs/>
        </w:rPr>
        <w:t xml:space="preserve">31.08.2026</w:t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г</w:t>
      </w:r>
      <w:r>
        <w:rPr>
          <w:rFonts w:ascii="Times New Roman" w:hAnsi="Times New Roman" w:eastAsia="Times New Roman" w:cs="Times New Roman"/>
        </w:rPr>
        <w:t xml:space="preserve">, а в части взаиморасчетов и ответственности сторон – до полного исполнения сторонами принятых на себя обязательств.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8.2. </w:t>
      </w:r>
      <w:r>
        <w:rPr>
          <w:rFonts w:ascii="Times New Roman" w:hAnsi="Times New Roman" w:eastAsia="Times New Roman" w:cs="Times New Roman"/>
        </w:rPr>
        <w:t xml:space="preserve">Изменения и дополнения к настоящему договору оформляются в письменном виде, подписываются сторонами и являются неотъемлемой частью настоящего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8.3. </w:t>
      </w:r>
      <w:r>
        <w:rPr>
          <w:rFonts w:ascii="Times New Roman" w:hAnsi="Times New Roman" w:eastAsia="Times New Roman" w:cs="Times New Roman"/>
        </w:rPr>
        <w:t xml:space="preserve">В случае изменения юридического адреса или обслуживающего банка стороны </w:t>
      </w:r>
      <w:r>
        <w:rPr>
          <w:rFonts w:ascii="Times New Roman" w:hAnsi="Times New Roman" w:eastAsia="Times New Roman" w:cs="Times New Roman"/>
        </w:rPr>
        <w:t xml:space="preserve">договора обязаны в семидневный срок уведомить об этом друг друга.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8.4. </w:t>
      </w:r>
      <w:r>
        <w:rPr>
          <w:rFonts w:ascii="Times New Roman" w:hAnsi="Times New Roman" w:eastAsia="Times New Roman" w:cs="Times New Roman"/>
        </w:rPr>
        <w:t xml:space="preserve">Настоящий договор составлен в двух экземплярах, имеющих равную юридическую силу, по одному для каждой из сторон.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9. Адреса и реквизиты сторон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9"/>
        <w:ind w:left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9"/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Заказчик: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Межрегиональное территориальное управление Федерального агентства по управлению государственным имуществом в Республике Мордовия, Республике Марий Эл, Чувашской Республике и Пензенской области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9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Адрес: </w:t>
      </w:r>
      <w:r>
        <w:rPr>
          <w:rFonts w:ascii="Times New Roman" w:hAnsi="Times New Roman" w:eastAsia="Times New Roman" w:cs="Times New Roman"/>
        </w:rPr>
        <w:t xml:space="preserve">430005, Республика Мордовия, г. Саранск, ул. Коммунистическая, д. 50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ind w:firstLine="36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ИНН 1326211305 КПП 132601001 ОГРН 1091326001502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л/с 03091А18320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ЕКС 40102810745370000024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к/с 03211643000000013232 ОКЦ №1 ВВГУ Банка России//УФК по Нижегородской области, г. Нижний Новгород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БИК 012202102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ind w:firstLine="360"/>
        <w:jc w:val="both"/>
        <w:rPr>
          <w:rFonts w:ascii="Times New Roman" w:hAnsi="Times New Roman" w:eastAsia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</w:rPr>
        <w:t xml:space="preserve">Исполнитель: </w:t>
      </w:r>
      <w:r>
        <w:rPr>
          <w:rFonts w:ascii="Times New Roman" w:hAnsi="Times New Roman" w:eastAsia="Times New Roman" w:cs="Times New Roman"/>
          <w:b/>
          <w:bCs/>
          <w:highlight w:val="none"/>
        </w:rPr>
      </w:r>
    </w:p>
    <w:p>
      <w:pPr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highlight w:val="none"/>
        </w:rPr>
      </w:r>
      <w:r>
        <w:rPr>
          <w:rFonts w:ascii="Times New Roman" w:hAnsi="Times New Roman" w:eastAsia="Times New Roman" w:cs="Times New Roman"/>
          <w:b/>
          <w:highlight w:val="none"/>
        </w:rPr>
      </w:r>
    </w:p>
    <w:p>
      <w:pPr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left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  <w:t xml:space="preserve">Исполнитель:</w:t>
      </w:r>
      <w:r>
        <w:rPr>
          <w:rFonts w:ascii="Times New Roman" w:hAnsi="Times New Roman" w:eastAsia="Times New Roman" w:cs="Times New Roman"/>
          <w:b/>
          <w:bCs/>
        </w:rPr>
        <w:t xml:space="preserve">                                                                                            Заказчик: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highlight w:val="none"/>
        </w:rPr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______________                              </w:t>
      </w:r>
      <w:r>
        <w:rPr>
          <w:rFonts w:ascii="Times New Roman" w:hAnsi="Times New Roman" w:eastAsia="Times New Roman" w:cs="Times New Roman"/>
          <w:highlight w:val="none"/>
        </w:rPr>
        <w:t xml:space="preserve">                                            __________________  С.А. Зимин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М.П.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                                                                                                 М.П.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0" w:right="274" w:firstLine="0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left="0" w:right="274" w:firstLine="0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ind w:left="0" w:right="274" w:firstLine="0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ind w:left="0" w:right="274" w:firstLine="0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ind w:left="0" w:right="274" w:firstLine="0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ind w:left="0" w:right="274" w:firstLine="0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ind w:left="0" w:right="274" w:firstLine="0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ind w:left="0" w:right="274" w:firstLine="0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ind w:left="0" w:right="274" w:firstLine="0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ind w:left="0" w:right="274" w:firstLine="0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ind w:left="0" w:right="274" w:firstLine="0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ind w:left="0" w:right="274" w:firstLine="0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ind w:left="0" w:right="274" w:firstLine="0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ind w:left="0" w:right="274" w:firstLine="0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ind w:left="0" w:right="274" w:firstLine="0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Приложение №1 </w:t>
      </w: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                                                                      к Договору </w:t>
      </w:r>
      <w:r>
        <w:rPr>
          <w:rFonts w:ascii="Times New Roman" w:hAnsi="Times New Roman" w:eastAsia="Times New Roman" w:cs="Times New Roman"/>
        </w:rPr>
        <w:t xml:space="preserve">№____ от _______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center"/>
        <w:rPr>
          <w:rFonts w:ascii="Arial Narrow" w:hAnsi="Arial Narrow"/>
        </w:rPr>
      </w:pPr>
      <w:r>
        <w:rPr>
          <w:rFonts w:ascii="Times New Roman" w:hAnsi="Times New Roman"/>
          <w:color w:val="000000"/>
          <w:sz w:val="22"/>
          <w:highlight w:val="none"/>
        </w:rPr>
      </w:r>
      <w:r>
        <w:rPr>
          <w:rFonts w:ascii="Times New Roman" w:hAnsi="Times New Roman"/>
          <w:color w:val="000000"/>
          <w:sz w:val="22"/>
          <w:highlight w:val="none"/>
        </w:rPr>
      </w:r>
      <w:r>
        <w:rPr>
          <w:rFonts w:ascii="Arial Narrow" w:hAnsi="Arial Narrow"/>
        </w:rPr>
      </w:r>
    </w:p>
    <w:p>
      <w:pPr>
        <w:jc w:val="center"/>
        <w:rPr>
          <w:rFonts w:ascii="Times New Roman" w:hAnsi="Times New Roman"/>
          <w:color w:val="000000"/>
          <w:sz w:val="22"/>
          <w:szCs w:val="22"/>
          <w:highlight w:val="none"/>
        </w:rPr>
      </w:pPr>
      <w:r>
        <w:rPr>
          <w:rFonts w:ascii="Times New Roman" w:hAnsi="Times New Roman"/>
          <w:color w:val="000000"/>
          <w:sz w:val="22"/>
          <w:highlight w:val="none"/>
        </w:rPr>
      </w:r>
      <w:r>
        <w:rPr>
          <w:rFonts w:ascii="Times New Roman" w:hAnsi="Times New Roman"/>
          <w:color w:val="000000"/>
          <w:sz w:val="22"/>
          <w:highlight w:val="none"/>
        </w:rPr>
      </w:r>
      <w:r>
        <w:rPr>
          <w:rFonts w:ascii="Times New Roman" w:hAnsi="Times New Roman"/>
          <w:color w:val="000000"/>
          <w:sz w:val="22"/>
          <w:szCs w:val="22"/>
          <w:highlight w:val="none"/>
        </w:rPr>
      </w:r>
    </w:p>
    <w:p>
      <w:pPr>
        <w:jc w:val="center"/>
        <w:rPr>
          <w:rFonts w:ascii="Times New Roman" w:hAnsi="Times New Roman"/>
          <w:color w:val="000000"/>
          <w:sz w:val="22"/>
          <w:szCs w:val="22"/>
          <w:highlight w:val="none"/>
        </w:rPr>
      </w:pPr>
      <w:r>
        <w:rPr>
          <w:rFonts w:ascii="Times New Roman" w:hAnsi="Times New Roman"/>
          <w:b/>
          <w:bCs/>
          <w:color w:val="000000"/>
          <w:sz w:val="22"/>
        </w:rPr>
        <w:t xml:space="preserve">Техническое</w:t>
      </w:r>
      <w:r>
        <w:rPr>
          <w:rFonts w:ascii="Times New Roman" w:hAnsi="Times New Roman"/>
          <w:b/>
          <w:bCs/>
          <w:color w:val="000000"/>
          <w:sz w:val="22"/>
        </w:rPr>
        <w:t xml:space="preserve"> задание</w:t>
      </w:r>
      <w:r>
        <w:rPr>
          <w:rFonts w:ascii="Arial Narrow" w:hAnsi="Arial Narrow"/>
          <w:b/>
          <w:bCs/>
        </w:rPr>
      </w:r>
      <w:r>
        <w:rPr>
          <w:rFonts w:ascii="Times New Roman" w:hAnsi="Times New Roman"/>
          <w:color w:val="000000"/>
          <w:sz w:val="22"/>
          <w:szCs w:val="22"/>
          <w:highlight w:val="none"/>
        </w:rPr>
      </w:r>
    </w:p>
    <w:p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</w:r>
      <w:r>
        <w:rPr>
          <w:rFonts w:ascii="Arial Narrow" w:hAnsi="Arial Narrow"/>
          <w:b/>
          <w:bCs/>
        </w:rPr>
      </w:r>
      <w:r>
        <w:rPr>
          <w:rFonts w:ascii="Arial Narrow" w:hAnsi="Arial Narrow"/>
        </w:rPr>
      </w:r>
    </w:p>
    <w:tbl>
      <w:tblPr>
        <w:tblStyle w:val="849"/>
        <w:tblW w:w="0" w:type="auto"/>
        <w:tblInd w:w="-6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3"/>
        <w:gridCol w:w="1811"/>
        <w:gridCol w:w="1134"/>
        <w:gridCol w:w="567"/>
        <w:gridCol w:w="1134"/>
        <w:gridCol w:w="3685"/>
        <w:gridCol w:w="1876"/>
      </w:tblGrid>
      <w:tr>
        <w:tblPrEx/>
        <w:trPr>
          <w:trHeight w:val="51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3" w:type="dxa"/>
            <w:textDirection w:val="lrTb"/>
            <w:noWrap w:val="false"/>
          </w:tcPr>
          <w:p>
            <w:pPr>
              <w:jc w:val="center"/>
              <w:spacing w:line="200" w:lineRule="atLeast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line="20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</w:t>
            </w:r>
            <w:r>
              <w:rPr>
                <w:rFonts w:ascii="Times New Roman" w:hAnsi="Times New Roman"/>
                <w:color w:val="000000"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1" w:type="dxa"/>
            <w:textDirection w:val="lrTb"/>
            <w:noWrap w:val="false"/>
          </w:tcPr>
          <w:p>
            <w:pPr>
              <w:jc w:val="center"/>
              <w:spacing w:line="200" w:lineRule="atLeast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Наименование Товара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line="200" w:lineRule="atLeast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ОКПД</w:t>
            </w:r>
            <w:r>
              <w:rPr>
                <w:rFonts w:ascii="Times New Roman" w:hAnsi="Times New Roman"/>
                <w:color w:val="000000"/>
              </w:rPr>
              <w:t xml:space="preserve">2</w:t>
            </w:r>
            <w:r>
              <w:rPr>
                <w:rFonts w:ascii="Times New Roman" w:hAnsi="Times New Roman"/>
                <w:color w:val="000000"/>
              </w:rPr>
              <w:t xml:space="preserve">/ </w:t>
            </w:r>
            <w:r>
              <w:rPr>
                <w:rFonts w:ascii="Times New Roman" w:hAnsi="Times New Roman"/>
                <w:color w:val="000000"/>
              </w:rPr>
              <w:t xml:space="preserve">КТРУ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line="200" w:lineRule="atLeast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Ед. изм.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line="200" w:lineRule="atLeast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jc w:val="center"/>
              <w:spacing w:line="20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Наименование товара, краткая характеристика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6" w:type="dxa"/>
            <w:textDirection w:val="lrTb"/>
            <w:noWrap w:val="false"/>
          </w:tcPr>
          <w:p>
            <w:pPr>
              <w:jc w:val="center"/>
              <w:spacing w:line="200" w:lineRule="atLeast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Обоснование требований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33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3" w:type="dxa"/>
            <w:textDirection w:val="lrTb"/>
            <w:noWrap w:val="false"/>
          </w:tcPr>
          <w:p>
            <w:pPr>
              <w:jc w:val="center"/>
              <w:spacing w:after="0" w:line="20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Бланк распоряжения         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t xml:space="preserve">17.23.13.143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шт.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2000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Номерные бланки </w:t>
            </w:r>
            <w:r>
              <w:rPr>
                <w:rFonts w:ascii="Times New Roman" w:hAnsi="Times New Roman"/>
                <w:color w:val="000000"/>
              </w:rPr>
              <w:t xml:space="preserve">распоряжений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widowControl w:val="off"/>
              <w:rPr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Номер бланка должен располагаться с обратной стороны листа в нижнем </w:t>
            </w:r>
            <w:r>
              <w:rPr>
                <w:rFonts w:ascii="Times New Roman" w:hAnsi="Times New Roman"/>
                <w:color w:val="000000"/>
              </w:rPr>
              <w:t xml:space="preserve">ле</w:t>
            </w:r>
            <w:r>
              <w:rPr>
                <w:rFonts w:ascii="Times New Roman" w:hAnsi="Times New Roman"/>
                <w:color w:val="000000"/>
              </w:rPr>
              <w:t xml:space="preserve">вом углу</w:t>
            </w:r>
            <w:r>
              <w:rPr>
                <w:rFonts w:ascii="Times New Roman" w:hAnsi="Times New Roman"/>
                <w:color w:val="000000"/>
              </w:rPr>
              <w:t xml:space="preserve"> (нумерацию начать с № </w:t>
            </w:r>
            <w:r>
              <w:rPr>
                <w:rFonts w:ascii="Times New Roman" w:hAnsi="Times New Roman"/>
                <w:color w:val="000000"/>
                <w:highlight w:val="white"/>
              </w:rPr>
              <w:t xml:space="preserve">032801</w:t>
            </w:r>
            <w:r>
              <w:rPr>
                <w:rFonts w:ascii="Times New Roman" w:hAnsi="Times New Roman"/>
                <w:color w:val="000000"/>
                <w:highlight w:val="white"/>
              </w:rPr>
              <w:t xml:space="preserve">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 xml:space="preserve">соответствии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</w:rPr>
              <w:t xml:space="preserve">требованиями заказчика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55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3" w:type="dxa"/>
            <w:textDirection w:val="lrTb"/>
            <w:noWrap w:val="false"/>
          </w:tcPr>
          <w:p>
            <w:pPr>
              <w:jc w:val="center"/>
              <w:spacing w:after="0" w:line="200" w:lineRule="atLeas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jc w:val="center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Требования к характеристикам поставляемого товара.</w:t>
      </w:r>
      <w:r>
        <w:rPr>
          <w:rFonts w:ascii="Times New Roman" w:hAnsi="Times New Roman"/>
          <w:b/>
          <w:color w:val="000000"/>
        </w:rPr>
      </w:r>
      <w:r>
        <w:rPr>
          <w:rFonts w:ascii="Times New Roman" w:hAnsi="Times New Roman"/>
          <w:b/>
          <w:color w:val="000000"/>
        </w:rPr>
      </w:r>
    </w:p>
    <w:p>
      <w:pPr>
        <w:ind w:left="0" w:firstLine="567"/>
        <w:jc w:val="center"/>
        <w:spacing w:after="0" w:line="240" w:lineRule="auto"/>
        <w:tabs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Общие требования к продукции: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-142" w:right="0" w:firstLine="0"/>
        <w:jc w:val="both"/>
        <w:spacing w:beforeAutospacing="1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Поставляемый товар должен быть новым товаром (товаром, который не был в употреблении, в ремонте, в том </w:t>
      </w:r>
      <w:r>
        <w:rPr>
          <w:rFonts w:ascii="Times New Roman" w:hAnsi="Times New Roman"/>
        </w:rPr>
        <w:t xml:space="preserve">числе</w:t>
      </w:r>
      <w:r>
        <w:rPr>
          <w:rFonts w:ascii="Times New Roman" w:hAnsi="Times New Roman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свойства), не бывшим на консервации.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</w:p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</w:p>
    <w:p>
      <w:pPr>
        <w:jc w:val="left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  <w:t xml:space="preserve">Исполнитель:</w:t>
      </w:r>
      <w:r>
        <w:rPr>
          <w:rFonts w:ascii="Times New Roman" w:hAnsi="Times New Roman" w:eastAsia="Times New Roman" w:cs="Times New Roman"/>
          <w:b/>
          <w:bCs/>
        </w:rPr>
        <w:t xml:space="preserve">                                                                                            Заказчик: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                                                                                                     Врио руководителя МТУ Росимущества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                                                                                                     в Республике Мордовия, Республике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                                                                                                       Марий Эл, Чувашской Республике и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  <w:t xml:space="preserve">                                                                                                         Пензенской области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______________  А.С. Голиков</w:t>
      </w:r>
      <w:r>
        <w:rPr>
          <w:rFonts w:ascii="Times New Roman" w:hAnsi="Times New Roman" w:eastAsia="Times New Roman" w:cs="Times New Roman"/>
          <w:highlight w:val="none"/>
        </w:rPr>
        <w:t xml:space="preserve">                                                   __________________  С.А. Зимин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М.П.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                                                                                                 М.П.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rPr>
          <w:rFonts w:ascii="Arial Narrow" w:hAnsi="Arial Narrow"/>
        </w:rPr>
      </w:pPr>
      <w:r>
        <w:rPr>
          <w:rFonts w:ascii="Arial Narrow" w:hAnsi="Arial Narrow"/>
          <w:highlight w:val="none"/>
        </w:rPr>
      </w:r>
      <w:r>
        <w:rPr>
          <w:rFonts w:ascii="Arial Narrow" w:hAnsi="Arial Narrow"/>
          <w:highlight w:val="none"/>
        </w:rPr>
      </w:r>
      <w:r>
        <w:rPr>
          <w:rFonts w:ascii="Arial Narrow" w:hAnsi="Arial Narrow"/>
        </w:rPr>
      </w:r>
    </w:p>
    <w:p>
      <w:pPr>
        <w:rPr>
          <w:rFonts w:ascii="Arial Narrow" w:hAnsi="Arial Narrow"/>
          <w:highlight w:val="none"/>
        </w:rPr>
      </w:pPr>
      <w:r>
        <w:rPr>
          <w:rFonts w:ascii="Arial Narrow" w:hAnsi="Arial Narrow"/>
          <w:highlight w:val="none"/>
        </w:rPr>
      </w:r>
      <w:r>
        <w:rPr>
          <w:rFonts w:ascii="Arial Narrow" w:hAnsi="Arial Narrow"/>
          <w:highlight w:val="none"/>
        </w:rPr>
      </w:r>
      <w:r>
        <w:rPr>
          <w:rFonts w:ascii="Arial Narrow" w:hAnsi="Arial Narrow"/>
          <w:highlight w:val="none"/>
        </w:rPr>
      </w:r>
    </w:p>
    <w:p>
      <w:pPr>
        <w:rPr>
          <w:rFonts w:ascii="Arial Narrow" w:hAnsi="Arial Narrow"/>
          <w:highlight w:val="none"/>
        </w:rPr>
      </w:pPr>
      <w:r>
        <w:rPr>
          <w:rFonts w:ascii="Arial Narrow" w:hAnsi="Arial Narrow"/>
          <w:highlight w:val="none"/>
        </w:rPr>
      </w:r>
      <w:r>
        <w:rPr>
          <w:rFonts w:ascii="Arial Narrow" w:hAnsi="Arial Narrow"/>
          <w:highlight w:val="none"/>
        </w:rPr>
      </w:r>
      <w:r>
        <w:rPr>
          <w:rFonts w:ascii="Arial Narrow" w:hAnsi="Arial Narrow"/>
          <w:highlight w:val="none"/>
        </w:rPr>
      </w:r>
    </w:p>
    <w:p>
      <w:pPr>
        <w:rPr>
          <w:rFonts w:ascii="Arial Narrow" w:hAnsi="Arial Narrow"/>
          <w:highlight w:val="none"/>
        </w:rPr>
      </w:pPr>
      <w:r>
        <w:rPr>
          <w:rFonts w:ascii="Arial Narrow" w:hAnsi="Arial Narrow"/>
          <w:highlight w:val="none"/>
        </w:rPr>
      </w:r>
      <w:r>
        <w:rPr>
          <w:rFonts w:ascii="Arial Narrow" w:hAnsi="Arial Narrow"/>
          <w:highlight w:val="none"/>
        </w:rPr>
      </w:r>
      <w:r>
        <w:rPr>
          <w:rFonts w:ascii="Arial Narrow" w:hAnsi="Arial Narrow"/>
          <w:highlight w:val="none"/>
        </w:rPr>
      </w:r>
    </w:p>
    <w:p>
      <w:pPr>
        <w:rPr>
          <w:rFonts w:ascii="Arial Narrow" w:hAnsi="Arial Narrow"/>
          <w:highlight w:val="none"/>
        </w:rPr>
      </w:pPr>
      <w:r>
        <w:rPr>
          <w:rFonts w:ascii="Arial Narrow" w:hAnsi="Arial Narrow"/>
          <w:highlight w:val="none"/>
        </w:rPr>
      </w:r>
      <w:r>
        <w:rPr>
          <w:rFonts w:ascii="Arial Narrow" w:hAnsi="Arial Narrow"/>
          <w:highlight w:val="none"/>
        </w:rPr>
      </w:r>
      <w:r>
        <w:rPr>
          <w:rFonts w:ascii="Arial Narrow" w:hAnsi="Arial Narrow"/>
          <w:highlight w:val="none"/>
        </w:rPr>
      </w:r>
    </w:p>
    <w:p>
      <w:pPr>
        <w:rPr>
          <w:rFonts w:ascii="Arial Narrow" w:hAnsi="Arial Narrow"/>
          <w:highlight w:val="none"/>
        </w:rPr>
      </w:pPr>
      <w:r>
        <w:rPr>
          <w:rFonts w:ascii="Arial Narrow" w:hAnsi="Arial Narrow"/>
          <w:highlight w:val="none"/>
        </w:rPr>
      </w:r>
      <w:r>
        <w:rPr>
          <w:rFonts w:ascii="Arial Narrow" w:hAnsi="Arial Narrow"/>
          <w:highlight w:val="none"/>
        </w:rPr>
      </w:r>
      <w:r>
        <w:rPr>
          <w:rFonts w:ascii="Arial Narrow" w:hAnsi="Arial Narrow"/>
          <w:highlight w:val="none"/>
        </w:rPr>
      </w:r>
    </w:p>
    <w:p>
      <w:pPr>
        <w:rPr>
          <w:rFonts w:ascii="Arial Narrow" w:hAnsi="Arial Narrow"/>
          <w:highlight w:val="none"/>
        </w:rPr>
      </w:pPr>
      <w:r>
        <w:rPr>
          <w:rFonts w:ascii="Arial Narrow" w:hAnsi="Arial Narrow"/>
          <w:highlight w:val="none"/>
        </w:rPr>
      </w:r>
      <w:r>
        <w:rPr>
          <w:rFonts w:ascii="Arial Narrow" w:hAnsi="Arial Narrow"/>
          <w:highlight w:val="none"/>
        </w:rPr>
      </w:r>
      <w:r>
        <w:rPr>
          <w:rFonts w:ascii="Arial Narrow" w:hAnsi="Arial Narrow"/>
          <w:highlight w:val="none"/>
        </w:rPr>
      </w:r>
    </w:p>
    <w:p>
      <w:pPr>
        <w:rPr>
          <w:rFonts w:ascii="Arial Narrow" w:hAnsi="Arial Narrow"/>
          <w:highlight w:val="none"/>
        </w:rPr>
      </w:pPr>
      <w:r>
        <w:rPr>
          <w:rFonts w:ascii="Arial Narrow" w:hAnsi="Arial Narrow"/>
          <w:highlight w:val="none"/>
        </w:rPr>
      </w:r>
      <w:r>
        <w:rPr>
          <w:rFonts w:ascii="Arial Narrow" w:hAnsi="Arial Narrow"/>
          <w:highlight w:val="none"/>
        </w:rPr>
      </w:r>
      <w:r>
        <w:rPr>
          <w:rFonts w:ascii="Arial Narrow" w:hAnsi="Arial Narrow"/>
          <w:highlight w:val="none"/>
        </w:rPr>
      </w:r>
    </w:p>
    <w:p>
      <w:pPr>
        <w:contextualSpacing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Приложение №2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                                                                                                                          к Договору №       от     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left"/>
        <w:spacing w:after="0" w:line="240" w:lineRule="auto"/>
        <w:widowControl w:val="off"/>
        <w:rPr>
          <w:rFonts w:ascii="Times New Roman" w:hAnsi="Times New Roman"/>
          <w:b w:val="0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Спецификация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 w:val="0"/>
        </w:rPr>
      </w:r>
    </w:p>
    <w:p>
      <w:pPr>
        <w:ind w:left="4680" w:firstLine="0"/>
        <w:spacing w:after="0" w:line="240" w:lineRule="auto"/>
        <w:widowControl w:val="o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tbl>
      <w:tblPr>
        <w:tblStyle w:val="84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8"/>
        <w:gridCol w:w="1699"/>
        <w:gridCol w:w="1539"/>
        <w:gridCol w:w="1426"/>
        <w:gridCol w:w="1014"/>
        <w:gridCol w:w="1711"/>
        <w:gridCol w:w="175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</w:rPr>
              <w:t xml:space="preserve">п</w:t>
            </w:r>
            <w:r>
              <w:rPr>
                <w:rFonts w:ascii="Times New Roman" w:hAnsi="Times New Roman"/>
                <w:b/>
              </w:rPr>
              <w:t xml:space="preserve">/п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Страна происхождения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Единица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измерения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Количество</w:t>
            </w:r>
            <w:r>
              <w:rPr>
                <w:rFonts w:ascii="Times New Roman" w:hAnsi="Times New Roman"/>
                <w:b/>
              </w:rPr>
              <w:t xml:space="preserve">,</w:t>
            </w:r>
            <w:r>
              <w:rPr>
                <w:rFonts w:ascii="Times New Roman" w:hAnsi="Times New Roman"/>
                <w:b/>
              </w:rPr>
              <w:t xml:space="preserve"> шт.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Цена за единицу</w:t>
            </w:r>
            <w:r>
              <w:rPr>
                <w:rFonts w:ascii="Times New Roman" w:hAnsi="Times New Roman"/>
                <w:b/>
              </w:rPr>
              <w:t xml:space="preserve">,</w:t>
            </w:r>
            <w:r>
              <w:rPr>
                <w:rFonts w:ascii="Times New Roman" w:hAnsi="Times New Roman"/>
                <w:b/>
              </w:rPr>
              <w:t xml:space="preserve"> руб. </w:t>
            </w:r>
            <w:r>
              <w:rPr>
                <w:rFonts w:ascii="Times New Roman" w:hAnsi="Times New Roman"/>
                <w:b/>
              </w:rPr>
              <w:t xml:space="preserve"> без НДС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Стоимость, руб.</w:t>
            </w:r>
            <w:r>
              <w:rPr>
                <w:rFonts w:ascii="Times New Roman" w:hAnsi="Times New Roman"/>
                <w:b/>
              </w:rPr>
              <w:t xml:space="preserve"> без НДС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" w:type="dxa"/>
            <w:textDirection w:val="lrTb"/>
            <w:noWrap w:val="false"/>
          </w:tcPr>
          <w:p>
            <w:pPr>
              <w:jc w:val="center"/>
              <w:spacing w:after="0" w:line="200" w:lineRule="atLeast"/>
              <w:widowControl w:val="off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Бланк распоряжения         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Россия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шт.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2000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51" w:type="dxa"/>
            <w:textDirection w:val="lrTb"/>
            <w:noWrap w:val="false"/>
          </w:tcPr>
          <w:p>
            <w:r/>
            <w:r/>
          </w:p>
        </w:tc>
      </w:tr>
    </w:tbl>
    <w:p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Arial Narrow" w:hAnsi="Arial Narrow"/>
          <w:b/>
          <w:bCs/>
        </w:rPr>
      </w:r>
    </w:p>
    <w:p>
      <w:pPr>
        <w:jc w:val="center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 Итого: </w:t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jc w:val="center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 w:val="0"/>
          <w:bCs w:val="0"/>
        </w:rPr>
      </w:r>
      <w:r>
        <w:rPr>
          <w:rFonts w:ascii="Arial Narrow" w:hAnsi="Arial Narrow"/>
          <w:b w:val="0"/>
          <w:bCs w:val="0"/>
        </w:rPr>
      </w:r>
      <w:r>
        <w:rPr>
          <w:rFonts w:ascii="Arial Narrow" w:hAnsi="Arial Narrow"/>
          <w:b/>
        </w:rPr>
      </w:r>
    </w:p>
    <w:p>
      <w:pPr>
        <w:rPr>
          <w:rFonts w:ascii="Arial Narrow" w:hAnsi="Arial Narrow"/>
        </w:rPr>
      </w:pPr>
      <w:r>
        <w:rPr>
          <w:rFonts w:ascii="Arial Narrow" w:hAnsi="Arial Narrow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  <wp:simplePos x="0" y="0"/>
                <wp:positionH relativeFrom="column">
                  <wp:posOffset>3567243</wp:posOffset>
                </wp:positionH>
                <wp:positionV relativeFrom="page">
                  <wp:posOffset>3405249</wp:posOffset>
                </wp:positionV>
                <wp:extent cx="2933700" cy="2628900"/>
                <wp:effectExtent l="0" t="0" r="0" b="0"/>
                <wp:wrapNone/>
                <wp:docPr id="1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0"/>
                      <wps:spPr bwMode="auto">
                        <a:xfrm rot="0" flipH="0" flipV="0">
                          <a:off x="0" y="0"/>
                          <a:ext cx="2933698" cy="26289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39"/>
                              <w:rPr>
                                <w:rFonts w:ascii="XO Thames" w:hAnsi="XO Thames" w:cs="XO Thames"/>
                                <w:b/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rFonts w:ascii="XO Thames" w:hAnsi="XO Thames" w:cs="XO Thames"/>
                                <w:b/>
                                <w:color w:val="000000"/>
                                <w:spacing w:val="0"/>
                              </w:rPr>
                            </w:r>
                            <w:r>
                              <w:rPr>
                                <w:rFonts w:ascii="XO Thames" w:hAnsi="XO Thames" w:cs="XO Thames"/>
                                <w:b/>
                                <w:color w:val="000000"/>
                                <w:spacing w:val="0"/>
                              </w:rPr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251658240;o:allowoverlap:true;o:allowincell:true;mso-position-horizontal-relative:text;margin-left:280.89pt;mso-position-horizontal:absolute;mso-position-vertical-relative:page;margin-top:268.13pt;mso-position-vertical:absolute;width:231.00pt;height:207.00pt;mso-wrap-distance-left:0.00pt;mso-wrap-distance-top:0.00pt;mso-wrap-distance-right:0.00pt;mso-wrap-distance-bottom:0.00pt;rotation:0;v-text-anchor:top;visibility:visible;" path="m0,0l0,100000l100000,100000l100000,0xe" coordsize="100000,100000" filled="f" stroked="f">
                <v:path textboxrect="0,0,100000,100000"/>
                <v:textbox inset="0,0,0,0">
                  <w:txbxContent>
                    <w:p>
                      <w:pPr>
                        <w:pStyle w:val="839"/>
                        <w:rPr>
                          <w:rFonts w:ascii="XO Thames" w:hAnsi="XO Thames" w:cs="XO Thames"/>
                          <w:b/>
                          <w:color w:val="000000"/>
                          <w:spacing w:val="0"/>
                        </w:rPr>
                      </w:pPr>
                      <w:r>
                        <w:rPr>
                          <w:rFonts w:ascii="XO Thames" w:hAnsi="XO Thames" w:cs="XO Thames"/>
                          <w:b/>
                          <w:color w:val="000000"/>
                          <w:spacing w:val="0"/>
                        </w:rPr>
                      </w:r>
                      <w:r>
                        <w:rPr>
                          <w:rFonts w:ascii="XO Thames" w:hAnsi="XO Thames" w:cs="XO Thames"/>
                          <w:b/>
                          <w:color w:val="000000"/>
                          <w:spacing w:val="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jc w:val="left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  <w:t xml:space="preserve">Исполнитель:</w:t>
      </w:r>
      <w:r>
        <w:rPr>
          <w:rFonts w:ascii="Times New Roman" w:hAnsi="Times New Roman" w:eastAsia="Times New Roman" w:cs="Times New Roman"/>
          <w:b/>
          <w:bCs/>
        </w:rPr>
        <w:t xml:space="preserve">                                                                                            Заказчик: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                                                                                          Врио руководителя МТУ Росимущества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highlight w:val="none"/>
        </w:rPr>
        <w:t xml:space="preserve">                                                                                         в Республике Мордовия, Республике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                                                                                          Марий Эл, Чувашской Республике и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  <w:t xml:space="preserve">                                                                                                         Пензенской области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______________  </w:t>
      </w:r>
      <w:r>
        <w:rPr>
          <w:rFonts w:ascii="Times New Roman" w:hAnsi="Times New Roman" w:eastAsia="Times New Roman" w:cs="Times New Roman"/>
          <w:highlight w:val="none"/>
        </w:rPr>
        <w:t xml:space="preserve">                                                 __________________  С.А. Зимин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М.П.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                                                                                                 М.П.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8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sectPr>
      <w:footnotePr/>
      <w:endnotePr/>
      <w:type w:val="nextPage"/>
      <w:pgSz w:w="11906" w:h="16838" w:orient="portrait"/>
      <w:pgMar w:top="360" w:right="386" w:bottom="540" w:left="90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Arial Narrow">
    <w:panose1 w:val="020B0604020202020204"/>
  </w:font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9"/>
    <w:next w:val="839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9"/>
    <w:next w:val="839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9"/>
    <w:next w:val="839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9"/>
    <w:next w:val="839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9"/>
    <w:uiPriority w:val="34"/>
    <w:qFormat/>
    <w:pPr>
      <w:contextualSpacing/>
      <w:ind w:left="720"/>
    </w:p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link w:val="689"/>
    <w:uiPriority w:val="99"/>
  </w:style>
  <w:style w:type="paragraph" w:styleId="691">
    <w:name w:val="Footer"/>
    <w:basedOn w:val="839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link w:val="691"/>
    <w:uiPriority w:val="99"/>
  </w:style>
  <w:style w:type="paragraph" w:styleId="693">
    <w:name w:val="Caption"/>
    <w:basedOn w:val="839"/>
    <w:next w:val="839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next w:val="839"/>
    <w:link w:val="839"/>
    <w:qFormat/>
    <w:rPr>
      <w:sz w:val="24"/>
      <w:szCs w:val="24"/>
      <w:lang w:val="ru-RU" w:eastAsia="ru-RU" w:bidi="ar-SA"/>
    </w:rPr>
  </w:style>
  <w:style w:type="character" w:styleId="840">
    <w:name w:val="Основной шрифт абзаца"/>
    <w:next w:val="840"/>
    <w:link w:val="839"/>
    <w:semiHidden/>
  </w:style>
  <w:style w:type="table" w:styleId="841">
    <w:name w:val="Обычная таблица"/>
    <w:next w:val="841"/>
    <w:link w:val="839"/>
    <w:semiHidden/>
    <w:tblPr/>
  </w:style>
  <w:style w:type="numbering" w:styleId="842">
    <w:name w:val="Нет списка"/>
    <w:next w:val="842"/>
    <w:link w:val="839"/>
    <w:semiHidden/>
  </w:style>
  <w:style w:type="paragraph" w:styleId="843">
    <w:name w:val="p1"/>
    <w:basedOn w:val="839"/>
    <w:next w:val="843"/>
    <w:link w:val="839"/>
    <w:pPr>
      <w:spacing w:before="100" w:beforeAutospacing="1" w:after="100" w:afterAutospacing="1"/>
    </w:pPr>
  </w:style>
  <w:style w:type="character" w:styleId="844">
    <w:name w:val="s1"/>
    <w:basedOn w:val="840"/>
    <w:next w:val="844"/>
    <w:link w:val="839"/>
  </w:style>
  <w:style w:type="paragraph" w:styleId="845">
    <w:name w:val="No Spacing"/>
    <w:next w:val="845"/>
    <w:link w:val="839"/>
    <w:rPr>
      <w:rFonts w:ascii="Calibri" w:hAnsi="Calibri"/>
      <w:sz w:val="22"/>
      <w:szCs w:val="22"/>
      <w:lang w:val="ru-RU" w:eastAsia="en-US" w:bidi="ar-SA"/>
    </w:rPr>
  </w:style>
  <w:style w:type="paragraph" w:styleId="846">
    <w:name w:val="Текст выноски"/>
    <w:basedOn w:val="839"/>
    <w:next w:val="846"/>
    <w:link w:val="839"/>
    <w:semiHidden/>
    <w:rPr>
      <w:rFonts w:ascii="Tahoma" w:hAnsi="Tahoma" w:cs="Tahoma"/>
      <w:sz w:val="16"/>
      <w:szCs w:val="16"/>
    </w:rPr>
  </w:style>
  <w:style w:type="character" w:styleId="847" w:default="1">
    <w:name w:val="Default Paragraph Font"/>
    <w:uiPriority w:val="1"/>
    <w:semiHidden/>
    <w:unhideWhenUsed/>
  </w:style>
  <w:style w:type="numbering" w:styleId="848" w:default="1">
    <w:name w:val="No List"/>
    <w:uiPriority w:val="99"/>
    <w:semiHidden/>
    <w:unhideWhenUsed/>
  </w:style>
  <w:style w:type="table" w:styleId="8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Алекс</dc:creator>
  <cp:lastModifiedBy>natalia.bukharova</cp:lastModifiedBy>
  <cp:revision>5</cp:revision>
  <dcterms:created xsi:type="dcterms:W3CDTF">2026-06-03T10:06:00Z</dcterms:created>
  <dcterms:modified xsi:type="dcterms:W3CDTF">2026-06-30T07:13:23Z</dcterms:modified>
  <cp:version>786432</cp:version>
</cp:coreProperties>
</file>