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0269" w:type="dxa"/>
        <w:tblInd w:w="-525" w:type="dxa"/>
        <w:tblLayout w:type="autofit"/>
        <w:tblCellMar>
          <w:left w:w="105" w:type="dxa"/>
          <w:top w:w="0" w:type="dxa"/>
          <w:right w:w="105" w:type="dxa"/>
          <w:bottom w:w="0" w:type="dxa"/>
        </w:tblCellMar>
        <w:tblLook w:val="04A0" w:firstRow="1" w:lastRow="0" w:firstColumn="1" w:lastColumn="0" w:noHBand="0" w:noVBand="1"/>
      </w:tblPr>
      <w:tblGrid>
        <w:gridCol w:w="2430"/>
        <w:gridCol w:w="2880"/>
        <w:gridCol w:w="1679"/>
        <w:gridCol w:w="393"/>
        <w:gridCol w:w="574"/>
        <w:gridCol w:w="2313"/>
      </w:tblGrid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22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ГОСУДАРСТВЕННЫЙ</w:t>
            </w: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КОНТРАКТ</w:t>
            </w: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 №</w:t>
            </w: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______</w:t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59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22"/>
              <w:jc w:val="center"/>
              <w:rPr>
                <w:rFonts w:ascii="Tinos" w:hAnsi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ИКЗ: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2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6 1 5503085391 550301001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0007 000 0000 000</w:t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354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30" w:type="dxa"/>
            <w:vAlign w:val="top"/>
            <w:textDirection w:val="lrTb"/>
            <w:noWrap w:val="false"/>
          </w:tcPr>
          <w:p>
            <w:pPr>
              <w:pStyle w:val="922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2"/>
              <w:ind w:right="986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г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Калачинск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59" w:type="dxa"/>
            <w:vAlign w:val="top"/>
            <w:textDirection w:val="lrTb"/>
            <w:noWrap w:val="false"/>
          </w:tcPr>
          <w:p>
            <w:pPr>
              <w:pStyle w:val="922"/>
              <w:jc w:val="center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3" w:type="dxa"/>
            <w:vAlign w:val="top"/>
            <w:textDirection w:val="lrTb"/>
            <w:noWrap w:val="false"/>
          </w:tcPr>
          <w:p>
            <w:pPr>
              <w:pStyle w:val="922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574" w:type="dxa"/>
            <w:vAlign w:val="top"/>
            <w:textDirection w:val="lrTb"/>
            <w:noWrap w:val="false"/>
          </w:tcPr>
          <w:p>
            <w:pPr>
              <w:pStyle w:val="922"/>
              <w:jc w:val="center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2313" w:type="dxa"/>
            <w:vAlign w:val="top"/>
            <w:textDirection w:val="lrTb"/>
            <w:noWrap w:val="false"/>
          </w:tcPr>
          <w:p>
            <w:pPr>
              <w:pStyle w:val="922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22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 __________________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22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1738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22"/>
              <w:ind w:firstLine="72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Управление Федеральной службы государственной регистрации, кадастра и картографии 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по Омской области (Управление Росреестра по Омской области)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от имени Российской Федерации, именуемое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в дальнейшем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«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»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в лице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врио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руководителя Управления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Лапуста Сергея Эдуардовича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действующего на основании приказа от 23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10.20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2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5 №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233-к, с одной стороны, и 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бюджетное учреждение здравоохранения Омской области «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Калачинская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 центральная районная больница» 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(БУЗОО «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Калачинская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 ЦРБ»)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именуемое в дальнейшем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«Исполнитель»,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в лице главного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врача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____________________________________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действующего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на основании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Устава,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с другой стороны, совместно именуемые «Стороны»,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на основании пункта 4 части 1 статьи 93 Федерального закона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от 05.04.2013 № 44-ФЗ «О контрактной системе в сфере закупок товаров, работ, услуг для обеспечения государственных и муниципальных нужд»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заключили настоящий Государственн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ый контракт (далее – Контракт)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 нижеследующем: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22"/>
              <w:jc w:val="center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22"/>
              <w:jc w:val="center"/>
              <w:tabs>
                <w:tab w:val="left" w:pos="327" w:leader="none"/>
              </w:tabs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1. ПРЕДМЕТ КОНТРАКТА</w:t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</w:p>
          <w:p>
            <w:pPr>
              <w:pStyle w:val="922"/>
              <w:jc w:val="center"/>
              <w:tabs>
                <w:tab w:val="left" w:pos="327" w:leader="none"/>
              </w:tabs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59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1.1. Исполнитель обязуется оказать услуги по проведению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предрейсовых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мед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и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цинских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осмотров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водителей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(далее – осмотр)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Заказчика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(далее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–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Услуги) в соответствии с Приложение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м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к настоящему Контракту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а 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 принять и оплатить данные Услуги.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9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1.2. Срок оказания Услуг – с </w:t>
            </w: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  <w:t xml:space="preserve">0</w:t>
            </w: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  <w:t xml:space="preserve">1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white"/>
              </w:rPr>
              <w:t xml:space="preserve">.06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white"/>
              </w:rPr>
              <w:t xml:space="preserve">.20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6 по 3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1.1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2.20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2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6.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5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            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Услуги оказываются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 в рабочее время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,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по месту нахождения Исполнителя, расположенного 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по адресу: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646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905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, Омская область,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Калачинский район, г. Калачинск,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ул.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Больничная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, д.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14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Исполнитель извещает Заказчика в письменном виде о режиме работы Исполнителя.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9"/>
              <w:ind w:firstLine="667"/>
              <w:jc w:val="both"/>
              <w:rPr>
                <w:rFonts w:ascii="Tinos" w:hAnsi="Tinos" w:cs="Tinos"/>
                <w:bCs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1.3.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У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слуги оказываются на основании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лицензии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______________________________________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bCs/>
                <w:sz w:val="22"/>
                <w:szCs w:val="22"/>
              </w:rPr>
            </w:r>
            <w:r>
              <w:rPr>
                <w:rFonts w:ascii="Tinos" w:hAnsi="Tinos" w:cs="Tinos"/>
                <w:bCs/>
                <w:sz w:val="22"/>
                <w:szCs w:val="22"/>
              </w:rPr>
            </w:r>
          </w:p>
        </w:tc>
      </w:tr>
      <w:tr>
        <w:tblPrEx/>
        <w:trPr>
          <w:trHeight w:val="47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22"/>
              <w:ind w:firstLine="645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73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59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2. ОБЯЗАННОСТИ СТОРОН</w:t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  <w:p>
            <w:pPr>
              <w:pStyle w:val="959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  <w:p>
            <w:pPr>
              <w:pStyle w:val="959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2.1.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Исполнитель обязуется: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9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2.1.1. Оказать Услуги,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предусмотренные настоящим Контрактом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надлежащ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его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качеств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сроки и объемы, установленные Контрактом.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9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2.1.2. Предоставлять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по требованию 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аказчика информацию о ходе исполнения своих обязательств по настоящему Контракту.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9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2.1.3.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Известить Заказчика в течение 3 (Трех)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календарных дней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 приостановлении, прекращении действия либо аннулировани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лицензии на осуществление медицинской деятельности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9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2.1.4. Соблюдать конфиденциальность в отношении информации, ставшей ему известной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отношен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ии работников 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аказчика при оказании Услуг, в соответствии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со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ст. 7 Федерального закона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от 27.07.2006 № 152-ФЗ «О персональных данных».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9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2.1.5. Обладать всем необходимым оборудованием, техникой, помещениями и инструментами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для оказания Услуг по настоящему Контракту.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9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2.1.6. Не допуст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ить водителей 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аказчика к управлению автомобил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ем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в следующих случаях: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2"/>
              <w:ind w:firstLine="709"/>
              <w:jc w:val="both"/>
              <w:tabs>
                <w:tab w:val="left" w:pos="426" w:leader="none"/>
              </w:tabs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- при выявлении признаков временной нетрудоспособности;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2"/>
              <w:ind w:firstLine="709"/>
              <w:jc w:val="both"/>
              <w:tabs>
                <w:tab w:val="left" w:pos="426" w:leader="none"/>
              </w:tabs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- при положительной пробе на алкоголь, другие психотропные вещества и наркотики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выдыхаемом воздухе или биологических субстратах;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2"/>
              <w:ind w:firstLine="709"/>
              <w:jc w:val="both"/>
              <w:tabs>
                <w:tab w:val="left" w:pos="426" w:leader="none"/>
              </w:tabs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- при выявлении признаков воздействия наркотических веществ;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2"/>
              <w:ind w:firstLine="709"/>
              <w:jc w:val="both"/>
              <w:tabs>
                <w:tab w:val="left" w:pos="426" w:leader="none"/>
              </w:tabs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- при выявлении признаков воздействия лекарственных или иных веществ, отрицательно влияющих на работоспособность водителя.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2"/>
              <w:ind w:firstLine="709"/>
              <w:jc w:val="both"/>
              <w:tabs>
                <w:tab w:val="left" w:pos="426" w:leader="none"/>
              </w:tabs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2.1.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7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 Ежемесячно предоставлять документы на оплату за оказанные Услуги, а также реестр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 количестве осмотров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9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2.2.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 обязуется: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9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2.2.1. Своевременно принять и оплатить оказанные Услуги.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9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2.2.2. Предоставить Исполнителю список водителей, подлежащих осмотрам.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9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2.2.3. Обеспечи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ть присутствие водителей на осмотрах. Водители, подлежащие осмотрам, при себе должны иметь путевой лист, в котором по окончании осмотра ставится отметка о допуске к рейсу (штамп установленного образца) и подпись медицинского работника, проводившего осмотр.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>
          <w:trHeight w:val="92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22"/>
              <w:jc w:val="center"/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92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22"/>
              <w:jc w:val="center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3</w:t>
            </w: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. ЦЕНА КОНТРАКТА И ПОРЯДОК ОПЛАТЫ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22"/>
              <w:jc w:val="center"/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22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3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.1.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Цена Контракта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составляет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b/>
                <w:sz w:val="22"/>
                <w:szCs w:val="22"/>
                <w:highlight w:val="none"/>
              </w:rPr>
              <w:t xml:space="preserve">2 420,00</w:t>
            </w:r>
            <w:r>
              <w:rPr>
                <w:rFonts w:ascii="Tinos" w:hAnsi="Tinos" w:eastAsia="Tinos" w:cs="Tinos"/>
                <w:b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nos" w:hAnsi="Tinos" w:eastAsia="Tinos" w:cs="Tinos"/>
                <w:b/>
                <w:sz w:val="22"/>
                <w:szCs w:val="22"/>
                <w:highlight w:val="white"/>
              </w:rPr>
              <w:t xml:space="preserve">ру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б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л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ей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(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Две тысячи четыреста двадцать 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рубл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ей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 </w:t>
              <w:br/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00 копеек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),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НДС не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облагается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в соответствии со ст. 149 Налогового кодекса Р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оссийской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Ф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едерации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Оплата производится за счет средств федерального бюджета. Ассигнования 2026 года в сумме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2 090,00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рублей (Две тысячи девяноста рублей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00 копеек),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НДС не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облагается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в соответствии </w:t>
              <w:br/>
              <w:t xml:space="preserve">со ст. 149 Налогового кодекса Р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оссийской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Ф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едерации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Ассигнования 2027 года в сумме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330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highlight w:val="none"/>
              </w:rPr>
              <w:t xml:space="preserve">,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highlight w:val="none"/>
              </w:rPr>
              <w:t xml:space="preserve">00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рублей (Триста тридцать рублей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00 копеек),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НДС не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облагается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в соответствии со ст. 149 Налогового кодекса Р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оссийской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Ф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едерации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01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59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Цена Контракта включает в себя стоимость Услуг, расходы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связанные с исполнением 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сполнителем обязательств по Контракту, страхование, уплату таможенных пошлин, налогов, сборов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 других обязательных платежей.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22"/>
              <w:ind w:firstLine="709"/>
              <w:jc w:val="both"/>
              <w:widowControl w:val="off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3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2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Цена Контракта является твердой и определяется на весь срок исполнения Контракта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за исключением случаев, установленных законодательством Российской Федерации.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687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59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3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.3.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Ежемесячно до 10 (Десятого) числа мес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яца, следующего за отчетным, Исполнитель выставляет и направляет Заказчику Акт об оказании услуг (далее – Акт) в 2 (Двух) экземплярах для подписания с приложением счета-фактуры (счета), реестра предрейсовых медицинских осмотров водителей за истекший месяц.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2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3.4. Оплата Услуг осуществляется в безналичной форме в</w:t>
            </w: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течение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10 (Десяти) рабочих дней </w:t>
              <w:br w:type="textWrapping" w:clear="all"/>
              <w:t xml:space="preserve">с даты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подписания Заказчиком Акта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на основании предоставленных Исполнителем счета-фактуры (счета), Акта с приложением реестра осмотра водителей, заверенного печатью и подписью главного врача (главного бухгалтера или Исполнителя),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путем перечисления денежных средств на расчетный счет Исполнителя по факту оказания Услуг.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9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Датой оплаты считается момент списания денежных средств с лицевого счета Заказчика.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59"/>
              <w:ind w:firstLine="709"/>
              <w:jc w:val="both"/>
              <w:rPr>
                <w:rFonts w:ascii="Tinos" w:hAnsi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3.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5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Заказчик уменьшает сумму, подлежащую уплате Исполнителю, на размер налогов, сборов </w:t>
              <w:br w:type="textWrapping" w:clear="all"/>
              <w:t xml:space="preserve">и иных обязательных платежей в бюджеты бюджетной системы Ро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ссийской Федерации, связанных </w:t>
              <w:br/>
              <w:t xml:space="preserve">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</w:p>
          <w:p>
            <w:pPr>
              <w:pStyle w:val="959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1014"/>
              <w:numPr>
                <w:ilvl w:val="0"/>
                <w:numId w:val="0"/>
              </w:numPr>
              <w:ind w:firstLine="284"/>
              <w:jc w:val="center"/>
              <w:rPr>
                <w:rFonts w:ascii="Tinos" w:hAnsi="Tinos" w:cs="Tinos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ПОРЯДОК СДАЧИ И ПРИЕМКИ УСЛУГ</w:t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  <w:highlight w:val="none"/>
              </w:rPr>
            </w:r>
          </w:p>
          <w:p>
            <w:pPr>
              <w:pStyle w:val="1014"/>
              <w:numPr>
                <w:ilvl w:val="0"/>
                <w:numId w:val="0"/>
              </w:numPr>
              <w:ind w:firstLine="284"/>
              <w:jc w:val="center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22"/>
              <w:ind w:firstLine="709"/>
              <w:jc w:val="both"/>
              <w:rPr>
                <w:rFonts w:ascii="Tinos" w:hAnsi="Tinos" w:cs="Tinos"/>
                <w:bCs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4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.1.</w:t>
            </w: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</w:rPr>
              <w:t xml:space="preserve"> Приемка оказанных Услуг осуществляется на соответствие их объему, качеству </w:t>
            </w: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</w:rPr>
              <w:t xml:space="preserve">и требованиям Контракта.</w:t>
            </w:r>
            <w:r>
              <w:rPr>
                <w:rFonts w:ascii="Tinos" w:hAnsi="Tinos" w:cs="Tinos"/>
                <w:bCs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Cs/>
                <w:color w:val="000000"/>
                <w:sz w:val="22"/>
                <w:szCs w:val="22"/>
              </w:rPr>
            </w:r>
          </w:p>
          <w:p>
            <w:pPr>
              <w:pStyle w:val="1014"/>
              <w:numPr>
                <w:ilvl w:val="0"/>
                <w:numId w:val="0"/>
              </w:numPr>
              <w:ind w:firstLine="720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4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.2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. З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аказчик в течение 3 (Трех) рабочих дней с момента получения 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Акта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 подписывает его при условии, что содержание 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Акта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 соответствует фактически оказанным Услугам и условиям настоящего Контракта.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22"/>
              <w:ind w:firstLine="720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</w:rPr>
              <w:t xml:space="preserve">4</w:t>
            </w: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</w:rPr>
              <w:t xml:space="preserve">.3</w:t>
            </w: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Услуги считаются оказанными с момента подписания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торонами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Акта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22"/>
              <w:ind w:firstLine="709"/>
              <w:jc w:val="both"/>
              <w:tabs>
                <w:tab w:val="num" w:pos="720" w:leader="none"/>
              </w:tabs>
              <w:rPr>
                <w:rFonts w:ascii="Tinos" w:hAnsi="Tinos" w:cs="Tinos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Акт 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расчетно-платежные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документы направляются почтой по юридическому адресу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Заказчика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: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6440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07, Омская область, г.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Омск, ул. Орджоникидзе, д.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56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и посредством электронного документооборота (СБИС, ООО «Компания «Тензор»).</w:t>
            </w:r>
            <w:r>
              <w:rPr>
                <w:rFonts w:ascii="Tinos" w:hAnsi="Tinos" w:cs="Tinos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  <w:highlight w:val="none"/>
              </w:rPr>
            </w:r>
          </w:p>
          <w:p>
            <w:pPr>
              <w:ind w:firstLine="709"/>
              <w:jc w:val="both"/>
              <w:tabs>
                <w:tab w:val="num" w:pos="720" w:leader="none"/>
              </w:tabs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22"/>
              <w:jc w:val="center"/>
              <w:rPr>
                <w:rStyle w:val="957"/>
                <w:rFonts w:ascii="Tinos" w:hAnsi="Tinos" w:cs="Tinos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5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. ОТВЕТСТВЕННОСТЬ СТОРОН</w:t>
            </w:r>
            <w:r>
              <w:rPr>
                <w:rStyle w:val="957"/>
                <w:rFonts w:ascii="Tinos" w:hAnsi="Tinos" w:eastAsia="Tinos" w:cs="Tinos"/>
                <w:b/>
                <w:sz w:val="22"/>
                <w:szCs w:val="22"/>
              </w:rPr>
              <w:footnoteReference w:id="2"/>
            </w:r>
            <w:r>
              <w:rPr>
                <w:rStyle w:val="957"/>
                <w:rFonts w:ascii="Tinos" w:hAnsi="Tinos" w:cs="Tinos"/>
                <w:b/>
                <w:bCs/>
                <w:sz w:val="22"/>
                <w:szCs w:val="22"/>
                <w:highlight w:val="none"/>
              </w:rPr>
            </w:r>
            <w:r>
              <w:rPr>
                <w:rStyle w:val="957"/>
                <w:rFonts w:ascii="Tinos" w:hAnsi="Tinos" w:cs="Tinos"/>
                <w:b/>
                <w:bCs/>
                <w:sz w:val="22"/>
                <w:szCs w:val="22"/>
                <w:highlight w:val="none"/>
              </w:rPr>
            </w:r>
          </w:p>
          <w:p>
            <w:pPr>
              <w:jc w:val="center"/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pPr>
            <w:r>
              <w:rPr>
                <w:rStyle w:val="957"/>
                <w:rFonts w:ascii="Tinos" w:hAnsi="Tinos" w:eastAsia="Tinos" w:cs="Tinos"/>
                <w:b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22"/>
              <w:ind w:firstLine="709"/>
              <w:jc w:val="both"/>
              <w:widowControl w:val="o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5.1.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Стороны несут ответственность за неисполнение или ненадлежащее исполнение своих обязательств по Контракту в соответствии с законодательством Российской Федерации.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2"/>
              <w:ind w:firstLine="709"/>
              <w:jc w:val="both"/>
              <w:widowControl w:val="o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5.2. В случае просро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чки исполнения 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аказчиком обязательств, предусмотренных Контрактом,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Исполнитель вправе потребовать уплаты неустойки (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штрафов,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пен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ей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).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Пеня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устанавливается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Контрактом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размере одной трехсотой действующей на дату уплаты пен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ей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ключевой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ставки Центрального банка Российской Федерации от не уплаченной в срок суммы.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2"/>
              <w:ind w:firstLine="709"/>
              <w:jc w:val="both"/>
              <w:widowControl w:val="o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5.3. В случае просрочки исполнения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Исполнителем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обязательств,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предусмотренных Контрактом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</w:t>
              <w:br w:type="textWrapping" w:clear="all"/>
              <w:t xml:space="preserve">а также в иных случаях неисполнения или ненадлежащего исполнения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Исполнителем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обязательств, предусмотренных Контрактом, Исполнитель вправе потребовать уплаты неустойки (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штрафов,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пен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ей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).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2"/>
              <w:ind w:firstLine="720"/>
              <w:jc w:val="both"/>
              <w:widowControl w:val="o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устанавливается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Контрактом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размере одной трехсотой действующей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на дату уплаты пени ключевой ставки Центрального банка Российской Федерации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от цены Контракта (отдельного этапа 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сполнения Контракта),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2"/>
              <w:ind w:firstLine="709"/>
              <w:jc w:val="both"/>
              <w:widowControl w:val="o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5.4. Неустойка по Контракту выплачивается на основании обоснованного письменного требования Стороны.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2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5.5. Уплата неустойки не освобождает Стороны от исполнения своих обязательств по Контракту.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22"/>
              <w:ind w:firstLine="709"/>
              <w:jc w:val="both"/>
              <w:widowControl w:val="off"/>
              <w:rPr>
                <w:rFonts w:ascii="Tinos" w:hAnsi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5.6.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Сторона освобождается от уплаты неустойки (пени), если докаж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т, что неисполнение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или ненадлежащее исполнение обязательства, предусмотренного Контрактом, произошло вследствие непреодолимой силы или по вине другой Стороны.</w:t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</w:p>
          <w:p>
            <w:pPr>
              <w:ind w:firstLine="709"/>
              <w:jc w:val="both"/>
              <w:widowControl w:val="o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2"/>
              <w:ind w:firstLine="255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6. ГАРАНТИЯ КАЧЕСТВА</w:t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  <w:p>
            <w:pPr>
              <w:pStyle w:val="922"/>
              <w:ind w:firstLine="255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  <w:p>
            <w:pPr>
              <w:pStyle w:val="922"/>
              <w:ind w:firstLine="255"/>
              <w:jc w:val="both"/>
              <w:tabs>
                <w:tab w:val="left" w:pos="750" w:leader="none"/>
              </w:tabs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        6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1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 </w:t>
            </w:r>
            <w:r>
              <w:rPr>
                <w:rStyle w:val="1016"/>
                <w:rFonts w:ascii="Tinos" w:hAnsi="Tinos" w:eastAsia="Tinos" w:cs="Tinos"/>
                <w:sz w:val="22"/>
                <w:szCs w:val="22"/>
              </w:rPr>
              <w:t xml:space="preserve">Исполнитель гарантирует, что качество оказываемых </w:t>
            </w:r>
            <w:r>
              <w:rPr>
                <w:rStyle w:val="1016"/>
                <w:rFonts w:ascii="Tinos" w:hAnsi="Tinos" w:eastAsia="Tinos" w:cs="Tinos"/>
                <w:sz w:val="22"/>
                <w:szCs w:val="22"/>
              </w:rPr>
              <w:t xml:space="preserve">У</w:t>
            </w:r>
            <w:r>
              <w:rPr>
                <w:rStyle w:val="1016"/>
                <w:rFonts w:ascii="Tinos" w:hAnsi="Tinos" w:eastAsia="Tinos" w:cs="Tinos"/>
                <w:sz w:val="22"/>
                <w:szCs w:val="22"/>
              </w:rPr>
              <w:t xml:space="preserve">слуг соответствует требованиям стандартов, а также иным требованиям, предъявляемы</w:t>
            </w:r>
            <w:r>
              <w:rPr>
                <w:rStyle w:val="1016"/>
                <w:rFonts w:ascii="Tinos" w:hAnsi="Tinos" w:eastAsia="Tinos" w:cs="Tinos"/>
                <w:sz w:val="22"/>
                <w:szCs w:val="22"/>
              </w:rPr>
              <w:t xml:space="preserve">м</w:t>
            </w:r>
            <w:r>
              <w:rPr>
                <w:rStyle w:val="1016"/>
                <w:rFonts w:ascii="Tinos" w:hAnsi="Tinos" w:eastAsia="Tinos" w:cs="Tinos"/>
                <w:sz w:val="22"/>
                <w:szCs w:val="22"/>
              </w:rPr>
              <w:t xml:space="preserve"> к </w:t>
            </w:r>
            <w:r>
              <w:rPr>
                <w:rStyle w:val="1016"/>
                <w:rFonts w:ascii="Tinos" w:hAnsi="Tinos" w:eastAsia="Tinos" w:cs="Tinos"/>
                <w:sz w:val="22"/>
                <w:szCs w:val="22"/>
              </w:rPr>
              <w:t xml:space="preserve">У</w:t>
            </w:r>
            <w:r>
              <w:rPr>
                <w:rStyle w:val="1016"/>
                <w:rFonts w:ascii="Tinos" w:hAnsi="Tinos" w:eastAsia="Tinos" w:cs="Tinos"/>
                <w:sz w:val="22"/>
                <w:szCs w:val="22"/>
              </w:rPr>
              <w:t xml:space="preserve">слугам такого рода на территории Российской Федерации</w:t>
            </w:r>
            <w:r>
              <w:rPr>
                <w:rStyle w:val="1016"/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Style w:val="1016"/>
                <w:rFonts w:ascii="Tinos" w:hAnsi="Tinos" w:eastAsia="Tinos" w:cs="Tinos"/>
                <w:sz w:val="22"/>
                <w:szCs w:val="22"/>
              </w:rPr>
              <w:t xml:space="preserve"> Гарантийный срок устанавливается на весь срок оказания </w:t>
            </w:r>
            <w:r>
              <w:rPr>
                <w:rStyle w:val="1016"/>
                <w:rFonts w:ascii="Tinos" w:hAnsi="Tinos" w:eastAsia="Tinos" w:cs="Tinos"/>
                <w:sz w:val="22"/>
                <w:szCs w:val="22"/>
              </w:rPr>
              <w:t xml:space="preserve">У</w:t>
            </w:r>
            <w:r>
              <w:rPr>
                <w:rStyle w:val="1016"/>
                <w:rFonts w:ascii="Tinos" w:hAnsi="Tinos" w:eastAsia="Tinos" w:cs="Tinos"/>
                <w:sz w:val="22"/>
                <w:szCs w:val="22"/>
              </w:rPr>
              <w:t xml:space="preserve">слуг.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2"/>
              <w:ind w:firstLine="255"/>
              <w:jc w:val="both"/>
              <w:widowControl w:val="o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22"/>
              <w:ind w:firstLine="255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7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. ФОРС-МАЖОР</w:t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  <w:p>
            <w:pPr>
              <w:pStyle w:val="922"/>
              <w:ind w:firstLine="255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22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7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.1.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Стороны освобождаются от ответственности за частичное или полное неисполнение обязательств по настоящему Контракту, если неис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полнение Сторонами обязательств вызвано непреодолимой силой, то есть чрезвычайными и непредотвратимыми обстоятельствами (стихийные бедствия, землетрясения, наводнения, пожары, мятежи, гражданские беспорядки, забастовки персонала, война и военные действия).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22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7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.2. Сторона, которая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не в состоянии выполнить свои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обязательства по настоящему Контракту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силу вышеуказанных обстоятельств, незамедлительно письменно информирует другую Сторону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 наступлении данных обстоятельств и прекращении выполнения указанных обязательств, 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 в любом случае не позднее 3 (Т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рех) рабочих дней после начала их действия. Несвоевременное уведомление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 наступлении обстоятельств непреодолимой силы лишает соответствующую Сторону права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на освобождение от ответственности за частичное или полное неисполнение обязательств по настоящему Контракту по причине указанных обстоятельств. Факт наступления и прекращения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действия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обстоятельств непреодолимой силы документально подтверждается компетентными государственными органами.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22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7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.3. Если указанные обстоя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тельства продолжаются более 1 (О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дного) месяца, то каждая Сторона имеет право на досрочное расторжение настоящего Контракта. В этом случае Стороны производят взаиморасчеты.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22"/>
              <w:ind w:firstLine="255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39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22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. ИЗМЕНЕНИЕ И РАСТОРЖЕНИЕ КОНТРАКТА</w:t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  <w:p>
            <w:pPr>
              <w:pStyle w:val="922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9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22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.1. При исполнении Контракта изменение его условий не допускается, за исключением случаев, предусмотренных </w:t>
            </w:r>
            <w:r>
              <w:rPr>
                <w:rFonts w:ascii="Tinos" w:hAnsi="Tinos" w:eastAsia="Tinos" w:cs="Tinos"/>
                <w:sz w:val="22"/>
                <w:szCs w:val="22"/>
              </w:rPr>
              <w:fldChar w:fldCharType="begin"/>
            </w:r>
            <w:r>
              <w:rPr>
                <w:rFonts w:ascii="Tinos" w:hAnsi="Tinos" w:eastAsia="Tinos" w:cs="Tinos"/>
                <w:sz w:val="22"/>
                <w:szCs w:val="22"/>
              </w:rPr>
              <w:instrText xml:space="preserve">HYPERLINK consultantplus://offline/ref=9A6BDA9D95FCB93A483E6C1737BA5BF0EE7BF4AE0E0FE8A326E248A79A5E988C9BC6B4F5D1FD614FU0P0F </w:instrText>
            </w:r>
            <w:r>
              <w:rPr>
                <w:rFonts w:ascii="Tinos" w:hAnsi="Tinos" w:eastAsia="Tinos" w:cs="Tinos"/>
                <w:sz w:val="22"/>
                <w:szCs w:val="22"/>
              </w:rPr>
              <w:fldChar w:fldCharType="separate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статьей 95</w:t>
            </w:r>
            <w:r>
              <w:rPr>
                <w:rFonts w:ascii="Tinos" w:hAnsi="Tinos" w:eastAsia="Tinos" w:cs="Tinos"/>
                <w:sz w:val="22"/>
                <w:szCs w:val="22"/>
              </w:rPr>
              <w:fldChar w:fldCharType="end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Федерального закона от 05.04.2013 № 44-ФЗ «О контрактной системе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сфере закупок товаров, работ, услуг для обеспечения государственных и муниципальных нужд».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2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.2.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Контракт может быть расторгнут по соглашению Сторон, а также Стороны вправе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одностороннем порядке по письменному заявлению отказаться от его исполнения по основаниям, предусмотренным Контрактом и гражданским законодательством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Р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оссийской Федерации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2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.3. 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 вправе отказаться от исполнения Контракта в одностороннем внесудебном порядке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случаях: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2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.3.1. Оказание Услуг ненадлежащего качества с недостатками, которые не могут быть устранены в приемлемый для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аказчика срок.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2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.3.2. Неоднократного нарушения Исполнителем сроков оказания Услуг.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2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.3.3. В иных случаях, предусмотренных гражданским законодательством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Российской Федерации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2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.4. Исполнитель вправе отказаться от Контракта в одностороннем порядке в случа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 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еобоснованн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ого уклонения 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аказчика от принятия и оплаты оказанных Услуг.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2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>
          <w:trHeight w:val="39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22"/>
              <w:ind w:firstLine="255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9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22"/>
              <w:jc w:val="center"/>
              <w:rPr>
                <w:rFonts w:ascii="Tinos" w:hAnsi="Tinos" w:cs="Tinos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9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. ПОРЯДОК РАССМОТРЕНИЯ СПОРОВ</w:t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  <w:highlight w:val="none"/>
              </w:rPr>
            </w:r>
          </w:p>
          <w:p>
            <w:pPr>
              <w:pStyle w:val="922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9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22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9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.1.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Споры и разногласия Сторон, возникающие в связи с исполнением настоящего Контракта, рассматриваются Сторонами путем переговоров.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4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22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9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.2. Неурегулированные путем переговоров споры и разногласия разрешаются в Арбитражном суде Омской области в соответствии с действующим законодательством Российской Федерации.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4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22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  <w:p>
            <w:pPr>
              <w:pStyle w:val="922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10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. ПРОЧИЕ УСЛОВИЯ КОНТРАКТА</w:t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  <w:p>
            <w:pPr>
              <w:pStyle w:val="922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4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22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10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.1.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Все изменения и дополнения к настоящему Контракту оформляются дополнительными соглашениями, подписываемыми Сторонами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которые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являются неотъемлемой частью Контракта.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4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22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10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2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Контракт вступает в силу с момента его подписания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обеими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Сторонами и действует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по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31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.12.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20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2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7,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а в части финансовых обязательств – до полного их исполнения.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2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lang w:eastAsia="ar-SA"/>
              </w:rPr>
              <w:t xml:space="preserve">Стороны распространяют положения настоящего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Контракт</w:t>
            </w:r>
            <w:r>
              <w:rPr>
                <w:rFonts w:ascii="Tinos" w:hAnsi="Tinos" w:eastAsia="Tinos" w:cs="Tinos"/>
                <w:sz w:val="22"/>
                <w:szCs w:val="22"/>
                <w:lang w:eastAsia="ar-SA"/>
              </w:rPr>
              <w:t xml:space="preserve">а на правоотношения, которые возникли между ними с </w:t>
            </w:r>
            <w:r>
              <w:rPr>
                <w:rFonts w:ascii="Tinos" w:hAnsi="Tinos" w:eastAsia="Tinos" w:cs="Tinos"/>
                <w:sz w:val="22"/>
                <w:szCs w:val="22"/>
                <w:lang w:eastAsia="ar-SA"/>
              </w:rPr>
              <w:t xml:space="preserve">0</w:t>
            </w:r>
            <w:r>
              <w:rPr>
                <w:rFonts w:ascii="Tinos" w:hAnsi="Tinos" w:eastAsia="Tinos" w:cs="Tinos"/>
                <w:sz w:val="22"/>
                <w:szCs w:val="22"/>
                <w:lang w:eastAsia="ar-SA"/>
              </w:rPr>
              <w:t xml:space="preserve">1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lang w:eastAsia="ar-SA"/>
              </w:rPr>
              <w:t xml:space="preserve">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lang w:eastAsia="ar-SA"/>
              </w:rPr>
              <w:t xml:space="preserve">06.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lang w:eastAsia="ar-SA"/>
              </w:rPr>
              <w:t xml:space="preserve">20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lang w:eastAsia="ar-SA"/>
              </w:rPr>
              <w:t xml:space="preserve">2</w:t>
            </w:r>
            <w:r>
              <w:rPr>
                <w:rFonts w:ascii="Tinos" w:hAnsi="Tinos" w:eastAsia="Tinos" w:cs="Tinos"/>
                <w:sz w:val="22"/>
                <w:szCs w:val="22"/>
                <w:lang w:eastAsia="ar-SA"/>
              </w:rPr>
              <w:t xml:space="preserve">6, в связи с чем расчеты по данному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Контракт</w:t>
            </w:r>
            <w:r>
              <w:rPr>
                <w:rFonts w:ascii="Tinos" w:hAnsi="Tinos" w:eastAsia="Tinos" w:cs="Tinos"/>
                <w:sz w:val="22"/>
                <w:szCs w:val="22"/>
                <w:lang w:eastAsia="ar-SA"/>
              </w:rPr>
              <w:t xml:space="preserve">у производятся с этой даты</w:t>
            </w:r>
            <w:r>
              <w:rPr>
                <w:rFonts w:ascii="Tinos" w:hAnsi="Tinos" w:eastAsia="Tinos" w:cs="Tinos"/>
                <w:sz w:val="22"/>
                <w:szCs w:val="22"/>
                <w:lang w:eastAsia="ar-SA"/>
              </w:rPr>
              <w:t xml:space="preserve">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4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22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10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.3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Настоящий Контракт составлен в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2 (Д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вух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)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экземплярах, имеющих одинаковую юридическую силу, по одному для каждой из Сторон.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9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22"/>
              <w:jc w:val="both"/>
              <w:rPr>
                <w:rFonts w:ascii="Tinos" w:hAnsi="Tinos" w:cs="Tinos"/>
                <w:color w:val="ff66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ff6600"/>
                <w:sz w:val="22"/>
                <w:szCs w:val="22"/>
              </w:rPr>
            </w:r>
            <w:r>
              <w:rPr>
                <w:rFonts w:ascii="Tinos" w:hAnsi="Tinos" w:cs="Tinos"/>
                <w:color w:val="ff6600"/>
                <w:sz w:val="22"/>
                <w:szCs w:val="22"/>
              </w:rPr>
            </w:r>
            <w:r>
              <w:rPr>
                <w:rFonts w:ascii="Tinos" w:hAnsi="Tinos" w:cs="Tinos"/>
                <w:color w:val="ff66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22"/>
              <w:ind w:firstLine="54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Приложени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: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Порядок расчета цены.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Перечень оказываемых услуг.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2"/>
              <w:ind w:firstLine="540"/>
              <w:jc w:val="both"/>
              <w:rPr>
                <w:rFonts w:ascii="Tinos" w:hAnsi="Tinos" w:cs="Tinos"/>
                <w:color w:val="ff66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ff6600"/>
                <w:sz w:val="22"/>
                <w:szCs w:val="22"/>
              </w:rPr>
            </w:r>
            <w:r>
              <w:rPr>
                <w:rFonts w:ascii="Tinos" w:hAnsi="Tinos" w:cs="Tinos"/>
                <w:color w:val="ff6600"/>
                <w:sz w:val="22"/>
                <w:szCs w:val="22"/>
              </w:rPr>
            </w:r>
            <w:r>
              <w:rPr>
                <w:rFonts w:ascii="Tinos" w:hAnsi="Tinos" w:cs="Tinos"/>
                <w:color w:val="ff66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22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1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1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. ЮРИДИЧЕСКИЕ АДРЕСА, ПЛАТЕЖНЫЕ РЕКВИЗИТЫ И ПОДПИСИ СТОРОН</w:t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22"/>
              <w:ind w:firstLine="255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10" w:type="dxa"/>
            <w:vAlign w:val="top"/>
            <w:textDirection w:val="lrTb"/>
            <w:noWrap w:val="false"/>
          </w:tcPr>
          <w:p>
            <w:pPr>
              <w:pStyle w:val="922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ЗАКАЗЧИК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22"/>
              <w:rPr>
                <w:rFonts w:ascii="Tinos" w:hAnsi="Tinos" w:cs="Tinos"/>
                <w:b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Управление Федеральной службы государственной регистрации, кадастра 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и картографии по Омской области 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  <w:p>
            <w:pPr>
              <w:pStyle w:val="922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(Управление Росреестра по Омской области)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4959" w:type="dxa"/>
            <w:vAlign w:val="top"/>
            <w:textDirection w:val="lrTb"/>
            <w:noWrap w:val="false"/>
          </w:tcPr>
          <w:p>
            <w:pPr>
              <w:pStyle w:val="922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ИСПОЛНИТЕЛЬ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10" w:type="dxa"/>
            <w:vAlign w:val="top"/>
            <w:textDirection w:val="lrTb"/>
            <w:noWrap w:val="false"/>
          </w:tcPr>
          <w:p>
            <w:pPr>
              <w:pStyle w:val="922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>
              <w:left w:val="none" w:color="000000" w:sz="4" w:space="0"/>
              <w:right w:val="none" w:color="000000" w:sz="4" w:space="0"/>
            </w:tcBorders>
            <w:tcW w:w="4959" w:type="dxa"/>
            <w:vAlign w:val="top"/>
            <w:textDirection w:val="lrTb"/>
            <w:noWrap w:val="false"/>
          </w:tcPr>
          <w:p>
            <w:pPr>
              <w:pStyle w:val="922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>
          <w:trHeight w:val="5571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5310" w:type="dxa"/>
            <w:vAlign w:val="top"/>
            <w:textDirection w:val="lrTb"/>
            <w:noWrap w:val="false"/>
          </w:tcPr>
          <w:p>
            <w:pPr>
              <w:pStyle w:val="922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Юридический адрес: 644007, Омская область,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2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г. Омск, ул. Орджоникидзе, д. 56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2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Почтовый адрес: 644007, Омская область,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2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г. Омск, ул. Орджоникидзе, д. 56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2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ИНН 5503085391 КПП 550301001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2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ОГРН 1045504038524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ОКПО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76322092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22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Платежные реквизиты: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2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УФК по Омской области (Управление Федеральной службы государственной регистрации, кадастра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 картографии по Омской области, л/с 03521А39080),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2"/>
              <w:jc w:val="both"/>
              <w:rPr>
                <w:rFonts w:ascii="Tinos" w:hAnsi="Tinos" w:cs="Tinos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р/с</w:t>
            </w: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  <w:t xml:space="preserve">03</w:t>
            </w: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  <w:t xml:space="preserve">211643000000015108</w:t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</w:p>
          <w:p>
            <w:pPr>
              <w:pStyle w:val="922"/>
              <w:jc w:val="both"/>
              <w:rPr>
                <w:rFonts w:ascii="Tinos" w:hAnsi="Tinos" w:cs="Tinos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ОКЦ № 1 СибГУ</w:t>
            </w: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  <w:t xml:space="preserve"> Банка России//УФК </w:t>
              <w:br/>
              <w:t xml:space="preserve">по Новосибирской области, г. Новосибирск</w:t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</w:p>
          <w:p>
            <w:pPr>
              <w:pStyle w:val="922"/>
              <w:jc w:val="both"/>
              <w:rPr>
                <w:rFonts w:ascii="Tinos" w:hAnsi="Tinos" w:cs="Tinos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  <w:t xml:space="preserve">к/с 40102810445370000043</w:t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</w:p>
          <w:p>
            <w:pPr>
              <w:pStyle w:val="922"/>
              <w:jc w:val="both"/>
              <w:rPr>
                <w:rFonts w:ascii="Tinos" w:hAnsi="Tinos" w:cs="Tinos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  <w:t xml:space="preserve">БИК 015004950</w:t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</w:p>
          <w:p>
            <w:pPr>
              <w:pStyle w:val="922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Телефон/факс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: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8 (3812) 56-3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5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-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25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2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Адрес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э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л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.почты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: 55_</w:t>
            </w:r>
            <w:r>
              <w:rPr>
                <w:rFonts w:ascii="Tinos" w:hAnsi="Tinos" w:eastAsia="Tinos" w:cs="Tinos"/>
                <w:sz w:val="22"/>
                <w:szCs w:val="22"/>
                <w:lang w:val="en-US"/>
              </w:rPr>
              <w:t xml:space="preserve">upr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@</w:t>
            </w:r>
            <w:r>
              <w:rPr>
                <w:rFonts w:ascii="Tinos" w:hAnsi="Tinos" w:eastAsia="Tinos" w:cs="Tinos"/>
                <w:sz w:val="22"/>
                <w:szCs w:val="22"/>
                <w:lang w:val="en-US"/>
              </w:rPr>
              <w:t xml:space="preserve">rosreestr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sz w:val="22"/>
                <w:szCs w:val="22"/>
                <w:lang w:val="en-US"/>
              </w:rPr>
              <w:t xml:space="preserve">ru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2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2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2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2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2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2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Врио руководителя Управления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2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2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2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_________________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Э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Лапуста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2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(подпись, печать)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>
              <w:left w:val="none" w:color="000000" w:sz="4" w:space="0"/>
              <w:right w:val="none" w:color="000000" w:sz="4" w:space="0"/>
            </w:tcBorders>
            <w:tcW w:w="4959" w:type="dxa"/>
            <w:vAlign w:val="top"/>
            <w:textDirection w:val="lrTb"/>
            <w:noWrap w:val="false"/>
          </w:tcPr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22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22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Главный врач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22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22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22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________________ 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22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(подпись, печать)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</w:tbl>
    <w:p>
      <w:pPr>
        <w:pStyle w:val="922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2"/>
        <w:tabs>
          <w:tab w:val="left" w:pos="5445" w:leader="none"/>
        </w:tabs>
        <w:rPr>
          <w:rFonts w:ascii="Tinos" w:hAnsi="Tinos" w:cs="Tinos"/>
          <w:sz w:val="22"/>
          <w:szCs w:val="22"/>
        </w:rPr>
        <w:outlineLvl w:val="0"/>
      </w:pPr>
      <w:r>
        <w:rPr>
          <w:rFonts w:ascii="Tinos" w:hAnsi="Tinos" w:eastAsia="Tinos" w:cs="Tinos"/>
          <w:sz w:val="22"/>
          <w:szCs w:val="22"/>
        </w:rPr>
        <w:t xml:space="preserve">                                                                                                        </w:t>
      </w:r>
      <w:r>
        <w:rPr>
          <w:rFonts w:ascii="Tinos" w:hAnsi="Tinos" w:eastAsia="Tinos" w:cs="Tinos"/>
          <w:sz w:val="22"/>
          <w:szCs w:val="22"/>
        </w:rPr>
        <w:t xml:space="preserve">    </w:t>
      </w:r>
      <w:r>
        <w:rPr>
          <w:rFonts w:ascii="Tinos" w:hAnsi="Tinos" w:eastAsia="Tinos" w:cs="Tinos"/>
          <w:sz w:val="22"/>
          <w:szCs w:val="22"/>
        </w:rPr>
        <w:t xml:space="preserve">   </w:t>
      </w:r>
      <w:r>
        <w:rPr>
          <w:rFonts w:ascii="Tinos" w:hAnsi="Tinos" w:eastAsia="Tinos" w:cs="Tinos"/>
          <w:sz w:val="22"/>
          <w:szCs w:val="22"/>
        </w:rPr>
        <w:t xml:space="preserve">     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   </w:t>
      </w:r>
      <w:r>
        <w:rPr>
          <w:rFonts w:ascii="Tinos" w:hAnsi="Tinos" w:eastAsia="Tinos" w:cs="Tinos"/>
          <w:sz w:val="22"/>
          <w:szCs w:val="22"/>
        </w:rPr>
        <w:t xml:space="preserve">Пр</w:t>
      </w:r>
      <w:r>
        <w:rPr>
          <w:rFonts w:ascii="Tinos" w:hAnsi="Tinos" w:eastAsia="Tinos" w:cs="Tinos"/>
          <w:sz w:val="22"/>
          <w:szCs w:val="22"/>
        </w:rPr>
        <w:t xml:space="preserve">иложение</w:t>
      </w:r>
      <w:r>
        <w:rPr>
          <w:rFonts w:ascii="Tinos" w:hAnsi="Tinos" w:eastAsia="Tinos" w:cs="Tinos"/>
          <w:sz w:val="22"/>
          <w:szCs w:val="22"/>
          <w:lang w:val="en-US"/>
        </w:rPr>
        <w:t xml:space="preserve"> 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2"/>
        <w:jc w:val="right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к Государственному контракту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2"/>
        <w:jc w:val="center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                                                           </w:t>
      </w:r>
      <w:r>
        <w:rPr>
          <w:rFonts w:ascii="Tinos" w:hAnsi="Tinos" w:eastAsia="Tinos" w:cs="Tinos"/>
          <w:sz w:val="22"/>
          <w:szCs w:val="22"/>
        </w:rPr>
        <w:t xml:space="preserve">              </w:t>
      </w:r>
      <w:r>
        <w:rPr>
          <w:rFonts w:ascii="Tinos" w:hAnsi="Tinos" w:eastAsia="Tinos" w:cs="Tinos"/>
          <w:sz w:val="22"/>
          <w:szCs w:val="22"/>
        </w:rPr>
        <w:t xml:space="preserve">     </w:t>
      </w:r>
      <w:r>
        <w:rPr>
          <w:rFonts w:ascii="Tinos" w:hAnsi="Tinos" w:eastAsia="Tinos" w:cs="Tinos"/>
          <w:sz w:val="22"/>
          <w:szCs w:val="22"/>
        </w:rPr>
        <w:t xml:space="preserve">  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                 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                      </w:t>
      </w:r>
      <w:r>
        <w:rPr>
          <w:rFonts w:ascii="Tinos" w:hAnsi="Tinos" w:eastAsia="Tinos" w:cs="Tinos"/>
          <w:sz w:val="22"/>
          <w:szCs w:val="22"/>
        </w:rPr>
        <w:t xml:space="preserve">от </w:t>
      </w:r>
      <w:r>
        <w:rPr>
          <w:rFonts w:ascii="Tinos" w:hAnsi="Tinos" w:eastAsia="Tinos" w:cs="Tinos"/>
          <w:sz w:val="22"/>
          <w:szCs w:val="22"/>
        </w:rPr>
        <w:t xml:space="preserve">________________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№ </w:t>
      </w:r>
      <w:r>
        <w:rPr>
          <w:rFonts w:ascii="Tinos" w:hAnsi="Tinos" w:eastAsia="Tinos" w:cs="Tinos"/>
          <w:sz w:val="22"/>
          <w:szCs w:val="22"/>
        </w:rPr>
        <w:t xml:space="preserve">_____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49"/>
        <w:ind w:left="0"/>
        <w:jc w:val="center"/>
        <w:spacing w:after="0"/>
        <w:rPr>
          <w:rFonts w:ascii="Tinos" w:hAnsi="Tinos" w:eastAsia="Tinos" w:cs="Tinos"/>
          <w:b/>
          <w:bCs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sz w:val="22"/>
          <w:szCs w:val="22"/>
          <w:highlight w:val="none"/>
        </w:rPr>
      </w:r>
      <w:r>
        <w:rPr>
          <w:rFonts w:ascii="Tinos" w:hAnsi="Tinos" w:eastAsia="Tinos" w:cs="Tinos"/>
          <w:b/>
          <w:bCs/>
          <w:sz w:val="22"/>
          <w:szCs w:val="22"/>
          <w:highlight w:val="none"/>
        </w:rPr>
      </w:r>
    </w:p>
    <w:p>
      <w:pPr>
        <w:pStyle w:val="949"/>
        <w:ind w:left="0"/>
        <w:jc w:val="center"/>
        <w:spacing w:after="0"/>
        <w:rPr>
          <w:rFonts w:ascii="Tinos" w:hAnsi="Tinos" w:eastAsia="Tinos" w:cs="Tinos"/>
          <w:b/>
          <w:bCs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sz w:val="22"/>
          <w:szCs w:val="22"/>
          <w:highlight w:val="none"/>
        </w:rPr>
      </w:r>
      <w:r>
        <w:rPr>
          <w:rFonts w:ascii="Tinos" w:hAnsi="Tinos" w:eastAsia="Tinos" w:cs="Tinos"/>
          <w:b/>
          <w:bCs/>
          <w:sz w:val="22"/>
          <w:szCs w:val="22"/>
          <w:highlight w:val="none"/>
        </w:rPr>
      </w:r>
    </w:p>
    <w:p>
      <w:pPr>
        <w:pStyle w:val="949"/>
        <w:ind w:left="0"/>
        <w:jc w:val="center"/>
        <w:spacing w:after="0"/>
        <w:rPr>
          <w:rFonts w:ascii="Tinos" w:hAnsi="Tinos" w:eastAsia="Tinos" w:cs="Tinos"/>
          <w:b/>
          <w:bCs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sz w:val="22"/>
          <w:szCs w:val="22"/>
        </w:rPr>
        <w:t xml:space="preserve">Порядок расчета цены. </w:t>
      </w:r>
      <w:r>
        <w:rPr>
          <w:rFonts w:ascii="Tinos" w:hAnsi="Tinos" w:eastAsia="Tinos" w:cs="Tinos"/>
          <w:b/>
          <w:bCs/>
          <w:sz w:val="22"/>
          <w:szCs w:val="22"/>
          <w:highlight w:val="none"/>
        </w:rPr>
      </w:r>
      <w:r>
        <w:rPr>
          <w:rFonts w:ascii="Tinos" w:hAnsi="Tinos" w:eastAsia="Tinos" w:cs="Tinos"/>
          <w:b/>
          <w:bCs/>
          <w:sz w:val="22"/>
          <w:szCs w:val="22"/>
          <w:highlight w:val="none"/>
        </w:rPr>
      </w:r>
    </w:p>
    <w:p>
      <w:pPr>
        <w:pStyle w:val="949"/>
        <w:ind w:left="0"/>
        <w:jc w:val="center"/>
        <w:spacing w:after="0"/>
        <w:rPr>
          <w:rFonts w:ascii="Tinos" w:hAnsi="Tinos" w:eastAsia="Tinos" w:cs="Tinos"/>
          <w:b/>
          <w:bCs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sz w:val="22"/>
          <w:szCs w:val="22"/>
          <w:highlight w:val="none"/>
        </w:rPr>
      </w:r>
      <w:r>
        <w:rPr>
          <w:rFonts w:ascii="Tinos" w:hAnsi="Tinos" w:eastAsia="Tinos" w:cs="Tinos"/>
          <w:b/>
          <w:bCs/>
          <w:sz w:val="22"/>
          <w:szCs w:val="22"/>
          <w:highlight w:val="none"/>
        </w:rPr>
      </w:r>
    </w:p>
    <w:p>
      <w:pPr>
        <w:pStyle w:val="949"/>
        <w:ind w:left="0" w:firstLine="708"/>
        <w:jc w:val="both"/>
        <w:spacing w:after="0"/>
        <w:rPr>
          <w:rFonts w:ascii="Tinos" w:hAnsi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bCs/>
          <w:sz w:val="22"/>
          <w:szCs w:val="22"/>
        </w:rPr>
        <w:t xml:space="preserve">Расчет цены Контракта произведен на основании </w:t>
      </w:r>
      <w:r>
        <w:rPr>
          <w:rFonts w:ascii="Tinos" w:hAnsi="Tinos" w:eastAsia="Tinos" w:cs="Tinos"/>
          <w:bCs/>
          <w:sz w:val="22"/>
          <w:szCs w:val="22"/>
        </w:rPr>
        <w:t xml:space="preserve">калькуляции</w:t>
      </w:r>
      <w:r>
        <w:rPr>
          <w:rFonts w:ascii="Tinos" w:hAnsi="Tinos" w:eastAsia="Tinos" w:cs="Tinos"/>
          <w:bCs/>
          <w:sz w:val="22"/>
          <w:szCs w:val="22"/>
        </w:rPr>
        <w:t xml:space="preserve"> </w:t>
      </w:r>
      <w:r>
        <w:rPr>
          <w:rFonts w:ascii="Tinos" w:hAnsi="Tinos" w:eastAsia="Tinos" w:cs="Tinos"/>
          <w:bCs/>
          <w:sz w:val="22"/>
          <w:szCs w:val="22"/>
        </w:rPr>
        <w:t xml:space="preserve">БУЗОО «Калачинская </w:t>
      </w:r>
      <w:r>
        <w:rPr>
          <w:rFonts w:ascii="Tinos" w:hAnsi="Tinos" w:eastAsia="Tinos" w:cs="Tinos"/>
          <w:sz w:val="22"/>
          <w:szCs w:val="22"/>
        </w:rPr>
        <w:t xml:space="preserve">ЦРБ</w:t>
      </w:r>
      <w:r>
        <w:rPr>
          <w:rFonts w:ascii="Tinos" w:hAnsi="Tinos" w:eastAsia="Tinos" w:cs="Tinos"/>
          <w:bCs/>
          <w:sz w:val="22"/>
          <w:szCs w:val="22"/>
        </w:rPr>
        <w:t xml:space="preserve">»</w:t>
      </w:r>
      <w:r>
        <w:rPr>
          <w:rFonts w:ascii="Tinos" w:hAnsi="Tinos" w:eastAsia="Tinos" w:cs="Tinos"/>
          <w:bCs/>
          <w:sz w:val="22"/>
          <w:szCs w:val="22"/>
        </w:rPr>
        <w:t xml:space="preserve"> </w:t>
      </w:r>
      <w:r>
        <w:rPr>
          <w:rFonts w:ascii="Tinos" w:hAnsi="Tinos" w:eastAsia="Tinos" w:cs="Tinos"/>
          <w:bCs/>
          <w:sz w:val="22"/>
          <w:szCs w:val="22"/>
        </w:rPr>
        <w:br w:type="textWrapping" w:clear="all"/>
      </w:r>
      <w:r>
        <w:rPr>
          <w:rFonts w:ascii="Tinos" w:hAnsi="Tinos" w:eastAsia="Tinos" w:cs="Tinos"/>
          <w:bCs/>
          <w:sz w:val="22"/>
          <w:szCs w:val="22"/>
        </w:rPr>
        <w:t xml:space="preserve">на медицинские услуги по проведению ежедневного</w:t>
      </w:r>
      <w:r>
        <w:rPr>
          <w:rFonts w:ascii="Tinos" w:hAnsi="Tinos" w:eastAsia="Tinos" w:cs="Tinos"/>
          <w:bCs/>
          <w:sz w:val="22"/>
          <w:szCs w:val="22"/>
        </w:rPr>
        <w:t xml:space="preserve"> пред</w:t>
      </w:r>
      <w:r>
        <w:rPr>
          <w:rFonts w:ascii="Tinos" w:hAnsi="Tinos" w:eastAsia="Tinos" w:cs="Tinos"/>
          <w:bCs/>
          <w:sz w:val="22"/>
          <w:szCs w:val="22"/>
        </w:rPr>
        <w:t xml:space="preserve">рейсового и послерейсового медицинского осмотра </w:t>
      </w:r>
      <w:r>
        <w:rPr>
          <w:rFonts w:ascii="Tinos" w:hAnsi="Tinos" w:eastAsia="Tinos" w:cs="Tinos"/>
          <w:bCs/>
          <w:sz w:val="22"/>
          <w:szCs w:val="22"/>
        </w:rPr>
        <w:t xml:space="preserve">водителей</w:t>
      </w:r>
      <w:r>
        <w:rPr>
          <w:rFonts w:ascii="Tinos" w:hAnsi="Tinos" w:eastAsia="Tinos" w:cs="Tinos"/>
          <w:bCs/>
          <w:sz w:val="22"/>
          <w:szCs w:val="22"/>
        </w:rPr>
        <w:t xml:space="preserve"> на 2025-2026</w:t>
      </w:r>
      <w:r>
        <w:rPr>
          <w:rFonts w:ascii="Tinos" w:hAnsi="Tinos" w:eastAsia="Tinos" w:cs="Tinos"/>
          <w:bCs/>
          <w:sz w:val="22"/>
          <w:szCs w:val="22"/>
        </w:rPr>
        <w:t xml:space="preserve">.</w:t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bCs/>
          <w:sz w:val="22"/>
          <w:szCs w:val="22"/>
          <w:highlight w:val="none"/>
        </w:rPr>
      </w:r>
      <w:r>
        <w:rPr>
          <w:rFonts w:ascii="Tinos" w:hAnsi="Tinos" w:cs="Tinos"/>
          <w:bCs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pStyle w:val="949"/>
        <w:ind w:left="0" w:firstLine="708"/>
        <w:jc w:val="both"/>
        <w:spacing w:after="0"/>
        <w:rPr>
          <w:rFonts w:ascii="Tinos" w:hAnsi="Tinos" w:cs="Tinos"/>
          <w:sz w:val="22"/>
          <w:szCs w:val="22"/>
          <w:highlight w:val="none"/>
        </w:rPr>
      </w:pP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tbl>
      <w:tblPr>
        <w:tblW w:w="958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5"/>
        <w:gridCol w:w="2813"/>
        <w:gridCol w:w="1980"/>
        <w:gridCol w:w="2340"/>
        <w:gridCol w:w="192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5" w:type="dxa"/>
            <w:vAlign w:val="center"/>
            <w:textDirection w:val="lrTb"/>
            <w:noWrap w:val="false"/>
          </w:tcPr>
          <w:p>
            <w:pPr>
              <w:pStyle w:val="922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№ п/п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13" w:type="dxa"/>
            <w:vAlign w:val="center"/>
            <w:textDirection w:val="lrTb"/>
            <w:noWrap w:val="false"/>
          </w:tcPr>
          <w:p>
            <w:pPr>
              <w:pStyle w:val="922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Месяц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80" w:type="dxa"/>
            <w:vAlign w:val="center"/>
            <w:textDirection w:val="lrTb"/>
            <w:noWrap w:val="false"/>
          </w:tcPr>
          <w:p>
            <w:pPr>
              <w:pStyle w:val="922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Количество выездов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340" w:type="dxa"/>
            <w:vAlign w:val="center"/>
            <w:textDirection w:val="lrTb"/>
            <w:noWrap w:val="false"/>
          </w:tcPr>
          <w:p>
            <w:pPr>
              <w:pStyle w:val="922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Стоимость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предрейсового медицинского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осмотр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одного водителя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(НДС не облагается)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руб.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20" w:type="dxa"/>
            <w:vAlign w:val="center"/>
            <w:textDirection w:val="lrTb"/>
            <w:noWrap w:val="false"/>
          </w:tcPr>
          <w:p>
            <w:pPr>
              <w:pStyle w:val="922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Сумма (НДС не облагается)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руб.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/>
        <w:tc>
          <w:tcPr>
            <w:tcW w:w="535" w:type="dxa"/>
            <w:vAlign w:val="top"/>
            <w:vMerge w:val="restart"/>
            <w:textDirection w:val="lrTb"/>
            <w:noWrap w:val="false"/>
          </w:tcPr>
          <w:p>
            <w:pPr>
              <w:pStyle w:val="922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13" w:type="dxa"/>
            <w:vAlign w:val="top"/>
            <w:vMerge w:val="restart"/>
            <w:textDirection w:val="lrTb"/>
            <w:noWrap w:val="false"/>
          </w:tcPr>
          <w:p>
            <w:pPr>
              <w:pStyle w:val="922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Июнь 2026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80" w:type="dxa"/>
            <w:vAlign w:val="top"/>
            <w:vMerge w:val="restart"/>
            <w:textDirection w:val="lrTb"/>
            <w:noWrap w:val="false"/>
          </w:tcPr>
          <w:p>
            <w:pPr>
              <w:pStyle w:val="922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34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55,00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20" w:type="dxa"/>
            <w:vAlign w:val="top"/>
            <w:vMerge w:val="restart"/>
            <w:textDirection w:val="lrTb"/>
            <w:noWrap w:val="false"/>
          </w:tcPr>
          <w:p>
            <w:pPr>
              <w:pStyle w:val="922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440,00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/>
        <w:tc>
          <w:tcPr>
            <w:tcW w:w="535" w:type="dxa"/>
            <w:vAlign w:val="top"/>
            <w:vMerge w:val="restart"/>
            <w:textDirection w:val="lrTb"/>
            <w:noWrap w:val="false"/>
          </w:tcPr>
          <w:p>
            <w:pPr>
              <w:pStyle w:val="922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13" w:type="dxa"/>
            <w:vAlign w:val="top"/>
            <w:vMerge w:val="restart"/>
            <w:textDirection w:val="lrTb"/>
            <w:noWrap w:val="false"/>
          </w:tcPr>
          <w:p>
            <w:pPr>
              <w:pStyle w:val="922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Июль 2026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80" w:type="dxa"/>
            <w:vAlign w:val="top"/>
            <w:vMerge w:val="restart"/>
            <w:textDirection w:val="lrTb"/>
            <w:noWrap w:val="false"/>
          </w:tcPr>
          <w:p>
            <w:pPr>
              <w:pStyle w:val="922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5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34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55,00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20" w:type="dxa"/>
            <w:vAlign w:val="top"/>
            <w:vMerge w:val="restart"/>
            <w:textDirection w:val="lrTb"/>
            <w:noWrap w:val="false"/>
          </w:tcPr>
          <w:p>
            <w:pPr>
              <w:pStyle w:val="922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275,00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/>
        <w:tc>
          <w:tcPr>
            <w:tcW w:w="535" w:type="dxa"/>
            <w:vAlign w:val="top"/>
            <w:vMerge w:val="restart"/>
            <w:textDirection w:val="lrTb"/>
            <w:noWrap w:val="false"/>
          </w:tcPr>
          <w:p>
            <w:pPr>
              <w:pStyle w:val="922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3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13" w:type="dxa"/>
            <w:vAlign w:val="top"/>
            <w:vMerge w:val="restart"/>
            <w:textDirection w:val="lrTb"/>
            <w:noWrap w:val="false"/>
          </w:tcPr>
          <w:p>
            <w:pPr>
              <w:pStyle w:val="922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Август 2026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80" w:type="dxa"/>
            <w:vAlign w:val="top"/>
            <w:vMerge w:val="restart"/>
            <w:textDirection w:val="lrTb"/>
            <w:noWrap w:val="false"/>
          </w:tcPr>
          <w:p>
            <w:pPr>
              <w:pStyle w:val="922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5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34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55,00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20" w:type="dxa"/>
            <w:vAlign w:val="top"/>
            <w:vMerge w:val="restart"/>
            <w:textDirection w:val="lrTb"/>
            <w:noWrap w:val="false"/>
          </w:tcPr>
          <w:p>
            <w:pPr>
              <w:pStyle w:val="922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275,00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/>
        <w:tc>
          <w:tcPr>
            <w:tcW w:w="535" w:type="dxa"/>
            <w:vAlign w:val="top"/>
            <w:vMerge w:val="restart"/>
            <w:textDirection w:val="lrTb"/>
            <w:noWrap w:val="false"/>
          </w:tcPr>
          <w:p>
            <w:pPr>
              <w:pStyle w:val="922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4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13" w:type="dxa"/>
            <w:vAlign w:val="top"/>
            <w:vMerge w:val="restart"/>
            <w:textDirection w:val="lrTb"/>
            <w:noWrap w:val="false"/>
          </w:tcPr>
          <w:p>
            <w:pPr>
              <w:pStyle w:val="922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Сентябрь 2026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80" w:type="dxa"/>
            <w:vAlign w:val="top"/>
            <w:vMerge w:val="restart"/>
            <w:textDirection w:val="lrTb"/>
            <w:noWrap w:val="false"/>
          </w:tcPr>
          <w:p>
            <w:pPr>
              <w:pStyle w:val="922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34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55,00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20" w:type="dxa"/>
            <w:vAlign w:val="top"/>
            <w:vMerge w:val="restart"/>
            <w:textDirection w:val="lrTb"/>
            <w:noWrap w:val="false"/>
          </w:tcPr>
          <w:p>
            <w:pPr>
              <w:pStyle w:val="922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440,00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5" w:type="dxa"/>
            <w:vAlign w:val="top"/>
            <w:textDirection w:val="lrTb"/>
            <w:noWrap w:val="false"/>
          </w:tcPr>
          <w:p>
            <w:pPr>
              <w:pStyle w:val="922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5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13" w:type="dxa"/>
            <w:vAlign w:val="top"/>
            <w:textDirection w:val="lrTb"/>
            <w:noWrap w:val="false"/>
          </w:tcPr>
          <w:p>
            <w:pPr>
              <w:pStyle w:val="922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Октябрь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202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80" w:type="dxa"/>
            <w:vAlign w:val="top"/>
            <w:textDirection w:val="lrTb"/>
            <w:noWrap w:val="false"/>
          </w:tcPr>
          <w:p>
            <w:pPr>
              <w:pStyle w:val="922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3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55,00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20" w:type="dxa"/>
            <w:vAlign w:val="top"/>
            <w:textDirection w:val="lrTb"/>
            <w:noWrap w:val="false"/>
          </w:tcPr>
          <w:p>
            <w:pPr>
              <w:pStyle w:val="922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330,00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5"/>
        </w:trPr>
        <w:tc>
          <w:tcPr>
            <w:tcW w:w="535" w:type="dxa"/>
            <w:vAlign w:val="top"/>
            <w:textDirection w:val="lrTb"/>
            <w:noWrap w:val="false"/>
          </w:tcPr>
          <w:p>
            <w:pPr>
              <w:pStyle w:val="922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13" w:type="dxa"/>
            <w:vAlign w:val="top"/>
            <w:textDirection w:val="lrTb"/>
            <w:noWrap w:val="false"/>
          </w:tcPr>
          <w:p>
            <w:pPr>
              <w:pStyle w:val="922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Ноябрь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202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80" w:type="dxa"/>
            <w:vAlign w:val="top"/>
            <w:textDirection w:val="lrTb"/>
            <w:noWrap w:val="false"/>
          </w:tcPr>
          <w:p>
            <w:pPr>
              <w:pStyle w:val="922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3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55,00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20" w:type="dxa"/>
            <w:vAlign w:val="top"/>
            <w:textDirection w:val="lrTb"/>
            <w:noWrap w:val="false"/>
          </w:tcPr>
          <w:p>
            <w:pPr>
              <w:pStyle w:val="922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330,00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/>
        <w:tc>
          <w:tcPr>
            <w:tcW w:w="535" w:type="dxa"/>
            <w:vAlign w:val="top"/>
            <w:vMerge w:val="restart"/>
            <w:textDirection w:val="lrTb"/>
            <w:noWrap w:val="false"/>
          </w:tcPr>
          <w:p>
            <w:pPr>
              <w:pStyle w:val="922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7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13" w:type="dxa"/>
            <w:vAlign w:val="top"/>
            <w:vMerge w:val="restart"/>
            <w:textDirection w:val="lrTb"/>
            <w:noWrap w:val="false"/>
          </w:tcPr>
          <w:p>
            <w:pPr>
              <w:pStyle w:val="922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Декабрь 2026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80" w:type="dxa"/>
            <w:vAlign w:val="top"/>
            <w:vMerge w:val="restart"/>
            <w:textDirection w:val="lrTb"/>
            <w:noWrap w:val="false"/>
          </w:tcPr>
          <w:p>
            <w:pPr>
              <w:pStyle w:val="922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34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55,00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20" w:type="dxa"/>
            <w:vAlign w:val="top"/>
            <w:vMerge w:val="restart"/>
            <w:textDirection w:val="lrTb"/>
            <w:noWrap w:val="false"/>
          </w:tcPr>
          <w:p>
            <w:pPr>
              <w:pStyle w:val="922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330,00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4"/>
        </w:trPr>
        <w:tc>
          <w:tcPr>
            <w:gridSpan w:val="2"/>
            <w:tcW w:w="3348" w:type="dxa"/>
            <w:vAlign w:val="top"/>
            <w:textDirection w:val="lrTb"/>
            <w:noWrap w:val="false"/>
          </w:tcPr>
          <w:p>
            <w:pPr>
              <w:pStyle w:val="922"/>
              <w:jc w:val="center"/>
              <w:rPr>
                <w:rFonts w:ascii="Tinos" w:hAnsi="Tinos" w:cs="Tinos"/>
                <w:b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ИТОГО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: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</w:tc>
        <w:tc>
          <w:tcPr>
            <w:tcW w:w="1980" w:type="dxa"/>
            <w:vAlign w:val="top"/>
            <w:textDirection w:val="lrTb"/>
            <w:noWrap w:val="false"/>
          </w:tcPr>
          <w:p>
            <w:pPr>
              <w:pStyle w:val="922"/>
              <w:jc w:val="center"/>
              <w:rPr>
                <w:rFonts w:ascii="Tinos" w:hAnsi="Tinos" w:cs="Tinos"/>
                <w:b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44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</w:tc>
        <w:tc>
          <w:tcPr>
            <w:tcW w:w="2340" w:type="dxa"/>
            <w:vAlign w:val="top"/>
            <w:textDirection w:val="lrTb"/>
            <w:noWrap w:val="false"/>
          </w:tcPr>
          <w:p>
            <w:pPr>
              <w:pStyle w:val="922"/>
              <w:jc w:val="center"/>
              <w:rPr>
                <w:rFonts w:ascii="Tinos" w:hAnsi="Tinos" w:cs="Tinos"/>
                <w:b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-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</w:tc>
        <w:tc>
          <w:tcPr>
            <w:tcW w:w="1920" w:type="dxa"/>
            <w:vAlign w:val="top"/>
            <w:textDirection w:val="lrTb"/>
            <w:noWrap w:val="false"/>
          </w:tcPr>
          <w:p>
            <w:pPr>
              <w:pStyle w:val="922"/>
              <w:jc w:val="center"/>
              <w:rPr>
                <w:rFonts w:ascii="Tinos" w:hAnsi="Tinos" w:cs="Tinos"/>
                <w:b/>
                <w:sz w:val="22"/>
                <w:szCs w:val="22"/>
                <w:highlight w:val="yellow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  <w:highlight w:val="none"/>
              </w:rPr>
              <w:t xml:space="preserve">2 420,00</w:t>
            </w:r>
            <w:r>
              <w:rPr>
                <w:rFonts w:ascii="Tinos" w:hAnsi="Tinos" w:cs="Tinos"/>
                <w:b/>
                <w:sz w:val="22"/>
                <w:szCs w:val="22"/>
                <w:highlight w:val="yellow"/>
              </w:rPr>
            </w:r>
            <w:r>
              <w:rPr>
                <w:rFonts w:ascii="Tinos" w:hAnsi="Tinos" w:cs="Tinos"/>
                <w:b/>
                <w:sz w:val="22"/>
                <w:szCs w:val="22"/>
                <w:highlight w:val="yellow"/>
              </w:rPr>
            </w:r>
          </w:p>
        </w:tc>
      </w:tr>
    </w:tbl>
    <w:p>
      <w:pPr>
        <w:ind w:firstLine="708"/>
        <w:jc w:val="center"/>
        <w:rPr>
          <w:rFonts w:ascii="Tinos" w:hAnsi="Tinos" w:cs="Tinos"/>
          <w:b/>
          <w:bCs/>
          <w:sz w:val="22"/>
          <w:szCs w:val="22"/>
          <w:highlight w:val="none"/>
        </w:rPr>
      </w:pP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</w:p>
    <w:p>
      <w:pPr>
        <w:ind w:firstLine="708"/>
        <w:jc w:val="center"/>
        <w:rPr>
          <w:rFonts w:ascii="Tinos" w:hAnsi="Tinos" w:cs="Tinos"/>
          <w:b/>
          <w:bCs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sz w:val="22"/>
          <w:szCs w:val="22"/>
          <w:highlight w:val="none"/>
        </w:rPr>
      </w:r>
      <w:r>
        <w:rPr>
          <w:rFonts w:ascii="Tinos" w:hAnsi="Tinos" w:eastAsia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</w:p>
    <w:p>
      <w:pPr>
        <w:pStyle w:val="922"/>
        <w:ind w:firstLine="708"/>
        <w:jc w:val="center"/>
        <w:rPr>
          <w:rFonts w:ascii="Tinos" w:hAnsi="Tinos" w:cs="Tinos"/>
          <w:b/>
          <w:bCs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sz w:val="22"/>
          <w:szCs w:val="22"/>
        </w:rPr>
        <w:t xml:space="preserve">Перечень оказываемых услуг</w:t>
      </w:r>
      <w:r>
        <w:rPr>
          <w:rFonts w:ascii="Tinos" w:hAnsi="Tinos" w:eastAsia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eastAsia="Tinos" w:cs="Tinos"/>
          <w:b/>
          <w:bCs/>
          <w:sz w:val="22"/>
          <w:szCs w:val="22"/>
          <w:highlight w:val="none"/>
        </w:rPr>
      </w:r>
    </w:p>
    <w:p>
      <w:pPr>
        <w:ind w:firstLine="708"/>
        <w:jc w:val="center"/>
        <w:rPr>
          <w:rFonts w:ascii="Tinos" w:hAnsi="Tinos" w:eastAsia="Tinos" w:cs="Tinos"/>
          <w:b/>
          <w:bCs/>
          <w:sz w:val="22"/>
          <w:szCs w:val="22"/>
          <w:highlight w:val="none"/>
        </w:rPr>
      </w:pP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</w:p>
    <w:p>
      <w:pPr>
        <w:pStyle w:val="922"/>
        <w:jc w:val="both"/>
        <w:tabs>
          <w:tab w:val="left" w:pos="426" w:leader="none"/>
        </w:tabs>
        <w:rPr>
          <w:rFonts w:ascii="Tinos" w:hAnsi="Tinos" w:cs="Tinos"/>
          <w:b/>
          <w:bCs/>
          <w:sz w:val="22"/>
          <w:szCs w:val="22"/>
        </w:rPr>
      </w:pPr>
      <w:r>
        <w:rPr>
          <w:rFonts w:ascii="Tinos" w:hAnsi="Tinos" w:eastAsia="Tinos" w:cs="Tinos"/>
          <w:b/>
          <w:bCs/>
          <w:sz w:val="22"/>
          <w:szCs w:val="22"/>
        </w:rPr>
        <w:tab/>
      </w:r>
      <w:r>
        <w:rPr>
          <w:rFonts w:ascii="Tinos" w:hAnsi="Tinos" w:eastAsia="Tinos" w:cs="Tinos"/>
          <w:sz w:val="22"/>
          <w:szCs w:val="22"/>
        </w:rPr>
        <w:t xml:space="preserve">1.</w:t>
      </w:r>
      <w:r>
        <w:rPr>
          <w:rFonts w:ascii="Tinos" w:hAnsi="Tinos" w:eastAsia="Tinos" w:cs="Tinos"/>
          <w:b/>
          <w:bCs/>
          <w:sz w:val="22"/>
          <w:szCs w:val="22"/>
        </w:rPr>
        <w:t xml:space="preserve"> </w:t>
      </w:r>
      <w:r>
        <w:rPr>
          <w:rFonts w:ascii="Tinos" w:hAnsi="Tinos" w:eastAsia="Tinos" w:cs="Tinos"/>
          <w:bCs/>
          <w:sz w:val="22"/>
          <w:szCs w:val="22"/>
        </w:rPr>
        <w:t xml:space="preserve">О</w:t>
      </w:r>
      <w:r>
        <w:rPr>
          <w:rFonts w:ascii="Tinos" w:hAnsi="Tinos" w:eastAsia="Tinos" w:cs="Tinos"/>
          <w:sz w:val="22"/>
          <w:szCs w:val="22"/>
        </w:rPr>
        <w:t xml:space="preserve">смотр </w:t>
      </w:r>
      <w:r>
        <w:rPr>
          <w:rFonts w:ascii="Tinos" w:hAnsi="Tinos" w:eastAsia="Tinos" w:cs="Tinos"/>
          <w:sz w:val="22"/>
          <w:szCs w:val="22"/>
        </w:rPr>
        <w:t xml:space="preserve">включает проведение следующих мероприятий:</w:t>
      </w:r>
      <w:r>
        <w:rPr>
          <w:rFonts w:ascii="Tinos" w:hAnsi="Tinos" w:eastAsia="Tinos" w:cs="Tinos"/>
          <w:b/>
          <w:bCs/>
          <w:sz w:val="22"/>
          <w:szCs w:val="22"/>
        </w:rPr>
        <w:t xml:space="preserve"> </w:t>
      </w: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</w:p>
    <w:p>
      <w:pPr>
        <w:pStyle w:val="922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b/>
          <w:bCs/>
          <w:sz w:val="22"/>
          <w:szCs w:val="22"/>
        </w:rPr>
        <w:t xml:space="preserve">- </w:t>
      </w:r>
      <w:r>
        <w:rPr>
          <w:rFonts w:ascii="Tinos" w:hAnsi="Tinos" w:eastAsia="Tinos" w:cs="Tinos"/>
          <w:sz w:val="22"/>
          <w:szCs w:val="22"/>
        </w:rPr>
        <w:t xml:space="preserve">сбор анамнеза;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2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определение артериального давления и пульса водителей;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2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определение наличия алкоголя и других психотропных веществ в выдыхаемом воздухе </w:t>
      </w:r>
      <w:r>
        <w:rPr>
          <w:rFonts w:ascii="Tinos" w:hAnsi="Tinos" w:eastAsia="Tinos" w:cs="Tinos"/>
          <w:sz w:val="22"/>
          <w:szCs w:val="22"/>
        </w:rPr>
        <w:br w:type="textWrapping" w:clear="all"/>
      </w:r>
      <w:r>
        <w:rPr>
          <w:rFonts w:ascii="Tinos" w:hAnsi="Tinos" w:eastAsia="Tinos" w:cs="Tinos"/>
          <w:sz w:val="22"/>
          <w:szCs w:val="22"/>
        </w:rPr>
        <w:t xml:space="preserve">или биологических субстратах;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2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при наличии показаний проведение любых других разрешенных медицинских исследований, необходимых для решения вопроса о допуске водителей к рейсу;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2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для водителей, больных гипертонической болезнью, определяется индивидуальная норма артериального давления по результатам замеров не менее чем десяти предрейсовых медицинских осмотров.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2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ab/>
      </w:r>
      <w:r>
        <w:rPr>
          <w:rFonts w:ascii="Tinos" w:hAnsi="Tinos" w:eastAsia="Tinos" w:cs="Tinos"/>
          <w:sz w:val="22"/>
          <w:szCs w:val="22"/>
        </w:rPr>
        <w:t xml:space="preserve">2. При р</w:t>
      </w:r>
      <w:r>
        <w:rPr>
          <w:rFonts w:ascii="Tinos" w:hAnsi="Tinos" w:eastAsia="Tinos" w:cs="Tinos"/>
          <w:sz w:val="22"/>
          <w:szCs w:val="22"/>
        </w:rPr>
        <w:t xml:space="preserve">ешении вопроса о возможности допуска водителя к управлению автомобилем медицинский работник, проводящий осмотр, учитывает принадлежность водителя к одной из групп риска, возраст, стаж работы в профессии, условия работы и характер производственных факторов.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2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ab/>
      </w:r>
      <w:r>
        <w:rPr>
          <w:rFonts w:ascii="Tinos" w:hAnsi="Tinos" w:eastAsia="Tinos" w:cs="Tinos"/>
          <w:sz w:val="22"/>
          <w:szCs w:val="22"/>
        </w:rPr>
        <w:t xml:space="preserve">3. Водители не допускаются к управлению автомобилем в следующих случаях: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2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при выявлении признаков временной нетрудоспособности;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2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при положительной пробе на алкоголь, другие психотропные вещества и наркотики </w:t>
      </w:r>
      <w:r>
        <w:rPr>
          <w:rFonts w:ascii="Tinos" w:hAnsi="Tinos" w:eastAsia="Tinos" w:cs="Tinos"/>
          <w:sz w:val="22"/>
          <w:szCs w:val="22"/>
        </w:rPr>
        <w:br w:type="textWrapping" w:clear="all"/>
      </w:r>
      <w:r>
        <w:rPr>
          <w:rFonts w:ascii="Tinos" w:hAnsi="Tinos" w:eastAsia="Tinos" w:cs="Tinos"/>
          <w:sz w:val="22"/>
          <w:szCs w:val="22"/>
        </w:rPr>
        <w:t xml:space="preserve">в выдыхаемом воздухе или биологических субстратах;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2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при выявлении признаков воздействия наркотических веществ;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2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при выявлении признаков воздействия лекарственных или иных веществ, отрицательно влияющих на работоспособность водителя.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2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ab/>
      </w:r>
      <w:r>
        <w:rPr>
          <w:rFonts w:ascii="Tinos" w:hAnsi="Tinos" w:eastAsia="Tinos" w:cs="Tinos"/>
          <w:sz w:val="22"/>
          <w:szCs w:val="22"/>
        </w:rPr>
        <w:t xml:space="preserve">4. При допуске к рейсу на путевых листах </w:t>
      </w:r>
      <w:r>
        <w:rPr>
          <w:rFonts w:ascii="Tinos" w:hAnsi="Tinos" w:eastAsia="Tinos" w:cs="Tinos"/>
          <w:sz w:val="22"/>
          <w:szCs w:val="22"/>
        </w:rPr>
        <w:t xml:space="preserve">по окончанию осмотра ставится отметка о допуске </w:t>
        <w:br/>
        <w:t xml:space="preserve">к рейсу (штамп установленного образца) и подпись медицинского работника, проводившего осмотр.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2"/>
        <w:jc w:val="both"/>
        <w:tabs>
          <w:tab w:val="left" w:pos="426" w:leader="none"/>
        </w:tabs>
        <w:rPr>
          <w:rFonts w:ascii="Tinos" w:hAnsi="Tinos" w:eastAsia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ab/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jc w:val="both"/>
        <w:tabs>
          <w:tab w:val="left" w:pos="426" w:leader="none"/>
        </w:tabs>
        <w:rPr>
          <w:rFonts w:ascii="Tinos" w:hAnsi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both"/>
        <w:tabs>
          <w:tab w:val="left" w:pos="426" w:leader="none"/>
        </w:tabs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both"/>
        <w:tabs>
          <w:tab w:val="left" w:pos="426" w:leader="none"/>
        </w:tabs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both"/>
        <w:tabs>
          <w:tab w:val="left" w:pos="426" w:leader="none"/>
        </w:tabs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both"/>
        <w:tabs>
          <w:tab w:val="left" w:pos="426" w:leader="none"/>
        </w:tabs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</w:rPr>
        <w:t xml:space="preserve">5. По результатам осмотра ведется полицевой учет отстраненных от работы водителей, для чего используются бланки карт амбулаторного больного (форма 25). В карту заносятся результаты </w:t>
      </w:r>
      <w:r>
        <w:rPr>
          <w:rFonts w:ascii="Tinos" w:hAnsi="Tinos" w:eastAsia="Tinos" w:cs="Tinos"/>
          <w:sz w:val="22"/>
          <w:szCs w:val="22"/>
        </w:rPr>
        <w:t xml:space="preserve">осмотра </w:t>
      </w:r>
      <w:r>
        <w:rPr>
          <w:rFonts w:ascii="Tinos" w:hAnsi="Tinos" w:eastAsia="Tinos" w:cs="Tinos"/>
          <w:sz w:val="22"/>
          <w:szCs w:val="22"/>
        </w:rPr>
        <w:t xml:space="preserve">(анамнез, объективные данные осмотра, причина отстранения).</w:t>
      </w:r>
      <w:r>
        <w:rPr>
          <w:rFonts w:ascii="Tinos" w:hAnsi="Tinos" w:cs="Tinos"/>
          <w:sz w:val="22"/>
          <w:szCs w:val="22"/>
          <w:highlight w:val="none"/>
        </w:rPr>
      </w:r>
      <w:r/>
    </w:p>
    <w:p>
      <w:pPr>
        <w:pStyle w:val="938"/>
        <w:spacing w:after="0"/>
        <w:rPr>
          <w:rFonts w:ascii="Tinos" w:hAnsi="Tinos" w:cs="Tinos"/>
          <w:sz w:val="22"/>
          <w:szCs w:val="22"/>
        </w:rPr>
      </w:pPr>
      <w:r>
        <w:rPr>
          <w:rFonts w:ascii="Tinos" w:hAnsi="Tinos" w:cs="Tinos"/>
          <w:bCs/>
          <w:sz w:val="22"/>
          <w:szCs w:val="22"/>
        </w:rPr>
      </w:r>
      <w:r>
        <w:rPr>
          <w:rFonts w:ascii="Tinos" w:hAnsi="Tinos" w:cs="Tinos"/>
          <w:bCs/>
          <w:sz w:val="22"/>
          <w:szCs w:val="22"/>
        </w:rPr>
      </w:r>
    </w:p>
    <w:p>
      <w:pPr>
        <w:pStyle w:val="938"/>
        <w:spacing w:after="0"/>
        <w:rPr>
          <w:rFonts w:ascii="Tinos" w:hAnsi="Tinos" w:cs="Tinos"/>
          <w:sz w:val="22"/>
          <w:szCs w:val="22"/>
        </w:rPr>
      </w:pP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38"/>
        <w:spacing w:after="0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bCs/>
          <w:sz w:val="22"/>
          <w:szCs w:val="22"/>
        </w:rPr>
      </w:r>
      <w:r>
        <w:rPr>
          <w:rFonts w:ascii="Tinos" w:hAnsi="Tinos" w:cs="Tinos"/>
          <w:bCs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tbl>
      <w:tblPr>
        <w:tblW w:w="9480" w:type="dxa"/>
        <w:tblInd w:w="108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440"/>
        <w:gridCol w:w="5040"/>
      </w:tblGrid>
      <w:tr>
        <w:tblPrEx/>
        <w:trPr>
          <w:trHeight w:val="501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40" w:type="dxa"/>
            <w:vAlign w:val="top"/>
            <w:textDirection w:val="lrTb"/>
            <w:noWrap w:val="false"/>
          </w:tcPr>
          <w:p>
            <w:pPr>
              <w:pStyle w:val="922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ЗАКАЗЧИК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2"/>
              <w:rPr>
                <w:rFonts w:ascii="Tinos" w:hAnsi="Tinos" w:cs="Tinos"/>
                <w:b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Управление Федеральной службы государственной регистрации, кадастра </w:t>
              <w:br w:type="textWrapping" w:clear="all"/>
              <w:t xml:space="preserve">и картографии по Омской области (Управление Росреестра по Омской области)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40" w:type="dxa"/>
            <w:vAlign w:val="top"/>
            <w:textDirection w:val="lrTb"/>
            <w:noWrap w:val="false"/>
          </w:tcPr>
          <w:p>
            <w:pPr>
              <w:pStyle w:val="922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ИСПОЛНИТЕЛЬ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>
          <w:trHeight w:val="1238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40" w:type="dxa"/>
            <w:vAlign w:val="top"/>
            <w:textDirection w:val="lrTb"/>
            <w:noWrap w:val="false"/>
          </w:tcPr>
          <w:p>
            <w:pPr>
              <w:pStyle w:val="922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2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Заместитель руководителя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2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2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___________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___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_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__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Э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Лапуста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2"/>
              <w:rPr>
                <w:rFonts w:ascii="Tinos" w:hAnsi="Tinos" w:cs="Tinos"/>
                <w:i/>
                <w:iCs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(подпись, печать)</w:t>
            </w:r>
            <w:r>
              <w:rPr>
                <w:rFonts w:ascii="Tinos" w:hAnsi="Tinos" w:cs="Tinos"/>
                <w:i/>
                <w:iCs/>
                <w:sz w:val="22"/>
                <w:szCs w:val="22"/>
              </w:rPr>
            </w:r>
            <w:r>
              <w:rPr>
                <w:rFonts w:ascii="Tinos" w:hAnsi="Tinos" w:cs="Tinos"/>
                <w:i/>
                <w:iCs/>
                <w:sz w:val="22"/>
                <w:szCs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40" w:type="dxa"/>
            <w:vAlign w:val="top"/>
            <w:textDirection w:val="lrTb"/>
            <w:noWrap w:val="false"/>
          </w:tcPr>
          <w:p>
            <w:pPr>
              <w:pStyle w:val="922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2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Г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лавный врач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2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2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________________ </w:t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2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(подпись, печать)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</w:tbl>
    <w:p>
      <w:pPr>
        <w:pStyle w:val="953"/>
        <w:ind w:right="-1" w:firstLine="0"/>
        <w:spacing w:line="24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sectPr>
      <w:footnotePr/>
      <w:endnotePr/>
      <w:type w:val="nextPage"/>
      <w:pgSz w:w="11906" w:h="16838" w:orient="portrait"/>
      <w:pgMar w:top="1134" w:right="567" w:bottom="680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Symbol">
    <w:panose1 w:val="05010000000000000000"/>
  </w:font>
  <w:font w:name="Times New Roman CYR">
    <w:panose1 w:val="02000603000000000000"/>
  </w:font>
  <w:font w:name="Cambria">
    <w:panose1 w:val="02040503050406030204"/>
  </w:font>
  <w:font w:name="Courier New">
    <w:panose1 w:val="02070409020205020404"/>
  </w:font>
  <w:font w:name="DejaVu Sans">
    <w:panose1 w:val="020B0603030804020204"/>
  </w:font>
  <w:font w:name="Wingdings">
    <w:panose1 w:val="05010000000000000000"/>
  </w:font>
  <w:font w:name="Franklin Gothic Book">
    <w:panose1 w:val="020B0503020203020204"/>
  </w:font>
  <w:font w:name="Lucida Sans Unicode">
    <w:panose1 w:val="020B0502040504020204"/>
  </w:font>
  <w:font w:name="Verdana">
    <w:panose1 w:val="020B0604030504040204"/>
  </w:font>
  <w:font w:name="TimesDL">
    <w:panose1 w:val="02000603000000000000"/>
  </w:font>
  <w:font w:name="Consultant">
    <w:panose1 w:val="02000603000000000000"/>
  </w:font>
  <w:font w:name="Times New Roman">
    <w:panose1 w:val="02020603050405020304"/>
  </w:font>
  <w:font w:name="Calibri">
    <w:panose1 w:val="020F0502020204030204"/>
  </w:font>
  <w:font w:name="Gelvetsky 12pt">
    <w:panose1 w:val="02000603000000000000"/>
  </w:font>
  <w:font w:name="Batang">
    <w:panose1 w:val="02000506000000020000"/>
  </w:font>
  <w:font w:name="Tahoma">
    <w:panose1 w:val="020B0604030504040204"/>
  </w:font>
  <w:font w:name="MS Mincho">
    <w:panose1 w:val="02020503050405090304"/>
  </w:font>
  <w:font w:name="Arial Unicode MS">
    <w:panose1 w:val="020B060402020202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922"/>
        <w:ind w:firstLine="540"/>
        <w:jc w:val="both"/>
      </w:pPr>
      <w:r>
        <w:rPr>
          <w:rStyle w:val="957"/>
        </w:rPr>
        <w:footnoteRef/>
      </w:r>
      <w:r>
        <w:t xml:space="preserve"> </w:t>
      </w:r>
      <w:r>
        <w:rPr>
          <w:sz w:val="18"/>
          <w:szCs w:val="18"/>
        </w:rPr>
        <w:t xml:space="preserve">Штрафные санкции рассчитываются на основании п</w:t>
      </w:r>
      <w:r>
        <w:rPr>
          <w:sz w:val="18"/>
          <w:szCs w:val="18"/>
        </w:rPr>
        <w:t xml:space="preserve">остановлени</w:t>
      </w:r>
      <w:r>
        <w:rPr>
          <w:sz w:val="18"/>
          <w:szCs w:val="18"/>
        </w:rPr>
        <w:t xml:space="preserve">я</w:t>
      </w:r>
      <w:r>
        <w:rPr>
          <w:sz w:val="18"/>
          <w:szCs w:val="18"/>
        </w:rPr>
        <w:t xml:space="preserve"> Правительства РФ от 30.08.2017 №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1042 </w:t>
      </w:r>
      <w:r>
        <w:rPr>
          <w:sz w:val="18"/>
          <w:szCs w:val="18"/>
        </w:rPr>
        <w:br w:type="textWrapping" w:clear="all"/>
      </w:r>
      <w:r>
        <w:rPr>
          <w:sz w:val="18"/>
          <w:szCs w:val="18"/>
        </w:rPr>
        <w:t xml:space="preserve">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</w:t>
      </w:r>
      <w:r>
        <w:rPr>
          <w:sz w:val="18"/>
          <w:szCs w:val="18"/>
        </w:rPr>
        <w:t xml:space="preserve">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570 и признании утратившим силу постановления Правительства Российской Федерации от 25 ноября 2013 г. №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1063»</w:t>
      </w:r>
      <w:r>
        <w:rPr>
          <w:sz w:val="18"/>
          <w:szCs w:val="18"/>
        </w:rPr>
        <w:t xml:space="preserve">.</w:t>
      </w:r>
      <w:r/>
    </w:p>
    <w:p>
      <w:pPr>
        <w:pStyle w:val="956"/>
      </w:pPr>
      <w:r/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0" w:firstLine="0"/>
        <w:tabs>
          <w:tab w:val="num" w:pos="360" w:leader="none"/>
        </w:tabs>
      </w:pPr>
    </w:lvl>
    <w:lvl w:ilvl="1">
      <w:start w:val="1"/>
      <w:numFmt w:val="decimal"/>
      <w:pStyle w:val="924"/>
      <w:isLgl w:val="false"/>
      <w:suff w:val="tab"/>
      <w:lvlText w:val="2.1."/>
      <w:lvlJc w:val="left"/>
      <w:pPr>
        <w:ind w:left="284" w:hanging="284"/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644" w:hanging="360"/>
        <w:tabs>
          <w:tab w:val="num" w:pos="644" w:leader="none"/>
        </w:tabs>
      </w:pPr>
    </w:lvl>
    <w:lvl w:ilvl="3">
      <w:start w:val="1"/>
      <w:numFmt w:val="decimal"/>
      <w:pStyle w:val="926"/>
      <w:isLgl w:val="false"/>
      <w:suff w:val="tab"/>
      <w:lvlText w:val="2%1%2.2.%4."/>
      <w:lvlJc w:val="left"/>
      <w:pPr>
        <w:ind w:left="1134" w:hanging="567"/>
        <w:tabs>
          <w:tab w:val="num" w:pos="1287" w:leader="none"/>
        </w:tabs>
      </w:pPr>
    </w:lvl>
    <w:lvl w:ilvl="4">
      <w:start w:val="1"/>
      <w:numFmt w:val="decimal"/>
      <w:pStyle w:val="927"/>
      <w:isLgl w:val="false"/>
      <w:suff w:val="tab"/>
      <w:lvlText w:val="2.%2.%3.%4.%5."/>
      <w:lvlJc w:val="left"/>
      <w:pPr>
        <w:ind w:left="1701" w:hanging="567"/>
        <w:tabs>
          <w:tab w:val="num" w:pos="2214" w:leader="none"/>
        </w:tabs>
      </w:pPr>
    </w:lvl>
    <w:lvl w:ilvl="5">
      <w:start w:val="1"/>
      <w:numFmt w:val="decimal"/>
      <w:pStyle w:val="928"/>
      <w:isLgl w:val="false"/>
      <w:suff w:val="tab"/>
      <w:lvlText w:val="%1%2.%3.%4.%5.%6."/>
      <w:lvlJc w:val="left"/>
      <w:pPr>
        <w:ind w:left="2268" w:hanging="567"/>
        <w:tabs>
          <w:tab w:val="num" w:pos="2781" w:leader="none"/>
        </w:tabs>
      </w:pPr>
    </w:lvl>
    <w:lvl w:ilvl="6">
      <w:start w:val="1"/>
      <w:numFmt w:val="decimal"/>
      <w:pStyle w:val="929"/>
      <w:isLgl w:val="false"/>
      <w:suff w:val="tab"/>
      <w:lvlText w:val="%1%2.%3.%4.%5.%6.%7."/>
      <w:lvlJc w:val="left"/>
      <w:pPr>
        <w:ind w:left="4420" w:hanging="708"/>
        <w:tabs>
          <w:tab w:val="num" w:pos="5152" w:leader="none"/>
        </w:tabs>
      </w:pPr>
    </w:lvl>
    <w:lvl w:ilvl="7">
      <w:start w:val="1"/>
      <w:numFmt w:val="decimal"/>
      <w:pStyle w:val="930"/>
      <w:isLgl w:val="false"/>
      <w:suff w:val="tab"/>
      <w:lvlText w:val="%1.%2.%3.%4.%5.%6.%7.%8."/>
      <w:lvlJc w:val="left"/>
      <w:pPr>
        <w:ind w:left="5128" w:hanging="708"/>
        <w:tabs>
          <w:tab w:val="num" w:pos="6220" w:leader="none"/>
        </w:tabs>
      </w:pPr>
    </w:lvl>
    <w:lvl w:ilvl="8">
      <w:start w:val="1"/>
      <w:numFmt w:val="decimal"/>
      <w:pStyle w:val="931"/>
      <w:isLgl w:val="false"/>
      <w:suff w:val="tab"/>
      <w:lvlText w:val="%1.%2.%3.%4.%5.%6.%7.%8.%9."/>
      <w:lvlJc w:val="left"/>
      <w:pPr>
        <w:ind w:left="5836" w:hanging="708"/>
        <w:tabs>
          <w:tab w:val="num" w:pos="6928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2"/>
      <w:numFmt w:val="decimal"/>
      <w:isLgl w:val="false"/>
      <w:suff w:val="tab"/>
      <w:lvlText w:val="%2)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</w:lvl>
  </w:abstractNum>
  <w:abstractNum w:abstractNumId="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  <w:tabs>
          <w:tab w:val="num" w:pos="540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720" w:hanging="540"/>
        <w:tabs>
          <w:tab w:val="num" w:pos="72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  <w:tabs>
          <w:tab w:val="num" w:pos="18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80" w:hanging="1080"/>
        <w:tabs>
          <w:tab w:val="num" w:pos="19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700" w:hanging="1440"/>
        <w:tabs>
          <w:tab w:val="num" w:pos="27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40" w:hanging="1800"/>
        <w:tabs>
          <w:tab w:val="num" w:pos="3240" w:leader="none"/>
        </w:tabs>
      </w:p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  <w:tabs>
          <w:tab w:val="num" w:pos="540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720" w:hanging="540"/>
        <w:tabs>
          <w:tab w:val="num" w:pos="72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  <w:tabs>
          <w:tab w:val="num" w:pos="18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80" w:hanging="1080"/>
        <w:tabs>
          <w:tab w:val="num" w:pos="19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700" w:hanging="1440"/>
        <w:tabs>
          <w:tab w:val="num" w:pos="27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40" w:hanging="1800"/>
        <w:tabs>
          <w:tab w:val="num" w:pos="3240" w:leader="none"/>
        </w:tabs>
      </w:pPr>
    </w:lvl>
  </w:abstractNum>
  <w:abstractNum w:abstractNumId="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  <w:tabs>
          <w:tab w:val="num" w:pos="540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720" w:hanging="540"/>
        <w:tabs>
          <w:tab w:val="num" w:pos="720" w:leader="none"/>
        </w:tabs>
      </w:pPr>
    </w:lvl>
    <w:lvl w:ilvl="2">
      <w:start w:val="2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  <w:tabs>
          <w:tab w:val="num" w:pos="18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80" w:hanging="1080"/>
        <w:tabs>
          <w:tab w:val="num" w:pos="19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700" w:hanging="1440"/>
        <w:tabs>
          <w:tab w:val="num" w:pos="27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40" w:hanging="1800"/>
        <w:tabs>
          <w:tab w:val="num" w:pos="324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420" w:hanging="420"/>
      </w:pPr>
      <w:rPr>
        <w:b/>
        <w:bCs/>
        <w:sz w:val="24"/>
        <w:szCs w:val="24"/>
      </w:rPr>
    </w:lvl>
    <w:lvl w:ilvl="1">
      <w:start w:val="1"/>
      <w:numFmt w:val="decimal"/>
      <w:isLgl w:val="false"/>
      <w:suff w:val="space"/>
      <w:lvlText w:val="%1.%2."/>
      <w:lvlJc w:val="left"/>
      <w:pPr>
        <w:ind w:firstLine="284"/>
      </w:pPr>
      <w:rPr>
        <w:b/>
        <w:bCs/>
        <w:i w:val="0"/>
        <w:iCs w:val="0"/>
        <w:color w:val="000000"/>
        <w:sz w:val="24"/>
        <w:szCs w:val="24"/>
      </w:rPr>
    </w:lvl>
    <w:lvl w:ilvl="2">
      <w:start w:val="1"/>
      <w:numFmt w:val="decimal"/>
      <w:isLgl w:val="false"/>
      <w:suff w:val="space"/>
      <w:lvlText w:val="%1.%2.%3."/>
      <w:lvlJc w:val="left"/>
      <w:pPr>
        <w:ind w:firstLine="567"/>
      </w:pPr>
      <w:rPr>
        <w:b w:val="0"/>
        <w:bCs w:val="0"/>
        <w:i w:val="0"/>
        <w:iCs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337" w:hanging="720"/>
        <w:tabs>
          <w:tab w:val="num" w:pos="2337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36" w:hanging="1080"/>
        <w:tabs>
          <w:tab w:val="num" w:pos="3236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75" w:hanging="1080"/>
        <w:tabs>
          <w:tab w:val="num" w:pos="3775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674" w:hanging="1440"/>
        <w:tabs>
          <w:tab w:val="num" w:pos="4674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213" w:hanging="1440"/>
        <w:tabs>
          <w:tab w:val="num" w:pos="5213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112" w:hanging="1800"/>
        <w:tabs>
          <w:tab w:val="num" w:pos="6112" w:leader="none"/>
        </w:tabs>
      </w:pPr>
    </w:lvl>
  </w:abstractNum>
  <w:abstractNum w:abstractNumId="6">
    <w:multiLevelType w:val="hybridMultilevel"/>
    <w:lvl w:ilvl="0">
      <w:start w:val="1"/>
      <w:numFmt w:val="decimal"/>
      <w:pStyle w:val="1005"/>
      <w:isLgl w:val="false"/>
      <w:suff w:val="tab"/>
      <w:lvlText w:val="%1)"/>
      <w:legacy w:legacy="1" w:legacyIndent="0" w:legacySpace="0"/>
      <w:lvlJc w:val="left"/>
      <w:pPr/>
      <w:rPr>
        <w:rFonts w:ascii="Times New Roman CYR" w:hAnsi="Times New Roman CYR" w:cs="Times New Roman CYR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2"/>
      <w:numFmt w:val="decimal"/>
      <w:isLgl w:val="false"/>
      <w:suff w:val="tab"/>
      <w:lvlText w:val="%2)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</w:lvl>
  </w:abstractNum>
  <w:abstractNum w:abstractNumId="8">
    <w:multiLevelType w:val="hybridMultilevel"/>
    <w:lvl w:ilvl="0">
      <w:start w:val="2"/>
      <w:numFmt w:val="bullet"/>
      <w:isLgl w:val="false"/>
      <w:suff w:val="tab"/>
      <w:lvlText w:val="-"/>
      <w:lvlJc w:val="left"/>
      <w:pPr>
        <w:ind w:left="720" w:hanging="360"/>
        <w:tabs>
          <w:tab w:val="num" w:pos="720" w:leader="none"/>
        </w:tabs>
      </w:pPr>
      <w:rPr>
        <w:rFonts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5.%2."/>
      <w:lvlJc w:val="left"/>
      <w:pPr>
        <w:ind w:left="945" w:hanging="465"/>
        <w:tabs>
          <w:tab w:val="num" w:pos="945" w:leader="none"/>
        </w:tabs>
      </w:pPr>
      <w:rPr>
        <w:rFonts w:ascii="Times New Roman" w:hAnsi="Times New Roman" w:cs="Times New Roman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320" w:hanging="720"/>
        <w:tabs>
          <w:tab w:val="num" w:pos="1320" w:leader="none"/>
        </w:tabs>
      </w:pPr>
      <w:rPr>
        <w:rFonts w:ascii="Times New Roman" w:hAnsi="Times New Roman" w:cs="Times New Roman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440" w:hanging="720"/>
        <w:tabs>
          <w:tab w:val="num" w:pos="1440" w:leader="none"/>
        </w:tabs>
      </w:pPr>
      <w:rPr>
        <w:rFonts w:ascii="Times New Roman" w:hAnsi="Times New Roman" w:cs="Times New Roman"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920" w:hanging="1080"/>
        <w:tabs>
          <w:tab w:val="num" w:pos="1920" w:leader="none"/>
        </w:tabs>
      </w:pPr>
      <w:rPr>
        <w:rFonts w:ascii="Times New Roman" w:hAnsi="Times New Roman" w:cs="Times New Roman"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040" w:hanging="1080"/>
        <w:tabs>
          <w:tab w:val="num" w:pos="2040" w:leader="none"/>
        </w:tabs>
      </w:pPr>
      <w:rPr>
        <w:rFonts w:ascii="Times New Roman" w:hAnsi="Times New Roman" w:cs="Times New Roman"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  <w:rPr>
        <w:rFonts w:ascii="Times New Roman" w:hAnsi="Times New Roman" w:cs="Times New Roman"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640" w:hanging="1440"/>
        <w:tabs>
          <w:tab w:val="num" w:pos="2640" w:leader="none"/>
        </w:tabs>
      </w:pPr>
      <w:rPr>
        <w:rFonts w:ascii="Times New Roman" w:hAnsi="Times New Roman" w:cs="Times New Roman"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120" w:hanging="1800"/>
        <w:tabs>
          <w:tab w:val="num" w:pos="3120" w:leader="none"/>
        </w:tabs>
      </w:pPr>
      <w:rPr>
        <w:rFonts w:ascii="Times New Roman" w:hAnsi="Times New Roman" w:cs="Times New Roman"/>
        <w:color w:val="000000"/>
      </w:rPr>
    </w:lvl>
  </w:abstractNum>
  <w:abstractNum w:abstractNumId="10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5.%2."/>
      <w:lvlJc w:val="left"/>
      <w:pPr>
        <w:ind w:left="1185" w:hanging="465"/>
        <w:tabs>
          <w:tab w:val="num" w:pos="1185" w:leader="none"/>
        </w:tabs>
      </w:pPr>
      <w:rPr>
        <w:rFonts w:ascii="Times New Roman" w:hAnsi="Times New Roman" w:cs="Times New Roman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320" w:hanging="720"/>
        <w:tabs>
          <w:tab w:val="num" w:pos="1320" w:leader="none"/>
        </w:tabs>
      </w:pPr>
      <w:rPr>
        <w:rFonts w:ascii="Times New Roman" w:hAnsi="Times New Roman" w:cs="Times New Roman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440" w:hanging="720"/>
        <w:tabs>
          <w:tab w:val="num" w:pos="1440" w:leader="none"/>
        </w:tabs>
      </w:pPr>
      <w:rPr>
        <w:rFonts w:ascii="Times New Roman" w:hAnsi="Times New Roman" w:cs="Times New Roman"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920" w:hanging="1080"/>
        <w:tabs>
          <w:tab w:val="num" w:pos="1920" w:leader="none"/>
        </w:tabs>
      </w:pPr>
      <w:rPr>
        <w:rFonts w:ascii="Times New Roman" w:hAnsi="Times New Roman" w:cs="Times New Roman"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040" w:hanging="1080"/>
        <w:tabs>
          <w:tab w:val="num" w:pos="2040" w:leader="none"/>
        </w:tabs>
      </w:pPr>
      <w:rPr>
        <w:rFonts w:ascii="Times New Roman" w:hAnsi="Times New Roman" w:cs="Times New Roman"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  <w:rPr>
        <w:rFonts w:ascii="Times New Roman" w:hAnsi="Times New Roman" w:cs="Times New Roman"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640" w:hanging="1440"/>
        <w:tabs>
          <w:tab w:val="num" w:pos="2640" w:leader="none"/>
        </w:tabs>
      </w:pPr>
      <w:rPr>
        <w:rFonts w:ascii="Times New Roman" w:hAnsi="Times New Roman" w:cs="Times New Roman"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120" w:hanging="1800"/>
        <w:tabs>
          <w:tab w:val="num" w:pos="3120" w:leader="none"/>
        </w:tabs>
      </w:pPr>
      <w:rPr>
        <w:rFonts w:ascii="Times New Roman" w:hAnsi="Times New Roman" w:cs="Times New Roman"/>
        <w:color w:val="000000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50" w:hanging="750"/>
        <w:tabs>
          <w:tab w:val="num" w:pos="750" w:leader="none"/>
        </w:tabs>
      </w:pPr>
      <w:rPr>
        <w:color w:val="000000"/>
      </w:rPr>
    </w:lvl>
    <w:lvl w:ilvl="1">
      <w:start w:val="1"/>
      <w:numFmt w:val="decimal"/>
      <w:isLgl w:val="false"/>
      <w:suff w:val="tab"/>
      <w:lvlText w:val="%1.%2."/>
      <w:lvlJc w:val="left"/>
      <w:pPr>
        <w:ind w:left="1005" w:hanging="750"/>
        <w:tabs>
          <w:tab w:val="num" w:pos="1005" w:leader="none"/>
        </w:tabs>
      </w:pPr>
      <w:rPr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60" w:hanging="750"/>
        <w:tabs>
          <w:tab w:val="num" w:pos="1260" w:leader="none"/>
        </w:tabs>
      </w:pPr>
      <w:rPr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15" w:hanging="750"/>
        <w:tabs>
          <w:tab w:val="num" w:pos="1515" w:leader="none"/>
        </w:tabs>
      </w:pPr>
      <w:rPr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100" w:hanging="1080"/>
        <w:tabs>
          <w:tab w:val="num" w:pos="2100" w:leader="none"/>
        </w:tabs>
      </w:pPr>
      <w:rPr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355" w:hanging="1080"/>
        <w:tabs>
          <w:tab w:val="num" w:pos="2355" w:leader="none"/>
        </w:tabs>
      </w:pPr>
      <w:rPr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970" w:hanging="1440"/>
        <w:tabs>
          <w:tab w:val="num" w:pos="2970" w:leader="none"/>
        </w:tabs>
      </w:pPr>
      <w:rPr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225" w:hanging="1440"/>
        <w:tabs>
          <w:tab w:val="num" w:pos="3225" w:leader="none"/>
        </w:tabs>
      </w:pPr>
      <w:rPr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840" w:hanging="1800"/>
        <w:tabs>
          <w:tab w:val="num" w:pos="3840" w:leader="none"/>
        </w:tabs>
      </w:pPr>
      <w:rPr>
        <w:color w:val="000000"/>
      </w:rPr>
    </w:lvl>
  </w:abstractNum>
  <w:abstractNum w:abstractNumId="1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  <w:tabs>
          <w:tab w:val="num" w:pos="54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540"/>
        <w:tabs>
          <w:tab w:val="num" w:pos="720" w:leader="none"/>
        </w:tabs>
      </w:pPr>
    </w:lvl>
    <w:lvl w:ilvl="2">
      <w:start w:val="2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  <w:tabs>
          <w:tab w:val="num" w:pos="18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80" w:hanging="1080"/>
        <w:tabs>
          <w:tab w:val="num" w:pos="19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700" w:hanging="1440"/>
        <w:tabs>
          <w:tab w:val="num" w:pos="27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40" w:hanging="1800"/>
        <w:tabs>
          <w:tab w:val="num" w:pos="3240" w:leader="none"/>
        </w:tabs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555" w:hanging="360"/>
        <w:tabs>
          <w:tab w:val="num" w:pos="555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110" w:hanging="720"/>
        <w:tabs>
          <w:tab w:val="num" w:pos="111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305" w:hanging="720"/>
        <w:tabs>
          <w:tab w:val="num" w:pos="1305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60" w:hanging="1080"/>
        <w:tabs>
          <w:tab w:val="num" w:pos="18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055" w:hanging="1080"/>
        <w:tabs>
          <w:tab w:val="num" w:pos="2055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610" w:hanging="1440"/>
        <w:tabs>
          <w:tab w:val="num" w:pos="261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805" w:hanging="1440"/>
        <w:tabs>
          <w:tab w:val="num" w:pos="2805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360" w:hanging="1800"/>
        <w:tabs>
          <w:tab w:val="num" w:pos="3360" w:leader="none"/>
        </w:tabs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</w:lvl>
  </w:abstractNum>
  <w:abstractNum w:abstractNumId="17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  <w:tabs>
          <w:tab w:val="num" w:pos="540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720" w:hanging="540"/>
        <w:tabs>
          <w:tab w:val="num" w:pos="720" w:leader="none"/>
        </w:tabs>
      </w:pPr>
    </w:lvl>
    <w:lvl w:ilvl="2">
      <w:start w:val="2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  <w:tabs>
          <w:tab w:val="num" w:pos="18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80" w:hanging="1080"/>
        <w:tabs>
          <w:tab w:val="num" w:pos="19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700" w:hanging="1440"/>
        <w:tabs>
          <w:tab w:val="num" w:pos="27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40" w:hanging="1800"/>
        <w:tabs>
          <w:tab w:val="num" w:pos="3240" w:leader="none"/>
        </w:tabs>
      </w:pPr>
    </w:lvl>
  </w:abstractNum>
  <w:abstractNum w:abstractNumId="18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  <w:tabs>
          <w:tab w:val="num" w:pos="54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540"/>
        <w:tabs>
          <w:tab w:val="num" w:pos="720" w:leader="none"/>
        </w:tabs>
      </w:pPr>
    </w:lvl>
    <w:lvl w:ilvl="2">
      <w:start w:val="2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  <w:tabs>
          <w:tab w:val="num" w:pos="18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80" w:hanging="1080"/>
        <w:tabs>
          <w:tab w:val="num" w:pos="19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700" w:hanging="1440"/>
        <w:tabs>
          <w:tab w:val="num" w:pos="27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40" w:hanging="1800"/>
        <w:tabs>
          <w:tab w:val="num" w:pos="3240" w:leader="none"/>
        </w:tabs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0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3">
    <w:multiLevelType w:val="hybridMultilevel"/>
    <w:lvl w:ilvl="0">
      <w:start w:val="1"/>
      <w:numFmt w:val="decimal"/>
      <w:pStyle w:val="1015"/>
      <w:isLgl w:val="false"/>
      <w:suff w:val="space"/>
      <w:lvlText w:val="%1."/>
      <w:lvlJc w:val="left"/>
      <w:pPr>
        <w:ind w:left="420" w:hanging="420"/>
      </w:pPr>
      <w:rPr>
        <w:b/>
        <w:bCs/>
        <w:sz w:val="24"/>
        <w:szCs w:val="24"/>
      </w:rPr>
    </w:lvl>
    <w:lvl w:ilvl="1">
      <w:start w:val="1"/>
      <w:numFmt w:val="decimal"/>
      <w:pStyle w:val="1014"/>
      <w:isLgl w:val="false"/>
      <w:suff w:val="space"/>
      <w:lvlText w:val="%1.%2."/>
      <w:lvlJc w:val="left"/>
      <w:pPr>
        <w:ind w:firstLine="284"/>
      </w:pPr>
      <w:rPr>
        <w:b/>
        <w:bCs/>
        <w:i w:val="0"/>
        <w:iCs w:val="0"/>
        <w:color w:val="000000"/>
        <w:sz w:val="24"/>
        <w:szCs w:val="24"/>
      </w:rPr>
    </w:lvl>
    <w:lvl w:ilvl="2">
      <w:start w:val="1"/>
      <w:numFmt w:val="decimal"/>
      <w:isLgl w:val="false"/>
      <w:suff w:val="space"/>
      <w:lvlText w:val="%1.%2.%3."/>
      <w:lvlJc w:val="left"/>
      <w:pPr>
        <w:ind w:firstLine="397"/>
      </w:pPr>
      <w:rPr>
        <w:b w:val="0"/>
        <w:bCs w:val="0"/>
        <w:i w:val="0"/>
        <w:iCs w:val="0"/>
      </w:rPr>
    </w:lvl>
    <w:lvl w:ilvl="3">
      <w:start w:val="1"/>
      <w:numFmt w:val="decimal"/>
      <w:isLgl w:val="false"/>
      <w:suff w:val="space"/>
      <w:lvlText w:val="%4)"/>
      <w:lvlJc w:val="left"/>
      <w:pPr>
        <w:ind w:firstLine="567"/>
      </w:pPr>
    </w:lvl>
    <w:lvl w:ilvl="4">
      <w:start w:val="1"/>
      <w:numFmt w:val="thaiNumbers"/>
      <w:isLgl w:val="false"/>
      <w:suff w:val="space"/>
      <w:lvlText w:val="%5)"/>
      <w:lvlJc w:val="left"/>
      <w:pPr>
        <w:ind w:firstLine="851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75" w:hanging="1080"/>
        <w:tabs>
          <w:tab w:val="num" w:pos="3775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674" w:hanging="1440"/>
        <w:tabs>
          <w:tab w:val="num" w:pos="4674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213" w:hanging="1440"/>
        <w:tabs>
          <w:tab w:val="num" w:pos="5213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112" w:hanging="1800"/>
        <w:tabs>
          <w:tab w:val="num" w:pos="6112" w:leader="none"/>
        </w:tabs>
      </w:pPr>
    </w:lvl>
  </w:abstractNum>
  <w:abstractNum w:abstractNumId="24">
    <w:multiLevelType w:val="hybridMultilevel"/>
    <w:lvl w:ilvl="0">
      <w:start w:val="1"/>
      <w:numFmt w:val="decimal"/>
      <w:pStyle w:val="947"/>
      <w:isLgl w:val="false"/>
      <w:suff w:val="tab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pStyle w:val="1008"/>
      <w:isLgl w:val="false"/>
      <w:suff w:val="tab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b/>
        <w:i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555" w:hanging="360"/>
        <w:tabs>
          <w:tab w:val="num" w:pos="555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110" w:hanging="720"/>
        <w:tabs>
          <w:tab w:val="num" w:pos="111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305" w:hanging="720"/>
        <w:tabs>
          <w:tab w:val="num" w:pos="1305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60" w:hanging="1080"/>
        <w:tabs>
          <w:tab w:val="num" w:pos="18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055" w:hanging="1080"/>
        <w:tabs>
          <w:tab w:val="num" w:pos="2055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610" w:hanging="1440"/>
        <w:tabs>
          <w:tab w:val="num" w:pos="261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805" w:hanging="1440"/>
        <w:tabs>
          <w:tab w:val="num" w:pos="2805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360" w:hanging="1800"/>
        <w:tabs>
          <w:tab w:val="num" w:pos="3360" w:leader="none"/>
        </w:tabs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555" w:hanging="360"/>
        <w:tabs>
          <w:tab w:val="num" w:pos="555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110" w:hanging="720"/>
        <w:tabs>
          <w:tab w:val="num" w:pos="111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305" w:hanging="720"/>
        <w:tabs>
          <w:tab w:val="num" w:pos="1305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60" w:hanging="1080"/>
        <w:tabs>
          <w:tab w:val="num" w:pos="18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055" w:hanging="1080"/>
        <w:tabs>
          <w:tab w:val="num" w:pos="2055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610" w:hanging="1440"/>
        <w:tabs>
          <w:tab w:val="num" w:pos="261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805" w:hanging="1440"/>
        <w:tabs>
          <w:tab w:val="num" w:pos="2805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360" w:hanging="1800"/>
        <w:tabs>
          <w:tab w:val="num" w:pos="3360" w:leader="none"/>
        </w:tabs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num" w:pos="90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  <w:tabs>
          <w:tab w:val="num" w:pos="162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  <w:tabs>
          <w:tab w:val="num" w:pos="23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  <w:tabs>
          <w:tab w:val="num" w:pos="306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  <w:tabs>
          <w:tab w:val="num" w:pos="378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  <w:tabs>
          <w:tab w:val="num" w:pos="450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  <w:tabs>
          <w:tab w:val="num" w:pos="52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  <w:tabs>
          <w:tab w:val="num" w:pos="594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  <w:tabs>
          <w:tab w:val="num" w:pos="6660" w:leader="none"/>
        </w:tabs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927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  <w:tabs>
          <w:tab w:val="num" w:pos="1647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  <w:tabs>
          <w:tab w:val="num" w:pos="2367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  <w:tabs>
          <w:tab w:val="num" w:pos="3087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  <w:tabs>
          <w:tab w:val="num" w:pos="3807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  <w:tabs>
          <w:tab w:val="num" w:pos="4527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  <w:tabs>
          <w:tab w:val="num" w:pos="5247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  <w:tabs>
          <w:tab w:val="num" w:pos="5967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  <w:tabs>
          <w:tab w:val="num" w:pos="6687" w:leader="none"/>
        </w:tabs>
      </w:pPr>
      <w:rPr>
        <w:rFonts w:cs="Times New Roman"/>
      </w:rPr>
    </w:lvl>
  </w:abstractNum>
  <w:abstractNum w:abstractNumId="29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0"/>
  </w:num>
  <w:num w:numId="2">
    <w:abstractNumId w:val="6"/>
  </w:num>
  <w:num w:numId="3">
    <w:abstractNumId w:val="24"/>
  </w:num>
  <w:num w:numId="4">
    <w:abstractNumId w:val="12"/>
  </w:num>
  <w:num w:numId="5">
    <w:abstractNumId w:val="1"/>
  </w:num>
  <w:num w:numId="6">
    <w:abstractNumId w:val="21"/>
  </w:num>
  <w:num w:numId="7">
    <w:abstractNumId w:val="13"/>
  </w:num>
  <w:num w:numId="8">
    <w:abstractNumId w:val="16"/>
  </w:num>
  <w:num w:numId="9">
    <w:abstractNumId w:val="11"/>
  </w:num>
  <w:num w:numId="10">
    <w:abstractNumId w:val="26"/>
  </w:num>
  <w:num w:numId="11">
    <w:abstractNumId w:val="15"/>
  </w:num>
  <w:num w:numId="12">
    <w:abstractNumId w:val="25"/>
  </w:num>
  <w:num w:numId="13">
    <w:abstractNumId w:val="8"/>
  </w:num>
  <w:num w:numId="14">
    <w:abstractNumId w:val="14"/>
  </w:num>
  <w:num w:numId="15">
    <w:abstractNumId w:val="18"/>
  </w:num>
  <w:num w:numId="16">
    <w:abstractNumId w:val="3"/>
  </w:num>
  <w:num w:numId="17">
    <w:abstractNumId w:val="2"/>
  </w:num>
  <w:num w:numId="18">
    <w:abstractNumId w:val="17"/>
  </w:num>
  <w:num w:numId="19">
    <w:abstractNumId w:val="4"/>
  </w:num>
  <w:num w:numId="20">
    <w:abstractNumId w:val="9"/>
  </w:num>
  <w:num w:numId="21">
    <w:abstractNumId w:val="19"/>
  </w:num>
  <w:num w:numId="22">
    <w:abstractNumId w:val="7"/>
  </w:num>
  <w:num w:numId="23">
    <w:abstractNumId w:val="27"/>
  </w:num>
  <w:num w:numId="24">
    <w:abstractNumId w:val="23"/>
  </w:num>
  <w:num w:numId="25">
    <w:abstractNumId w:val="10"/>
  </w:num>
  <w:num w:numId="26">
    <w:abstractNumId w:val="5"/>
  </w:num>
  <w:num w:numId="27">
    <w:abstractNumId w:val="28"/>
  </w:num>
  <w:num w:numId="28">
    <w:abstractNumId w:val="29"/>
  </w:num>
  <w:num w:numId="29">
    <w:abstractNumId w:val="22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4">
    <w:name w:val="Heading 1"/>
    <w:basedOn w:val="922"/>
    <w:next w:val="922"/>
    <w:link w:val="74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45">
    <w:name w:val="Heading 1 Char"/>
    <w:link w:val="744"/>
    <w:uiPriority w:val="9"/>
    <w:rPr>
      <w:rFonts w:ascii="Arial" w:hAnsi="Arial" w:eastAsia="Arial" w:cs="Arial"/>
      <w:sz w:val="40"/>
      <w:szCs w:val="40"/>
    </w:rPr>
  </w:style>
  <w:style w:type="paragraph" w:styleId="746">
    <w:name w:val="Heading 2"/>
    <w:basedOn w:val="922"/>
    <w:next w:val="922"/>
    <w:link w:val="74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47">
    <w:name w:val="Heading 2 Char"/>
    <w:link w:val="746"/>
    <w:uiPriority w:val="9"/>
    <w:rPr>
      <w:rFonts w:ascii="Arial" w:hAnsi="Arial" w:eastAsia="Arial" w:cs="Arial"/>
      <w:sz w:val="34"/>
    </w:rPr>
  </w:style>
  <w:style w:type="paragraph" w:styleId="748">
    <w:name w:val="Heading 3"/>
    <w:basedOn w:val="922"/>
    <w:next w:val="922"/>
    <w:link w:val="74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49">
    <w:name w:val="Heading 3 Char"/>
    <w:link w:val="748"/>
    <w:uiPriority w:val="9"/>
    <w:rPr>
      <w:rFonts w:ascii="Arial" w:hAnsi="Arial" w:eastAsia="Arial" w:cs="Arial"/>
      <w:sz w:val="30"/>
      <w:szCs w:val="30"/>
    </w:rPr>
  </w:style>
  <w:style w:type="paragraph" w:styleId="750">
    <w:name w:val="Heading 4"/>
    <w:basedOn w:val="922"/>
    <w:next w:val="922"/>
    <w:link w:val="75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51">
    <w:name w:val="Heading 4 Char"/>
    <w:link w:val="750"/>
    <w:uiPriority w:val="9"/>
    <w:rPr>
      <w:rFonts w:ascii="Arial" w:hAnsi="Arial" w:eastAsia="Arial" w:cs="Arial"/>
      <w:b/>
      <w:bCs/>
      <w:sz w:val="26"/>
      <w:szCs w:val="26"/>
    </w:rPr>
  </w:style>
  <w:style w:type="paragraph" w:styleId="752">
    <w:name w:val="Heading 5"/>
    <w:basedOn w:val="922"/>
    <w:next w:val="922"/>
    <w:link w:val="75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53">
    <w:name w:val="Heading 5 Char"/>
    <w:link w:val="752"/>
    <w:uiPriority w:val="9"/>
    <w:rPr>
      <w:rFonts w:ascii="Arial" w:hAnsi="Arial" w:eastAsia="Arial" w:cs="Arial"/>
      <w:b/>
      <w:bCs/>
      <w:sz w:val="24"/>
      <w:szCs w:val="24"/>
    </w:rPr>
  </w:style>
  <w:style w:type="paragraph" w:styleId="754">
    <w:name w:val="Heading 6"/>
    <w:basedOn w:val="922"/>
    <w:next w:val="922"/>
    <w:link w:val="75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55">
    <w:name w:val="Heading 6 Char"/>
    <w:link w:val="754"/>
    <w:uiPriority w:val="9"/>
    <w:rPr>
      <w:rFonts w:ascii="Arial" w:hAnsi="Arial" w:eastAsia="Arial" w:cs="Arial"/>
      <w:b/>
      <w:bCs/>
      <w:sz w:val="22"/>
      <w:szCs w:val="22"/>
    </w:rPr>
  </w:style>
  <w:style w:type="paragraph" w:styleId="756">
    <w:name w:val="Heading 7"/>
    <w:basedOn w:val="922"/>
    <w:next w:val="922"/>
    <w:link w:val="75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7">
    <w:name w:val="Heading 7 Char"/>
    <w:link w:val="75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58">
    <w:name w:val="Heading 8"/>
    <w:basedOn w:val="922"/>
    <w:next w:val="922"/>
    <w:link w:val="75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59">
    <w:name w:val="Heading 8 Char"/>
    <w:link w:val="758"/>
    <w:uiPriority w:val="9"/>
    <w:rPr>
      <w:rFonts w:ascii="Arial" w:hAnsi="Arial" w:eastAsia="Arial" w:cs="Arial"/>
      <w:i/>
      <w:iCs/>
      <w:sz w:val="22"/>
      <w:szCs w:val="22"/>
    </w:rPr>
  </w:style>
  <w:style w:type="paragraph" w:styleId="760">
    <w:name w:val="Heading 9"/>
    <w:basedOn w:val="922"/>
    <w:next w:val="922"/>
    <w:link w:val="76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1">
    <w:name w:val="Heading 9 Char"/>
    <w:link w:val="760"/>
    <w:uiPriority w:val="9"/>
    <w:rPr>
      <w:rFonts w:ascii="Arial" w:hAnsi="Arial" w:eastAsia="Arial" w:cs="Arial"/>
      <w:i/>
      <w:iCs/>
      <w:sz w:val="21"/>
      <w:szCs w:val="21"/>
    </w:rPr>
  </w:style>
  <w:style w:type="paragraph" w:styleId="762">
    <w:name w:val="List Paragraph"/>
    <w:basedOn w:val="922"/>
    <w:uiPriority w:val="34"/>
    <w:qFormat/>
    <w:pPr>
      <w:contextualSpacing/>
      <w:ind w:left="720"/>
    </w:pPr>
  </w:style>
  <w:style w:type="paragraph" w:styleId="763">
    <w:name w:val="No Spacing"/>
    <w:uiPriority w:val="1"/>
    <w:qFormat/>
    <w:pPr>
      <w:spacing w:before="0" w:after="0" w:line="240" w:lineRule="auto"/>
    </w:pPr>
  </w:style>
  <w:style w:type="paragraph" w:styleId="764">
    <w:name w:val="Title"/>
    <w:basedOn w:val="922"/>
    <w:next w:val="922"/>
    <w:link w:val="76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5">
    <w:name w:val="Title Char"/>
    <w:link w:val="764"/>
    <w:uiPriority w:val="10"/>
    <w:rPr>
      <w:sz w:val="48"/>
      <w:szCs w:val="48"/>
    </w:rPr>
  </w:style>
  <w:style w:type="paragraph" w:styleId="766">
    <w:name w:val="Subtitle"/>
    <w:basedOn w:val="922"/>
    <w:next w:val="922"/>
    <w:link w:val="767"/>
    <w:uiPriority w:val="11"/>
    <w:qFormat/>
    <w:pPr>
      <w:spacing w:before="200" w:after="200"/>
    </w:pPr>
    <w:rPr>
      <w:sz w:val="24"/>
      <w:szCs w:val="24"/>
    </w:rPr>
  </w:style>
  <w:style w:type="character" w:styleId="767">
    <w:name w:val="Subtitle Char"/>
    <w:link w:val="766"/>
    <w:uiPriority w:val="11"/>
    <w:rPr>
      <w:sz w:val="24"/>
      <w:szCs w:val="24"/>
    </w:rPr>
  </w:style>
  <w:style w:type="paragraph" w:styleId="768">
    <w:name w:val="Quote"/>
    <w:basedOn w:val="922"/>
    <w:next w:val="922"/>
    <w:link w:val="769"/>
    <w:uiPriority w:val="29"/>
    <w:qFormat/>
    <w:pPr>
      <w:ind w:left="720" w:right="720"/>
    </w:pPr>
    <w:rPr>
      <w:i/>
    </w:rPr>
  </w:style>
  <w:style w:type="character" w:styleId="769">
    <w:name w:val="Quote Char"/>
    <w:link w:val="768"/>
    <w:uiPriority w:val="29"/>
    <w:rPr>
      <w:i/>
    </w:rPr>
  </w:style>
  <w:style w:type="paragraph" w:styleId="770">
    <w:name w:val="Intense Quote"/>
    <w:basedOn w:val="922"/>
    <w:next w:val="922"/>
    <w:link w:val="77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1">
    <w:name w:val="Intense Quote Char"/>
    <w:link w:val="770"/>
    <w:uiPriority w:val="30"/>
    <w:rPr>
      <w:i/>
    </w:rPr>
  </w:style>
  <w:style w:type="paragraph" w:styleId="772">
    <w:name w:val="Header"/>
    <w:basedOn w:val="922"/>
    <w:link w:val="77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73">
    <w:name w:val="Header Char"/>
    <w:link w:val="772"/>
    <w:uiPriority w:val="99"/>
  </w:style>
  <w:style w:type="paragraph" w:styleId="774">
    <w:name w:val="Footer"/>
    <w:basedOn w:val="922"/>
    <w:link w:val="77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75">
    <w:name w:val="Footer Char"/>
    <w:link w:val="774"/>
    <w:uiPriority w:val="99"/>
  </w:style>
  <w:style w:type="paragraph" w:styleId="776">
    <w:name w:val="Caption"/>
    <w:basedOn w:val="922"/>
    <w:next w:val="922"/>
    <w:link w:val="77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77">
    <w:name w:val="Caption Char"/>
    <w:basedOn w:val="776"/>
    <w:link w:val="774"/>
    <w:uiPriority w:val="35"/>
  </w:style>
  <w:style w:type="table" w:styleId="77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1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1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1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1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1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1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2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2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2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2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2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4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4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4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4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4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7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7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7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7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7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7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8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8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8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8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9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9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0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04">
    <w:name w:val="Hyperlink"/>
    <w:uiPriority w:val="99"/>
    <w:unhideWhenUsed/>
    <w:rPr>
      <w:color w:val="0000ff" w:themeColor="hyperlink"/>
      <w:u w:val="single"/>
    </w:rPr>
  </w:style>
  <w:style w:type="paragraph" w:styleId="905">
    <w:name w:val="footnote text"/>
    <w:basedOn w:val="922"/>
    <w:link w:val="906"/>
    <w:uiPriority w:val="99"/>
    <w:semiHidden/>
    <w:unhideWhenUsed/>
    <w:pPr>
      <w:spacing w:after="40" w:line="240" w:lineRule="auto"/>
    </w:pPr>
    <w:rPr>
      <w:sz w:val="18"/>
    </w:rPr>
  </w:style>
  <w:style w:type="character" w:styleId="906">
    <w:name w:val="Footnote Text Char"/>
    <w:link w:val="905"/>
    <w:uiPriority w:val="99"/>
    <w:rPr>
      <w:sz w:val="18"/>
    </w:rPr>
  </w:style>
  <w:style w:type="character" w:styleId="907">
    <w:name w:val="footnote reference"/>
    <w:uiPriority w:val="99"/>
    <w:unhideWhenUsed/>
    <w:rPr>
      <w:vertAlign w:val="superscript"/>
    </w:rPr>
  </w:style>
  <w:style w:type="paragraph" w:styleId="908">
    <w:name w:val="endnote text"/>
    <w:basedOn w:val="922"/>
    <w:link w:val="909"/>
    <w:uiPriority w:val="99"/>
    <w:semiHidden/>
    <w:unhideWhenUsed/>
    <w:pPr>
      <w:spacing w:after="0" w:line="240" w:lineRule="auto"/>
    </w:pPr>
    <w:rPr>
      <w:sz w:val="20"/>
    </w:rPr>
  </w:style>
  <w:style w:type="character" w:styleId="909">
    <w:name w:val="Endnote Text Char"/>
    <w:link w:val="908"/>
    <w:uiPriority w:val="99"/>
    <w:rPr>
      <w:sz w:val="20"/>
    </w:rPr>
  </w:style>
  <w:style w:type="character" w:styleId="910">
    <w:name w:val="endnote reference"/>
    <w:uiPriority w:val="99"/>
    <w:semiHidden/>
    <w:unhideWhenUsed/>
    <w:rPr>
      <w:vertAlign w:val="superscript"/>
    </w:rPr>
  </w:style>
  <w:style w:type="paragraph" w:styleId="911">
    <w:name w:val="toc 1"/>
    <w:basedOn w:val="922"/>
    <w:next w:val="922"/>
    <w:uiPriority w:val="39"/>
    <w:unhideWhenUsed/>
    <w:pPr>
      <w:ind w:left="0" w:right="0" w:firstLine="0"/>
      <w:spacing w:after="57"/>
    </w:pPr>
  </w:style>
  <w:style w:type="paragraph" w:styleId="912">
    <w:name w:val="toc 2"/>
    <w:basedOn w:val="922"/>
    <w:next w:val="922"/>
    <w:uiPriority w:val="39"/>
    <w:unhideWhenUsed/>
    <w:pPr>
      <w:ind w:left="283" w:right="0" w:firstLine="0"/>
      <w:spacing w:after="57"/>
    </w:pPr>
  </w:style>
  <w:style w:type="paragraph" w:styleId="913">
    <w:name w:val="toc 3"/>
    <w:basedOn w:val="922"/>
    <w:next w:val="922"/>
    <w:uiPriority w:val="39"/>
    <w:unhideWhenUsed/>
    <w:pPr>
      <w:ind w:left="567" w:right="0" w:firstLine="0"/>
      <w:spacing w:after="57"/>
    </w:pPr>
  </w:style>
  <w:style w:type="paragraph" w:styleId="914">
    <w:name w:val="toc 4"/>
    <w:basedOn w:val="922"/>
    <w:next w:val="922"/>
    <w:uiPriority w:val="39"/>
    <w:unhideWhenUsed/>
    <w:pPr>
      <w:ind w:left="850" w:right="0" w:firstLine="0"/>
      <w:spacing w:after="57"/>
    </w:pPr>
  </w:style>
  <w:style w:type="paragraph" w:styleId="915">
    <w:name w:val="toc 5"/>
    <w:basedOn w:val="922"/>
    <w:next w:val="922"/>
    <w:uiPriority w:val="39"/>
    <w:unhideWhenUsed/>
    <w:pPr>
      <w:ind w:left="1134" w:right="0" w:firstLine="0"/>
      <w:spacing w:after="57"/>
    </w:pPr>
  </w:style>
  <w:style w:type="paragraph" w:styleId="916">
    <w:name w:val="toc 6"/>
    <w:basedOn w:val="922"/>
    <w:next w:val="922"/>
    <w:uiPriority w:val="39"/>
    <w:unhideWhenUsed/>
    <w:pPr>
      <w:ind w:left="1417" w:right="0" w:firstLine="0"/>
      <w:spacing w:after="57"/>
    </w:pPr>
  </w:style>
  <w:style w:type="paragraph" w:styleId="917">
    <w:name w:val="toc 7"/>
    <w:basedOn w:val="922"/>
    <w:next w:val="922"/>
    <w:uiPriority w:val="39"/>
    <w:unhideWhenUsed/>
    <w:pPr>
      <w:ind w:left="1701" w:right="0" w:firstLine="0"/>
      <w:spacing w:after="57"/>
    </w:pPr>
  </w:style>
  <w:style w:type="paragraph" w:styleId="918">
    <w:name w:val="toc 8"/>
    <w:basedOn w:val="922"/>
    <w:next w:val="922"/>
    <w:uiPriority w:val="39"/>
    <w:unhideWhenUsed/>
    <w:pPr>
      <w:ind w:left="1984" w:right="0" w:firstLine="0"/>
      <w:spacing w:after="57"/>
    </w:pPr>
  </w:style>
  <w:style w:type="paragraph" w:styleId="919">
    <w:name w:val="toc 9"/>
    <w:basedOn w:val="922"/>
    <w:next w:val="922"/>
    <w:uiPriority w:val="39"/>
    <w:unhideWhenUsed/>
    <w:pPr>
      <w:ind w:left="2268" w:right="0" w:firstLine="0"/>
      <w:spacing w:after="57"/>
    </w:pPr>
  </w:style>
  <w:style w:type="paragraph" w:styleId="920">
    <w:name w:val="TOC Heading"/>
    <w:uiPriority w:val="39"/>
    <w:unhideWhenUsed/>
  </w:style>
  <w:style w:type="paragraph" w:styleId="921">
    <w:name w:val="table of figures"/>
    <w:basedOn w:val="922"/>
    <w:next w:val="922"/>
    <w:uiPriority w:val="99"/>
    <w:unhideWhenUsed/>
    <w:pPr>
      <w:spacing w:after="0" w:afterAutospacing="0"/>
    </w:pPr>
  </w:style>
  <w:style w:type="paragraph" w:styleId="922" w:default="1">
    <w:name w:val="Normal"/>
    <w:next w:val="922"/>
    <w:link w:val="922"/>
    <w:qFormat/>
    <w:rPr>
      <w:sz w:val="24"/>
      <w:szCs w:val="24"/>
      <w:lang w:val="ru-RU" w:eastAsia="ru-RU" w:bidi="ar-SA"/>
    </w:rPr>
  </w:style>
  <w:style w:type="paragraph" w:styleId="923">
    <w:name w:val="Заголовок 1,H1,.,Название спецификации,h:1,h:1app,TF-Overskrift 1,H11,R1,Titre 0"/>
    <w:basedOn w:val="922"/>
    <w:next w:val="922"/>
    <w:link w:val="963"/>
    <w:qFormat/>
    <w:pPr>
      <w:keepNext/>
      <w:spacing w:before="240" w:after="60" w:line="276" w:lineRule="auto"/>
      <w:outlineLvl w:val="0"/>
    </w:pPr>
    <w:rPr>
      <w:rFonts w:ascii="Arial" w:hAnsi="Arial" w:cs="Arial"/>
      <w:b/>
      <w:bCs/>
      <w:sz w:val="32"/>
      <w:szCs w:val="32"/>
      <w:lang w:eastAsia="ar-SA"/>
    </w:rPr>
  </w:style>
  <w:style w:type="paragraph" w:styleId="924">
    <w:name w:val="Заголовок 2,H2,H21,Numbered text 3,h2,Раздел,H22,H23,H24,H211,H25,H212,H221,H231,H241,H2111,H26,H213,H222,H232,H242,H2112,H27,H214,H28,H29,H210,H215,H216,H217,H218,H219,H220,H2110,H223,H2113,H224,H225,H226,H227,H228,H229,H230,H233,H234,H235,H2114,H236,2"/>
    <w:basedOn w:val="922"/>
    <w:next w:val="922"/>
    <w:link w:val="922"/>
    <w:qFormat/>
    <w:pPr>
      <w:numPr>
        <w:ilvl w:val="1"/>
        <w:numId w:val="1"/>
      </w:numPr>
      <w:ind w:left="1418" w:hanging="851"/>
      <w:jc w:val="both"/>
      <w:spacing w:before="120" w:after="120"/>
      <w:tabs>
        <w:tab w:val="clear" w:pos="360" w:leader="none"/>
      </w:tabs>
      <w:outlineLvl w:val="1"/>
    </w:pPr>
    <w:rPr>
      <w:b/>
      <w:szCs w:val="20"/>
    </w:rPr>
  </w:style>
  <w:style w:type="paragraph" w:styleId="925">
    <w:name w:val="Заголовок 3"/>
    <w:basedOn w:val="922"/>
    <w:next w:val="922"/>
    <w:link w:val="922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926">
    <w:name w:val="Заголовок 4,Заголовок 4 (Приложение),H4"/>
    <w:basedOn w:val="922"/>
    <w:next w:val="922"/>
    <w:link w:val="922"/>
    <w:qFormat/>
    <w:pPr>
      <w:numPr>
        <w:ilvl w:val="3"/>
        <w:numId w:val="1"/>
      </w:numPr>
      <w:ind w:left="709" w:hanging="709"/>
      <w:jc w:val="both"/>
      <w:keepNext/>
      <w:spacing w:before="120" w:after="120"/>
      <w:tabs>
        <w:tab w:val="clear" w:pos="1287" w:leader="none"/>
      </w:tabs>
      <w:outlineLvl w:val="3"/>
    </w:pPr>
    <w:rPr>
      <w:szCs w:val="20"/>
    </w:rPr>
  </w:style>
  <w:style w:type="paragraph" w:styleId="927">
    <w:name w:val="Заголовок 5,H5"/>
    <w:basedOn w:val="922"/>
    <w:next w:val="922"/>
    <w:link w:val="922"/>
    <w:qFormat/>
    <w:pPr>
      <w:numPr>
        <w:ilvl w:val="4"/>
        <w:numId w:val="1"/>
      </w:numPr>
      <w:ind w:left="993" w:hanging="709"/>
      <w:jc w:val="both"/>
      <w:spacing w:before="60" w:after="60"/>
      <w:tabs>
        <w:tab w:val="clear" w:pos="2214" w:leader="none"/>
      </w:tabs>
      <w:outlineLvl w:val="4"/>
    </w:pPr>
    <w:rPr>
      <w:szCs w:val="20"/>
    </w:rPr>
  </w:style>
  <w:style w:type="paragraph" w:styleId="928">
    <w:name w:val="Заголовок 6"/>
    <w:basedOn w:val="922"/>
    <w:next w:val="922"/>
    <w:link w:val="922"/>
    <w:qFormat/>
    <w:pPr>
      <w:numPr>
        <w:ilvl w:val="5"/>
        <w:numId w:val="1"/>
      </w:numPr>
      <w:ind w:left="4248" w:hanging="708"/>
      <w:jc w:val="both"/>
      <w:spacing w:before="240" w:after="60"/>
      <w:tabs>
        <w:tab w:val="num" w:pos="0" w:leader="none"/>
        <w:tab w:val="clear" w:pos="2781" w:leader="none"/>
      </w:tabs>
      <w:outlineLvl w:val="5"/>
    </w:pPr>
    <w:rPr>
      <w:i/>
      <w:sz w:val="22"/>
      <w:szCs w:val="20"/>
    </w:rPr>
  </w:style>
  <w:style w:type="paragraph" w:styleId="929">
    <w:name w:val="Заголовок 7"/>
    <w:basedOn w:val="922"/>
    <w:next w:val="922"/>
    <w:link w:val="922"/>
    <w:qFormat/>
    <w:pPr>
      <w:numPr>
        <w:ilvl w:val="6"/>
        <w:numId w:val="1"/>
      </w:numPr>
      <w:ind w:left="4956"/>
      <w:jc w:val="both"/>
      <w:spacing w:before="240" w:after="60"/>
      <w:tabs>
        <w:tab w:val="num" w:pos="0" w:leader="none"/>
        <w:tab w:val="clear" w:pos="5152" w:leader="none"/>
      </w:tabs>
      <w:outlineLvl w:val="6"/>
    </w:pPr>
    <w:rPr>
      <w:sz w:val="20"/>
      <w:szCs w:val="20"/>
    </w:rPr>
  </w:style>
  <w:style w:type="paragraph" w:styleId="930">
    <w:name w:val="Заголовок 8"/>
    <w:basedOn w:val="922"/>
    <w:next w:val="922"/>
    <w:link w:val="922"/>
    <w:qFormat/>
    <w:pPr>
      <w:numPr>
        <w:ilvl w:val="7"/>
        <w:numId w:val="1"/>
      </w:numPr>
      <w:jc w:val="both"/>
      <w:spacing w:before="240" w:after="60"/>
      <w:outlineLvl w:val="7"/>
    </w:pPr>
    <w:rPr>
      <w:i/>
      <w:sz w:val="20"/>
      <w:szCs w:val="20"/>
    </w:rPr>
  </w:style>
  <w:style w:type="paragraph" w:styleId="931">
    <w:name w:val="Заголовок 9"/>
    <w:basedOn w:val="922"/>
    <w:next w:val="922"/>
    <w:link w:val="922"/>
    <w:qFormat/>
    <w:pPr>
      <w:numPr>
        <w:ilvl w:val="8"/>
        <w:numId w:val="1"/>
      </w:numPr>
      <w:ind w:left="6372"/>
      <w:jc w:val="both"/>
      <w:spacing w:before="240" w:after="60"/>
      <w:tabs>
        <w:tab w:val="num" w:pos="0" w:leader="none"/>
        <w:tab w:val="clear" w:pos="6928" w:leader="none"/>
      </w:tabs>
      <w:outlineLvl w:val="8"/>
    </w:pPr>
    <w:rPr>
      <w:i/>
      <w:sz w:val="18"/>
      <w:szCs w:val="20"/>
    </w:rPr>
  </w:style>
  <w:style w:type="character" w:styleId="932">
    <w:name w:val="Основной шрифт абзаца, Знак Знак7 Знак Знак Знак Знак"/>
    <w:next w:val="932"/>
    <w:link w:val="922"/>
    <w:semiHidden/>
  </w:style>
  <w:style w:type="table" w:styleId="933">
    <w:name w:val="Обычная таблица"/>
    <w:next w:val="933"/>
    <w:link w:val="922"/>
    <w:semiHidden/>
    <w:tblPr/>
  </w:style>
  <w:style w:type="numbering" w:styleId="934">
    <w:name w:val="Нет списка"/>
    <w:next w:val="934"/>
    <w:link w:val="922"/>
    <w:semiHidden/>
  </w:style>
  <w:style w:type="paragraph" w:styleId="935">
    <w:name w:val=" Знак Знак7 Знак Знак"/>
    <w:basedOn w:val="922"/>
    <w:next w:val="935"/>
    <w:link w:val="92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936">
    <w:name w:val="Верхний колонтитул"/>
    <w:basedOn w:val="922"/>
    <w:next w:val="936"/>
    <w:link w:val="937"/>
    <w:pPr>
      <w:ind w:firstLine="567"/>
      <w:jc w:val="both"/>
      <w:tabs>
        <w:tab w:val="center" w:pos="4320" w:leader="none"/>
        <w:tab w:val="right" w:pos="8640" w:leader="none"/>
      </w:tabs>
    </w:pPr>
    <w:rPr>
      <w:szCs w:val="20"/>
    </w:rPr>
  </w:style>
  <w:style w:type="character" w:styleId="937">
    <w:name w:val="Верхний колонтитул Знак"/>
    <w:next w:val="937"/>
    <w:link w:val="936"/>
    <w:rPr>
      <w:sz w:val="24"/>
      <w:lang w:val="ru-RU" w:eastAsia="ru-RU" w:bidi="ar-SA"/>
    </w:rPr>
  </w:style>
  <w:style w:type="paragraph" w:styleId="938">
    <w:name w:val="Основной текст,Çàã1,BO,ID,body indent,andrad,EHPT,Body Text2"/>
    <w:basedOn w:val="922"/>
    <w:next w:val="938"/>
    <w:link w:val="939"/>
    <w:pPr>
      <w:spacing w:after="120"/>
    </w:pPr>
  </w:style>
  <w:style w:type="character" w:styleId="939">
    <w:name w:val="Основной текст Знак,Çàã1 Знак,BO Знак,ID Знак,body indent Знак,andrad Знак,EHPT Знак,Body Text2 Знак"/>
    <w:next w:val="939"/>
    <w:link w:val="938"/>
    <w:rPr>
      <w:sz w:val="24"/>
      <w:szCs w:val="24"/>
      <w:lang w:val="ru-RU" w:eastAsia="ru-RU" w:bidi="ar-SA"/>
    </w:rPr>
  </w:style>
  <w:style w:type="paragraph" w:styleId="940">
    <w:name w:val="Обычный (веб),Обычный (веб)1,Обычный (веб)11,Обычный (Web)"/>
    <w:basedOn w:val="922"/>
    <w:next w:val="940"/>
    <w:link w:val="941"/>
    <w:pPr>
      <w:spacing w:before="100" w:beforeAutospacing="1" w:after="100" w:afterAutospacing="1"/>
    </w:pPr>
    <w:rPr>
      <w:rFonts w:ascii="Arial Unicode MS" w:hAnsi="Arial Unicode MS" w:eastAsia="Arial Unicode MS" w:cs="Arial Unicode MS"/>
    </w:rPr>
  </w:style>
  <w:style w:type="character" w:styleId="941">
    <w:name w:val="Обычный (веб) Знак,Обычный (веб)1 Знак,Обычный (веб)11 Знак,Обычный (Web) Знак"/>
    <w:next w:val="941"/>
    <w:link w:val="940"/>
    <w:rPr>
      <w:rFonts w:ascii="Arial Unicode MS" w:hAnsi="Arial Unicode MS" w:eastAsia="Arial Unicode MS" w:cs="Arial Unicode MS"/>
      <w:sz w:val="24"/>
      <w:szCs w:val="24"/>
      <w:lang w:val="ru-RU" w:eastAsia="ru-RU" w:bidi="ar-SA"/>
    </w:rPr>
  </w:style>
  <w:style w:type="paragraph" w:styleId="942">
    <w:name w:val="Нижний колонтитул"/>
    <w:basedOn w:val="922"/>
    <w:next w:val="942"/>
    <w:link w:val="943"/>
    <w:pPr>
      <w:tabs>
        <w:tab w:val="center" w:pos="4677" w:leader="none"/>
        <w:tab w:val="right" w:pos="9355" w:leader="none"/>
      </w:tabs>
    </w:pPr>
  </w:style>
  <w:style w:type="character" w:styleId="943">
    <w:name w:val="Нижний колонтитул Знак"/>
    <w:next w:val="943"/>
    <w:link w:val="942"/>
    <w:rPr>
      <w:sz w:val="24"/>
      <w:szCs w:val="24"/>
      <w:lang w:val="ru-RU" w:eastAsia="ru-RU" w:bidi="ar-SA"/>
    </w:rPr>
  </w:style>
  <w:style w:type="paragraph" w:styleId="944">
    <w:name w:val="Стиль3"/>
    <w:basedOn w:val="945"/>
    <w:next w:val="944"/>
    <w:link w:val="946"/>
    <w:pPr>
      <w:ind w:left="1260" w:right="0" w:hanging="720"/>
      <w:jc w:val="both"/>
      <w:widowControl w:val="off"/>
      <w:tabs>
        <w:tab w:val="num" w:pos="720" w:leader="none"/>
        <w:tab w:val="num" w:pos="1209" w:leader="none"/>
        <w:tab w:val="num" w:pos="1487" w:leader="none"/>
        <w:tab w:val="num" w:pos="1800" w:leader="none"/>
        <w:tab w:val="clear" w:pos="6120" w:leader="none"/>
        <w:tab w:val="clear" w:pos="9720" w:leader="none"/>
        <w:tab w:val="clear" w:pos="9865" w:leader="none"/>
      </w:tabs>
    </w:pPr>
    <w:rPr>
      <w:sz w:val="24"/>
    </w:rPr>
  </w:style>
  <w:style w:type="paragraph" w:styleId="945">
    <w:name w:val="Основной текст с отступом 2"/>
    <w:basedOn w:val="922"/>
    <w:next w:val="945"/>
    <w:link w:val="922"/>
    <w:pPr>
      <w:ind w:right="3684" w:firstLine="567"/>
      <w:jc w:val="center"/>
      <w:tabs>
        <w:tab w:val="left" w:pos="6120" w:leader="none"/>
        <w:tab w:val="left" w:pos="9720" w:leader="none"/>
        <w:tab w:val="left" w:pos="9865" w:leader="none"/>
      </w:tabs>
    </w:pPr>
    <w:rPr>
      <w:sz w:val="20"/>
    </w:rPr>
  </w:style>
  <w:style w:type="character" w:styleId="946">
    <w:name w:val="Стиль3 Знак"/>
    <w:next w:val="946"/>
    <w:link w:val="944"/>
    <w:rPr>
      <w:sz w:val="24"/>
      <w:szCs w:val="24"/>
      <w:lang w:val="ru-RU" w:eastAsia="ru-RU" w:bidi="ar-SA"/>
    </w:rPr>
  </w:style>
  <w:style w:type="paragraph" w:styleId="947">
    <w:name w:val="Текст ТД"/>
    <w:basedOn w:val="922"/>
    <w:next w:val="947"/>
    <w:link w:val="948"/>
    <w:qFormat/>
    <w:pPr>
      <w:numPr>
        <w:ilvl w:val="0"/>
        <w:numId w:val="3"/>
      </w:numPr>
      <w:jc w:val="both"/>
      <w:spacing w:after="200"/>
    </w:pPr>
    <w:rPr>
      <w:rFonts w:eastAsia="Calibri"/>
      <w:lang w:eastAsia="en-US"/>
    </w:rPr>
  </w:style>
  <w:style w:type="character" w:styleId="948">
    <w:name w:val="Текст ТД Знак"/>
    <w:next w:val="948"/>
    <w:link w:val="947"/>
    <w:rPr>
      <w:rFonts w:eastAsia="Calibri"/>
      <w:sz w:val="24"/>
      <w:szCs w:val="24"/>
      <w:lang w:val="ru-RU" w:eastAsia="en-US" w:bidi="ar-SA"/>
    </w:rPr>
  </w:style>
  <w:style w:type="paragraph" w:styleId="949">
    <w:name w:val="Основной текст с отступом"/>
    <w:basedOn w:val="922"/>
    <w:next w:val="949"/>
    <w:link w:val="922"/>
    <w:semiHidden/>
    <w:unhideWhenUsed/>
    <w:pPr>
      <w:ind w:left="283"/>
      <w:spacing w:after="12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50">
    <w:name w:val="Знак1"/>
    <w:basedOn w:val="922"/>
    <w:next w:val="950"/>
    <w:link w:val="92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951">
    <w:name w:val="Основной текст 3"/>
    <w:basedOn w:val="922"/>
    <w:next w:val="951"/>
    <w:link w:val="922"/>
    <w:pPr>
      <w:spacing w:after="120" w:line="276" w:lineRule="auto"/>
    </w:pPr>
    <w:rPr>
      <w:rFonts w:ascii="Calibri" w:hAnsi="Calibri" w:eastAsia="Calibri"/>
      <w:sz w:val="16"/>
      <w:szCs w:val="16"/>
      <w:lang w:eastAsia="en-US"/>
    </w:rPr>
  </w:style>
  <w:style w:type="paragraph" w:styleId="952">
    <w:name w:val="Текст выноски"/>
    <w:basedOn w:val="922"/>
    <w:next w:val="952"/>
    <w:link w:val="984"/>
    <w:semiHidden/>
    <w:rPr>
      <w:rFonts w:ascii="Tahoma" w:hAnsi="Tahoma" w:cs="Tahoma"/>
      <w:sz w:val="16"/>
      <w:szCs w:val="16"/>
    </w:rPr>
  </w:style>
  <w:style w:type="paragraph" w:styleId="953">
    <w:name w:val="Обычный1"/>
    <w:next w:val="953"/>
    <w:link w:val="922"/>
    <w:pPr>
      <w:ind w:firstLine="720"/>
      <w:spacing w:line="300" w:lineRule="auto"/>
      <w:widowControl w:val="off"/>
    </w:pPr>
    <w:rPr>
      <w:sz w:val="22"/>
      <w:lang w:val="ru-RU" w:eastAsia="ru-RU" w:bidi="ar-SA"/>
    </w:rPr>
  </w:style>
  <w:style w:type="paragraph" w:styleId="954">
    <w:name w:val="Обычный таблица"/>
    <w:basedOn w:val="922"/>
    <w:next w:val="954"/>
    <w:link w:val="955"/>
    <w:rPr>
      <w:rFonts w:eastAsia="Calibri"/>
      <w:sz w:val="18"/>
      <w:szCs w:val="18"/>
    </w:rPr>
  </w:style>
  <w:style w:type="character" w:styleId="955">
    <w:name w:val="Обычный таблица Знак"/>
    <w:next w:val="955"/>
    <w:link w:val="954"/>
    <w:rPr>
      <w:rFonts w:eastAsia="Calibri"/>
      <w:sz w:val="18"/>
      <w:szCs w:val="18"/>
      <w:lang w:val="ru-RU" w:eastAsia="ru-RU" w:bidi="ar-SA"/>
    </w:rPr>
  </w:style>
  <w:style w:type="paragraph" w:styleId="956">
    <w:name w:val="Текст сноски"/>
    <w:basedOn w:val="922"/>
    <w:next w:val="956"/>
    <w:link w:val="958"/>
    <w:semiHidden/>
    <w:rPr>
      <w:sz w:val="20"/>
      <w:szCs w:val="20"/>
    </w:rPr>
  </w:style>
  <w:style w:type="character" w:styleId="957">
    <w:name w:val="Знак сноски"/>
    <w:next w:val="957"/>
    <w:link w:val="922"/>
    <w:semiHidden/>
    <w:rPr>
      <w:rFonts w:cs="Times New Roman"/>
      <w:vertAlign w:val="superscript"/>
    </w:rPr>
  </w:style>
  <w:style w:type="character" w:styleId="958">
    <w:name w:val="Текст сноски Знак"/>
    <w:next w:val="958"/>
    <w:link w:val="956"/>
    <w:rPr>
      <w:lang w:val="ru-RU" w:eastAsia="ru-RU" w:bidi="ar-SA"/>
    </w:rPr>
  </w:style>
  <w:style w:type="paragraph" w:styleId="959">
    <w:name w:val="ConsPlusNormal"/>
    <w:next w:val="959"/>
    <w:link w:val="979"/>
    <w:rPr>
      <w:rFonts w:ascii="Arial" w:hAnsi="Arial" w:cs="Arial"/>
      <w:lang w:val="ru-RU" w:eastAsia="ru-RU" w:bidi="ar-SA"/>
    </w:rPr>
  </w:style>
  <w:style w:type="paragraph" w:styleId="960">
    <w:name w:val=" Char"/>
    <w:basedOn w:val="922"/>
    <w:next w:val="960"/>
    <w:link w:val="922"/>
    <w:pPr>
      <w:keepLines/>
      <w:spacing w:after="160" w:line="240" w:lineRule="exact"/>
    </w:pPr>
    <w:rPr>
      <w:rFonts w:ascii="Verdana" w:hAnsi="Verdana" w:eastAsia="MS Mincho" w:cs="Franklin Gothic Book"/>
      <w:sz w:val="20"/>
      <w:szCs w:val="20"/>
      <w:lang w:val="en-US" w:eastAsia="en-US"/>
    </w:rPr>
  </w:style>
  <w:style w:type="paragraph" w:styleId="961">
    <w:name w:val=" Знак Знак5"/>
    <w:basedOn w:val="922"/>
    <w:next w:val="961"/>
    <w:link w:val="92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962">
    <w:name w:val="Char"/>
    <w:basedOn w:val="922"/>
    <w:next w:val="962"/>
    <w:link w:val="922"/>
    <w:pPr>
      <w:keepLines/>
      <w:spacing w:after="160" w:line="240" w:lineRule="exact"/>
    </w:pPr>
    <w:rPr>
      <w:rFonts w:ascii="Verdana" w:hAnsi="Verdana" w:eastAsia="MS Mincho" w:cs="Verdana"/>
      <w:sz w:val="20"/>
      <w:szCs w:val="20"/>
      <w:lang w:val="en-US" w:eastAsia="en-US"/>
    </w:rPr>
  </w:style>
  <w:style w:type="character" w:styleId="963">
    <w:name w:val="Заголовок 1 Знак,H1 Знак,. Знак,Название спецификации Знак,h:1 Знак,h:1app Знак,TF-Overskrift 1 Знак,H11 Знак,R1 Знак,Titre 0 Знак"/>
    <w:next w:val="963"/>
    <w:link w:val="923"/>
    <w:rPr>
      <w:rFonts w:ascii="Arial" w:hAnsi="Arial" w:cs="Arial"/>
      <w:b/>
      <w:bCs/>
      <w:sz w:val="32"/>
      <w:szCs w:val="32"/>
      <w:lang w:val="ru-RU" w:eastAsia="ar-SA" w:bidi="ar-SA"/>
    </w:rPr>
  </w:style>
  <w:style w:type="paragraph" w:styleId="964">
    <w:name w:val="FR2"/>
    <w:next w:val="964"/>
    <w:link w:val="922"/>
    <w:pPr>
      <w:ind w:left="720"/>
      <w:jc w:val="center"/>
      <w:spacing w:before="400" w:line="300" w:lineRule="auto"/>
      <w:widowControl w:val="off"/>
    </w:pPr>
    <w:rPr>
      <w:b/>
      <w:bCs/>
      <w:sz w:val="32"/>
      <w:szCs w:val="32"/>
      <w:lang w:val="ru-RU" w:eastAsia="ru-RU" w:bidi="ar-SA"/>
    </w:rPr>
  </w:style>
  <w:style w:type="paragraph" w:styleId="965">
    <w:name w:val="FR1"/>
    <w:next w:val="965"/>
    <w:link w:val="922"/>
    <w:pPr>
      <w:ind w:left="720"/>
      <w:jc w:val="center"/>
      <w:spacing w:before="3640"/>
      <w:widowControl w:val="off"/>
    </w:pPr>
    <w:rPr>
      <w:b/>
      <w:bCs/>
      <w:sz w:val="40"/>
      <w:szCs w:val="40"/>
      <w:lang w:val="ru-RU" w:eastAsia="ru-RU" w:bidi="ar-SA"/>
    </w:rPr>
  </w:style>
  <w:style w:type="character" w:styleId="966">
    <w:name w:val="Гиперссылка"/>
    <w:next w:val="966"/>
    <w:link w:val="922"/>
    <w:rPr>
      <w:color w:val="0000ff"/>
      <w:u w:val="single"/>
    </w:rPr>
  </w:style>
  <w:style w:type="character" w:styleId="967">
    <w:name w:val=" Знак Знак4"/>
    <w:next w:val="967"/>
    <w:link w:val="922"/>
    <w:semiHidden/>
    <w:rPr>
      <w:sz w:val="24"/>
      <w:szCs w:val="24"/>
      <w:lang w:val="ru-RU" w:eastAsia="ru-RU" w:bidi="ar-SA"/>
    </w:rPr>
  </w:style>
  <w:style w:type="character" w:styleId="968">
    <w:name w:val=" Знак Знак3"/>
    <w:next w:val="968"/>
    <w:link w:val="922"/>
    <w:rPr>
      <w:sz w:val="28"/>
      <w:lang w:val="ru-RU" w:eastAsia="ru-RU" w:bidi="ar-SA"/>
    </w:rPr>
  </w:style>
  <w:style w:type="table" w:styleId="969">
    <w:name w:val="Сетка таблицы"/>
    <w:basedOn w:val="933"/>
    <w:next w:val="969"/>
    <w:link w:val="922"/>
    <w:rPr>
      <w:rFonts w:eastAsia="Calibri"/>
      <w:lang w:val="ru-RU" w:eastAsia="ru-RU" w:bidi="ar-SA"/>
    </w:rPr>
    <w:tblPr/>
  </w:style>
  <w:style w:type="paragraph" w:styleId="970">
    <w:name w:val="ConsNormal"/>
    <w:next w:val="970"/>
    <w:link w:val="971"/>
    <w:pPr>
      <w:ind w:firstLine="720"/>
      <w:widowControl w:val="off"/>
    </w:pPr>
    <w:rPr>
      <w:rFonts w:ascii="Arial" w:hAnsi="Arial"/>
      <w:lang w:val="ru-RU" w:eastAsia="ru-RU" w:bidi="ar-SA"/>
    </w:rPr>
  </w:style>
  <w:style w:type="character" w:styleId="971">
    <w:name w:val="ConsNormal Знак"/>
    <w:next w:val="971"/>
    <w:link w:val="970"/>
    <w:rPr>
      <w:rFonts w:ascii="Arial" w:hAnsi="Arial"/>
      <w:lang w:val="ru-RU" w:eastAsia="ru-RU" w:bidi="ar-SA"/>
    </w:rPr>
  </w:style>
  <w:style w:type="paragraph" w:styleId="972">
    <w:name w:val="Основной текст 2"/>
    <w:basedOn w:val="922"/>
    <w:next w:val="972"/>
    <w:link w:val="922"/>
    <w:pPr>
      <w:spacing w:after="120" w:line="480" w:lineRule="auto"/>
    </w:pPr>
    <w:rPr>
      <w:sz w:val="20"/>
      <w:szCs w:val="20"/>
    </w:rPr>
  </w:style>
  <w:style w:type="paragraph" w:styleId="973">
    <w:name w:val="Подраздел"/>
    <w:next w:val="973"/>
    <w:link w:val="922"/>
    <w:pPr>
      <w:jc w:val="center"/>
      <w:spacing w:before="240" w:after="120" w:line="100" w:lineRule="atLeast"/>
      <w:widowControl w:val="off"/>
    </w:pPr>
    <w:rPr>
      <w:rFonts w:ascii="TimesDL" w:hAnsi="TimesDL" w:eastAsia="DejaVu Sans"/>
      <w:b/>
      <w:smallCaps/>
      <w:spacing w:val="-2"/>
      <w:sz w:val="24"/>
      <w:lang w:val="ru-RU" w:eastAsia="ar-SA" w:bidi="ar-SA"/>
    </w:rPr>
  </w:style>
  <w:style w:type="character" w:styleId="974">
    <w:name w:val="Номер страницы"/>
    <w:basedOn w:val="932"/>
    <w:next w:val="974"/>
    <w:link w:val="922"/>
  </w:style>
  <w:style w:type="paragraph" w:styleId="975">
    <w:name w:val="Normal1"/>
    <w:next w:val="975"/>
    <w:link w:val="922"/>
    <w:pPr>
      <w:jc w:val="both"/>
      <w:spacing w:line="360" w:lineRule="auto"/>
      <w:widowControl w:val="off"/>
    </w:pPr>
    <w:rPr>
      <w:sz w:val="28"/>
      <w:lang w:val="ru-RU" w:eastAsia="ru-RU" w:bidi="ar-SA"/>
    </w:rPr>
  </w:style>
  <w:style w:type="paragraph" w:styleId="976">
    <w:name w:val="Îáû÷íûé"/>
    <w:next w:val="976"/>
    <w:link w:val="922"/>
    <w:rPr>
      <w:lang w:val="ru-RU" w:eastAsia="ru-RU" w:bidi="ar-SA"/>
    </w:rPr>
  </w:style>
  <w:style w:type="paragraph" w:styleId="977">
    <w:name w:val="FR3"/>
    <w:next w:val="977"/>
    <w:link w:val="922"/>
    <w:pPr>
      <w:ind w:left="720" w:firstLine="700"/>
      <w:jc w:val="both"/>
      <w:spacing w:line="260" w:lineRule="auto"/>
      <w:widowControl w:val="off"/>
    </w:pPr>
    <w:rPr>
      <w:sz w:val="28"/>
      <w:szCs w:val="28"/>
      <w:lang w:val="ru-RU" w:eastAsia="ru-RU" w:bidi="ar-SA"/>
    </w:rPr>
  </w:style>
  <w:style w:type="paragraph" w:styleId="978">
    <w:name w:val="1 Знак Char Знак Char Знак"/>
    <w:basedOn w:val="922"/>
    <w:next w:val="978"/>
    <w:link w:val="922"/>
    <w:pPr>
      <w:spacing w:after="160" w:line="240" w:lineRule="exact"/>
    </w:pPr>
    <w:rPr>
      <w:rFonts w:eastAsia="Calibri"/>
      <w:sz w:val="20"/>
      <w:szCs w:val="20"/>
      <w:lang w:eastAsia="zh-CN"/>
    </w:rPr>
  </w:style>
  <w:style w:type="character" w:styleId="979">
    <w:name w:val="ConsPlusNormal Знак"/>
    <w:next w:val="979"/>
    <w:link w:val="959"/>
    <w:rPr>
      <w:rFonts w:ascii="Arial" w:hAnsi="Arial" w:cs="Arial"/>
      <w:lang w:val="ru-RU" w:eastAsia="ru-RU" w:bidi="ar-SA"/>
    </w:rPr>
  </w:style>
  <w:style w:type="paragraph" w:styleId="980">
    <w:name w:val="Название,Заголовок"/>
    <w:basedOn w:val="922"/>
    <w:next w:val="980"/>
    <w:link w:val="981"/>
    <w:qFormat/>
    <w:pPr>
      <w:jc w:val="center"/>
      <w:widowControl w:val="off"/>
    </w:pPr>
    <w:rPr>
      <w:sz w:val="28"/>
      <w:szCs w:val="20"/>
    </w:rPr>
  </w:style>
  <w:style w:type="character" w:styleId="981">
    <w:name w:val="Название Знак,Заголовок Знак"/>
    <w:next w:val="981"/>
    <w:link w:val="980"/>
    <w:rPr>
      <w:sz w:val="28"/>
      <w:lang w:val="ru-RU" w:eastAsia="ru-RU" w:bidi="ar-SA"/>
    </w:rPr>
  </w:style>
  <w:style w:type="paragraph" w:styleId="982">
    <w:name w:val="текст сноски"/>
    <w:basedOn w:val="922"/>
    <w:next w:val="982"/>
    <w:link w:val="922"/>
    <w:pPr>
      <w:widowControl w:val="off"/>
    </w:pPr>
    <w:rPr>
      <w:rFonts w:ascii="Gelvetsky 12pt" w:hAnsi="Gelvetsky 12pt"/>
      <w:szCs w:val="20"/>
      <w:lang w:val="en-US"/>
    </w:rPr>
  </w:style>
  <w:style w:type="paragraph" w:styleId="983">
    <w:name w:val="Указатель 1"/>
    <w:basedOn w:val="922"/>
    <w:next w:val="922"/>
    <w:link w:val="922"/>
    <w:semiHidden/>
    <w:pPr>
      <w:ind w:left="240" w:hanging="240"/>
    </w:pPr>
  </w:style>
  <w:style w:type="character" w:styleId="984">
    <w:name w:val="Текст выноски Знак"/>
    <w:next w:val="984"/>
    <w:link w:val="952"/>
    <w:semiHidden/>
    <w:rPr>
      <w:rFonts w:ascii="Tahoma" w:hAnsi="Tahoma" w:cs="Tahoma"/>
      <w:sz w:val="16"/>
      <w:szCs w:val="16"/>
      <w:lang w:val="ru-RU" w:eastAsia="ru-RU" w:bidi="ar-SA"/>
    </w:rPr>
  </w:style>
  <w:style w:type="character" w:styleId="985">
    <w:name w:val="Строгий"/>
    <w:next w:val="985"/>
    <w:link w:val="922"/>
    <w:rPr>
      <w:b/>
      <w:bCs/>
    </w:rPr>
  </w:style>
  <w:style w:type="paragraph" w:styleId="986">
    <w:name w:val="Оглавление 3"/>
    <w:basedOn w:val="922"/>
    <w:next w:val="922"/>
    <w:link w:val="922"/>
    <w:pPr>
      <w:jc w:val="both"/>
      <w:keepLines/>
      <w:keepNext/>
      <w:widowControl w:val="off"/>
      <w:tabs>
        <w:tab w:val="right" w:pos="8780" w:leader="dot"/>
      </w:tabs>
      <w:suppressLineNumbers/>
    </w:pPr>
    <w:rPr>
      <w:rFonts w:eastAsia="Lucida Sans Unicode"/>
      <w:b/>
      <w:lang w:eastAsia="ar-SA"/>
    </w:rPr>
  </w:style>
  <w:style w:type="paragraph" w:styleId="987">
    <w:name w:val="Содержимое таблицы"/>
    <w:basedOn w:val="922"/>
    <w:next w:val="987"/>
    <w:link w:val="922"/>
    <w:pPr>
      <w:suppressLineNumbers/>
    </w:pPr>
    <w:rPr>
      <w:sz w:val="20"/>
      <w:szCs w:val="20"/>
      <w:lang w:val="en-US" w:eastAsia="en-US"/>
    </w:rPr>
  </w:style>
  <w:style w:type="paragraph" w:styleId="988">
    <w:name w:val="ConsNonformat"/>
    <w:next w:val="988"/>
    <w:link w:val="922"/>
    <w:pPr>
      <w:widowControl w:val="off"/>
    </w:pPr>
    <w:rPr>
      <w:rFonts w:ascii="Consultant" w:hAnsi="Consultant" w:eastAsia="Arial"/>
      <w:lang w:val="ru-RU" w:eastAsia="ar-SA" w:bidi="ar-SA"/>
    </w:rPr>
  </w:style>
  <w:style w:type="paragraph" w:styleId="989">
    <w:name w:val="Основной текст 31"/>
    <w:basedOn w:val="922"/>
    <w:next w:val="989"/>
    <w:link w:val="922"/>
    <w:pPr>
      <w:spacing w:after="120"/>
    </w:pPr>
    <w:rPr>
      <w:sz w:val="16"/>
      <w:szCs w:val="16"/>
      <w:lang w:eastAsia="ar-SA"/>
    </w:rPr>
  </w:style>
  <w:style w:type="paragraph" w:styleId="990">
    <w:name w:val="ConsPlusNonformat"/>
    <w:next w:val="990"/>
    <w:link w:val="922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991">
    <w:name w:val="Стандартный HTML"/>
    <w:basedOn w:val="922"/>
    <w:next w:val="991"/>
    <w:link w:val="922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  <w:lang w:eastAsia="ar-SA"/>
    </w:rPr>
  </w:style>
  <w:style w:type="character" w:styleId="992">
    <w:name w:val="iceouttxt53"/>
    <w:next w:val="992"/>
    <w:link w:val="922"/>
    <w:rPr>
      <w:rFonts w:ascii="Arial" w:hAnsi="Arial" w:cs="Arial"/>
      <w:color w:val="666666"/>
      <w:sz w:val="17"/>
      <w:szCs w:val="17"/>
    </w:rPr>
  </w:style>
  <w:style w:type="paragraph" w:styleId="993">
    <w:name w:val="Знак"/>
    <w:basedOn w:val="922"/>
    <w:next w:val="993"/>
    <w:link w:val="922"/>
    <w:pPr>
      <w:ind w:firstLine="709"/>
      <w:jc w:val="both"/>
      <w:spacing w:after="160" w:line="240" w:lineRule="exact"/>
      <w:shd w:val="clear" w:color="auto" w:fill="ffffff"/>
      <w:widowControl w:val="off"/>
    </w:pPr>
    <w:rPr>
      <w:rFonts w:ascii="Verdana" w:hAnsi="Verdana"/>
      <w:sz w:val="22"/>
      <w:szCs w:val="22"/>
      <w:lang w:val="en-US" w:eastAsia="en-US"/>
    </w:rPr>
  </w:style>
  <w:style w:type="paragraph" w:styleId="994">
    <w:name w:val="Iacaaiea"/>
    <w:basedOn w:val="922"/>
    <w:next w:val="994"/>
    <w:link w:val="922"/>
    <w:pPr>
      <w:ind w:firstLine="709"/>
      <w:jc w:val="center"/>
      <w:spacing w:before="120" w:line="360" w:lineRule="atLeast"/>
      <w:shd w:val="clear" w:color="auto" w:fill="ffffff"/>
      <w:widowControl w:val="off"/>
      <w:tabs>
        <w:tab w:val="left" w:pos="426" w:leader="none"/>
      </w:tabs>
    </w:pPr>
    <w:rPr>
      <w:b/>
      <w:bCs/>
      <w:sz w:val="22"/>
      <w:szCs w:val="22"/>
    </w:rPr>
  </w:style>
  <w:style w:type="character" w:styleId="995">
    <w:name w:val="iceouttxt1"/>
    <w:next w:val="995"/>
    <w:link w:val="922"/>
    <w:rPr>
      <w:rFonts w:ascii="Arial" w:hAnsi="Arial" w:cs="Arial"/>
      <w:color w:val="666666"/>
      <w:sz w:val="17"/>
      <w:szCs w:val="17"/>
    </w:rPr>
  </w:style>
  <w:style w:type="character" w:styleId="996">
    <w:name w:val="rs_err_mark1"/>
    <w:next w:val="996"/>
    <w:link w:val="922"/>
    <w:rPr>
      <w:color w:val="ff0000"/>
    </w:rPr>
  </w:style>
  <w:style w:type="paragraph" w:styleId="997">
    <w:name w:val="Абзац списка"/>
    <w:basedOn w:val="922"/>
    <w:next w:val="997"/>
    <w:link w:val="922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98">
    <w:name w:val="Основной текст с отступом 3"/>
    <w:basedOn w:val="922"/>
    <w:next w:val="998"/>
    <w:link w:val="922"/>
    <w:pPr>
      <w:ind w:left="283"/>
      <w:spacing w:after="120"/>
    </w:pPr>
    <w:rPr>
      <w:sz w:val="16"/>
      <w:szCs w:val="16"/>
    </w:rPr>
  </w:style>
  <w:style w:type="paragraph" w:styleId="999">
    <w:name w:val="Без интервала"/>
    <w:next w:val="999"/>
    <w:link w:val="922"/>
    <w:qFormat/>
    <w:rPr>
      <w:sz w:val="24"/>
      <w:szCs w:val="24"/>
      <w:lang w:val="ru-RU" w:eastAsia="ru-RU" w:bidi="ar-SA"/>
    </w:rPr>
  </w:style>
  <w:style w:type="paragraph" w:styleId="1000">
    <w:name w:val="Схема документа"/>
    <w:basedOn w:val="922"/>
    <w:next w:val="1000"/>
    <w:link w:val="922"/>
    <w:semiHidden/>
    <w:unhideWhenUsed/>
    <w:rPr>
      <w:rFonts w:ascii="Tahoma" w:hAnsi="Tahoma" w:eastAsia="Calibri" w:cs="Tahoma"/>
      <w:sz w:val="16"/>
      <w:szCs w:val="16"/>
      <w:lang w:eastAsia="en-US"/>
    </w:rPr>
  </w:style>
  <w:style w:type="paragraph" w:styleId="1001">
    <w:name w:val="1 Знак Знак Знак Знак"/>
    <w:basedOn w:val="922"/>
    <w:next w:val="922"/>
    <w:link w:val="922"/>
    <w:pPr>
      <w:jc w:val="both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1002">
    <w:name w:val="Основной шрифт абзаца1"/>
    <w:next w:val="1002"/>
    <w:link w:val="922"/>
  </w:style>
  <w:style w:type="paragraph" w:styleId="1003">
    <w:name w:val="Указатель1"/>
    <w:basedOn w:val="922"/>
    <w:next w:val="1003"/>
    <w:link w:val="922"/>
    <w:pPr>
      <w:suppressLineNumbers/>
    </w:pPr>
    <w:rPr>
      <w:rFonts w:ascii="Arial" w:hAnsi="Arial" w:eastAsia="Batang" w:cs="Tahoma"/>
      <w:lang w:eastAsia="ar-SA"/>
    </w:rPr>
  </w:style>
  <w:style w:type="paragraph" w:styleId="1004">
    <w:name w:val="çàãîëîâîê 2"/>
    <w:basedOn w:val="922"/>
    <w:next w:val="922"/>
    <w:link w:val="922"/>
    <w:pPr>
      <w:jc w:val="both"/>
      <w:keepNext/>
    </w:pPr>
    <w:rPr>
      <w:szCs w:val="20"/>
    </w:rPr>
  </w:style>
  <w:style w:type="paragraph" w:styleId="1005">
    <w:name w:val="Стиль1"/>
    <w:basedOn w:val="922"/>
    <w:next w:val="1005"/>
    <w:link w:val="922"/>
    <w:pPr>
      <w:numPr>
        <w:ilvl w:val="0"/>
        <w:numId w:val="2"/>
      </w:numPr>
      <w:keepLines/>
      <w:keepNext/>
      <w:spacing w:after="60"/>
      <w:widowControl w:val="off"/>
      <w:suppressLineNumbers/>
    </w:pPr>
    <w:rPr>
      <w:b/>
      <w:sz w:val="28"/>
    </w:rPr>
  </w:style>
  <w:style w:type="paragraph" w:styleId="1006">
    <w:name w:val="Стиль2"/>
    <w:basedOn w:val="1007"/>
    <w:next w:val="1006"/>
    <w:link w:val="922"/>
    <w:pPr>
      <w:numPr>
        <w:ilvl w:val="0"/>
        <w:numId w:val="0"/>
      </w:numPr>
      <w:ind w:left="1836" w:hanging="576"/>
      <w:jc w:val="both"/>
      <w:keepLines/>
      <w:keepNext/>
      <w:spacing w:after="60"/>
      <w:widowControl w:val="off"/>
      <w:tabs>
        <w:tab w:val="num" w:pos="1836" w:leader="none"/>
      </w:tabs>
      <w:suppressLineNumbers/>
    </w:pPr>
    <w:rPr>
      <w:b/>
      <w:sz w:val="24"/>
    </w:rPr>
  </w:style>
  <w:style w:type="paragraph" w:styleId="1007">
    <w:name w:val="Нумерованный список 2"/>
    <w:basedOn w:val="922"/>
    <w:next w:val="1007"/>
    <w:link w:val="922"/>
    <w:pPr>
      <w:numPr>
        <w:ilvl w:val="0"/>
        <w:numId w:val="3"/>
      </w:numPr>
      <w:ind w:left="480" w:hanging="480"/>
      <w:tabs>
        <w:tab w:val="num" w:pos="480" w:leader="none"/>
      </w:tabs>
    </w:pPr>
    <w:rPr>
      <w:sz w:val="20"/>
      <w:szCs w:val="20"/>
    </w:rPr>
  </w:style>
  <w:style w:type="paragraph" w:styleId="1008">
    <w:name w:val="3"/>
    <w:basedOn w:val="922"/>
    <w:next w:val="1008"/>
    <w:link w:val="922"/>
    <w:pPr>
      <w:numPr>
        <w:ilvl w:val="1"/>
        <w:numId w:val="3"/>
      </w:numPr>
      <w:ind w:left="0" w:firstLine="0"/>
      <w:jc w:val="both"/>
    </w:pPr>
  </w:style>
  <w:style w:type="paragraph" w:styleId="1009">
    <w:name w:val="western"/>
    <w:basedOn w:val="922"/>
    <w:next w:val="1009"/>
    <w:link w:val="922"/>
    <w:pPr>
      <w:spacing w:before="100" w:beforeAutospacing="1" w:after="100" w:afterAutospacing="1"/>
    </w:pPr>
  </w:style>
  <w:style w:type="character" w:styleId="1010">
    <w:name w:val="highlight highlight_active"/>
    <w:basedOn w:val="932"/>
    <w:next w:val="1010"/>
    <w:link w:val="922"/>
  </w:style>
  <w:style w:type="character" w:styleId="1011">
    <w:name w:val="Просмотренная гиперссылка"/>
    <w:next w:val="1011"/>
    <w:link w:val="922"/>
    <w:rPr>
      <w:color w:val="800080"/>
      <w:u w:val="single"/>
    </w:rPr>
  </w:style>
  <w:style w:type="paragraph" w:styleId="1012">
    <w:name w:val="Подподпункт"/>
    <w:basedOn w:val="922"/>
    <w:next w:val="1012"/>
    <w:link w:val="922"/>
    <w:uiPriority w:val="99"/>
    <w:pPr>
      <w:jc w:val="both"/>
      <w:spacing w:line="360" w:lineRule="auto"/>
    </w:pPr>
    <w:rPr>
      <w:sz w:val="28"/>
      <w:szCs w:val="28"/>
    </w:rPr>
  </w:style>
  <w:style w:type="paragraph" w:styleId="1013">
    <w:name w:val=" Знак Знак5 Знак Знак Знак Знак"/>
    <w:basedOn w:val="922"/>
    <w:next w:val="1013"/>
    <w:link w:val="92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1014">
    <w:name w:val="Пункт Договора"/>
    <w:basedOn w:val="922"/>
    <w:next w:val="1014"/>
    <w:link w:val="922"/>
    <w:pPr>
      <w:numPr>
        <w:ilvl w:val="1"/>
        <w:numId w:val="24"/>
      </w:numPr>
      <w:jc w:val="both"/>
      <w:widowControl w:val="off"/>
    </w:pPr>
    <w:rPr>
      <w:rFonts w:ascii="Cambria" w:hAnsi="Cambria" w:cs="Cambria"/>
      <w:lang w:eastAsia="en-US"/>
    </w:rPr>
  </w:style>
  <w:style w:type="paragraph" w:styleId="1015">
    <w:name w:val="Часть Договора"/>
    <w:basedOn w:val="922"/>
    <w:next w:val="1015"/>
    <w:link w:val="922"/>
    <w:pPr>
      <w:numPr>
        <w:ilvl w:val="0"/>
        <w:numId w:val="24"/>
      </w:numPr>
      <w:jc w:val="center"/>
      <w:keepNext/>
      <w:spacing w:before="240" w:after="120"/>
    </w:pPr>
    <w:rPr>
      <w:rFonts w:ascii="Cambria" w:hAnsi="Cambria" w:cs="Cambria"/>
      <w:b/>
      <w:bCs/>
      <w:lang w:eastAsia="en-US"/>
    </w:rPr>
  </w:style>
  <w:style w:type="character" w:styleId="1016">
    <w:name w:val="normal__char1"/>
    <w:next w:val="1016"/>
    <w:link w:val="922"/>
    <w:rPr>
      <w:rFonts w:ascii="Courier New" w:hAnsi="Courier New" w:cs="Courier New"/>
      <w:sz w:val="20"/>
      <w:szCs w:val="20"/>
    </w:rPr>
  </w:style>
  <w:style w:type="character" w:styleId="1017" w:default="1">
    <w:name w:val="Default Paragraph Font"/>
    <w:uiPriority w:val="1"/>
    <w:semiHidden/>
    <w:unhideWhenUsed/>
  </w:style>
  <w:style w:type="numbering" w:styleId="1018" w:default="1">
    <w:name w:val="No List"/>
    <w:uiPriority w:val="99"/>
    <w:semiHidden/>
    <w:unhideWhenUsed/>
  </w:style>
  <w:style w:type="table" w:styleId="1019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ntci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Данный образец не является обязательным для заполнения и служит примером формы</dc:title>
  <dc:creator>vorobyova</dc:creator>
  <cp:lastModifiedBy>isenova_gm</cp:lastModifiedBy>
  <cp:revision>358</cp:revision>
  <dcterms:created xsi:type="dcterms:W3CDTF">2014-03-03T09:32:00Z</dcterms:created>
  <dcterms:modified xsi:type="dcterms:W3CDTF">2026-08-18T03:14:05Z</dcterms:modified>
  <cp:version>983040</cp:version>
</cp:coreProperties>
</file>