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rPr>
          <w:rFonts w:eastAsia="MS Mincho"/>
          <w:b/>
          <w:spacing w:val="-6"/>
        </w:rPr>
      </w:pPr>
      <w:r>
        <w:rPr>
          <w:rFonts w:eastAsia="MS Mincho"/>
          <w:b/>
          <w:spacing w:val="-6"/>
        </w:rPr>
        <w:t xml:space="preserve">Приложение закупочной сессии</w:t>
      </w:r>
      <w:r>
        <w:rPr>
          <w:rFonts w:eastAsia="MS Mincho"/>
          <w:b/>
          <w:spacing w:val="-6"/>
        </w:rPr>
      </w:r>
      <w:r>
        <w:rPr>
          <w:rFonts w:eastAsia="MS Mincho"/>
          <w:b/>
          <w:spacing w:val="-6"/>
        </w:rPr>
      </w:r>
    </w:p>
    <w:p>
      <w:pPr>
        <w:jc w:val="center"/>
        <w:shd w:val="clear" w:color="ffffff" w:fill="ffffff"/>
        <w:rPr>
          <w:rFonts w:eastAsia="Arial"/>
          <w:b/>
          <w:lang w:eastAsia="en-US"/>
        </w:rPr>
        <w:pBdr>
          <w:top w:val="none" w:color="000000" w:sz="4" w:space="0"/>
          <w:left w:val="none" w:color="000000" w:sz="4" w:space="0"/>
          <w:bottom w:val="none" w:color="000000" w:sz="4" w:space="0"/>
          <w:right w:val="none" w:color="000000" w:sz="4" w:space="0"/>
        </w:pBdr>
      </w:pPr>
      <w:r>
        <w:rPr>
          <w:rFonts w:eastAsia="MS Mincho"/>
          <w:b/>
          <w:spacing w:val="-6"/>
        </w:rPr>
        <w:t xml:space="preserve">ИКЗ </w:t>
      </w:r>
      <w:r>
        <w:rPr>
          <w:rFonts w:eastAsia="Tahoma"/>
          <w:b/>
          <w:color w:val="000000"/>
          <w:lang w:eastAsia="en-US"/>
        </w:rPr>
        <w:t xml:space="preserve">261773301215177330100100270000000244</w:t>
      </w:r>
      <w:r>
        <w:rPr>
          <w:rFonts w:eastAsia="Arial"/>
          <w:b/>
          <w:lang w:eastAsia="en-US"/>
        </w:rPr>
      </w:r>
      <w:r>
        <w:rPr>
          <w:rFonts w:eastAsia="Arial"/>
          <w:b/>
          <w:lang w:eastAsia="en-US"/>
        </w:rPr>
      </w:r>
    </w:p>
    <w:p>
      <w:pPr>
        <w:contextualSpacing/>
        <w:jc w:val="center"/>
        <w:rPr>
          <w:rFonts w:eastAsia="MS Mincho"/>
          <w:b/>
          <w:spacing w:val="-6"/>
        </w:rPr>
      </w:pPr>
      <w:r>
        <w:rPr>
          <w:rFonts w:eastAsia="MS Mincho"/>
          <w:b/>
          <w:spacing w:val="-6"/>
        </w:rPr>
      </w:r>
      <w:r>
        <w:rPr>
          <w:rFonts w:eastAsia="MS Mincho"/>
          <w:b/>
          <w:spacing w:val="-6"/>
        </w:rPr>
      </w:r>
      <w:r>
        <w:rPr>
          <w:rFonts w:eastAsia="MS Mincho"/>
          <w:b/>
          <w:spacing w:val="-6"/>
        </w:rPr>
      </w:r>
    </w:p>
    <w:p>
      <w:pPr>
        <w:contextualSpacing/>
        <w:jc w:val="center"/>
        <w:widowControl w:val="off"/>
        <w:tabs>
          <w:tab w:val="left" w:pos="284" w:leader="none"/>
        </w:tabs>
        <w:rPr>
          <w:b/>
        </w:rPr>
        <w:outlineLvl w:val="1"/>
      </w:pPr>
      <w:r/>
      <w:bookmarkStart w:id="0" w:name="Par688"/>
      <w:r/>
      <w:bookmarkEnd w:id="0"/>
      <w:r>
        <w:rPr>
          <w:b/>
        </w:rPr>
        <w:t xml:space="preserve">1.</w:t>
      </w:r>
      <w:r>
        <w:rPr>
          <w:b/>
        </w:rPr>
        <w:tab/>
        <w:t xml:space="preserve">Предмет Контракта</w:t>
      </w:r>
      <w:r>
        <w:rPr>
          <w:b/>
        </w:rPr>
      </w:r>
      <w:r>
        <w:rPr>
          <w:b/>
        </w:rPr>
      </w:r>
    </w:p>
    <w:p>
      <w:pPr>
        <w:jc w:val="both"/>
        <w:rPr>
          <w:rFonts w:ascii="Times New Roman" w:hAnsi="Times New Roman" w:cs="Times New Roman"/>
          <w:sz w:val="24"/>
          <w:szCs w:val="24"/>
        </w:rPr>
      </w:pPr>
      <w:r/>
      <w:bookmarkStart w:id="1" w:name="Par690"/>
      <w:r/>
      <w:bookmarkEnd w:id="1"/>
      <w:r>
        <w:rPr>
          <w:b/>
          <w:bCs/>
        </w:rPr>
        <w:t xml:space="preserve">            </w:t>
      </w:r>
      <w:r>
        <w:rPr>
          <w:b w:val="0"/>
          <w:bCs w:val="0"/>
        </w:rPr>
        <w:t xml:space="preserve">1.1. Предметом настоящего Контракта является о</w:t>
      </w:r>
      <w:r>
        <w:rPr>
          <w:rFonts w:eastAsia="Calibri"/>
          <w:b w:val="0"/>
          <w:bCs w:val="0"/>
          <w:sz w:val="22"/>
          <w:szCs w:val="22"/>
        </w:rPr>
        <w:t xml:space="preserve">казание услуги </w:t>
      </w:r>
      <w:r>
        <w:rPr>
          <w:rFonts w:ascii="Times New Roman" w:hAnsi="Times New Roman" w:cs="Times New Roman"/>
          <w:sz w:val="24"/>
          <w:szCs w:val="24"/>
        </w:rPr>
        <w:t xml:space="preserve">на </w:t>
      </w:r>
      <w:r>
        <w:rPr>
          <w:rFonts w:ascii="Times New Roman" w:hAnsi="Times New Roman" w:cs="Times New Roman"/>
          <w:sz w:val="24"/>
          <w:szCs w:val="24"/>
        </w:rPr>
        <w:t xml:space="preserve">разработку </w:t>
      </w:r>
      <w:r>
        <w:rPr>
          <w:rFonts w:ascii="Times New Roman" w:hAnsi="Times New Roman" w:cs="Times New Roman"/>
          <w:sz w:val="24"/>
          <w:szCs w:val="24"/>
        </w:rPr>
        <w:t xml:space="preserve">проект</w:t>
      </w:r>
      <w:r>
        <w:rPr>
          <w:rFonts w:ascii="Times New Roman" w:hAnsi="Times New Roman" w:cs="Times New Roman"/>
          <w:sz w:val="24"/>
          <w:szCs w:val="24"/>
        </w:rPr>
        <w:t xml:space="preserve">но-сметной документации </w:t>
      </w:r>
      <w:r>
        <w:rPr>
          <w:rFonts w:ascii="Times New Roman" w:hAnsi="Times New Roman" w:cs="Times New Roman"/>
          <w:sz w:val="24"/>
          <w:szCs w:val="24"/>
        </w:rPr>
        <w:t xml:space="preserve">на </w:t>
      </w:r>
      <w:r>
        <w:rPr>
          <w:rFonts w:ascii="Times New Roman" w:hAnsi="Times New Roman" w:cs="Times New Roman"/>
          <w:sz w:val="24"/>
          <w:szCs w:val="24"/>
        </w:rPr>
        <w:t xml:space="preserve">капитальный </w:t>
      </w:r>
      <w:r>
        <w:rPr>
          <w:rFonts w:ascii="Times New Roman" w:hAnsi="Times New Roman" w:cs="Times New Roman"/>
          <w:sz w:val="24"/>
          <w:szCs w:val="24"/>
        </w:rPr>
        <w:t xml:space="preserve">ремонт</w:t>
      </w:r>
      <w:r>
        <w:rPr>
          <w:rFonts w:ascii="Times New Roman" w:hAnsi="Times New Roman" w:cs="Times New Roman"/>
          <w:sz w:val="24"/>
          <w:szCs w:val="24"/>
        </w:rPr>
        <w:t xml:space="preserve"> </w:t>
      </w:r>
      <w:r>
        <w:rPr>
          <w:rFonts w:ascii="Times New Roman" w:hAnsi="Times New Roman" w:cs="Times New Roman"/>
          <w:sz w:val="24"/>
          <w:szCs w:val="24"/>
        </w:rPr>
        <w:t xml:space="preserve">помещений </w:t>
      </w:r>
      <w:r>
        <w:rPr>
          <w:rFonts w:ascii="Times New Roman" w:hAnsi="Times New Roman" w:cs="Times New Roman"/>
          <w:sz w:val="24"/>
          <w:szCs w:val="24"/>
        </w:rPr>
        <w:t xml:space="preserve">ФГБНУ РЦН</w:t>
      </w:r>
      <w:r>
        <w:rPr>
          <w:rFonts w:ascii="Times New Roman" w:hAnsi="Times New Roman" w:cs="Times New Roman"/>
          <w:sz w:val="24"/>
          <w:szCs w:val="24"/>
        </w:rPr>
        <w:t xml:space="preserve">Н</w:t>
      </w:r>
      <w:r>
        <w:rPr>
          <w:rFonts w:ascii="Times New Roman" w:hAnsi="Times New Roman" w:cs="Times New Roman"/>
          <w:sz w:val="24"/>
          <w:szCs w:val="24"/>
        </w:rPr>
        <w:t xml:space="preserve"> </w:t>
      </w:r>
      <w:r>
        <w:rPr>
          <w:b w:val="0"/>
          <w:bCs w:val="0"/>
        </w:rPr>
        <w:t xml:space="preserve">(далее – услуги) в соответствии с техническим заданием. </w:t>
      </w:r>
      <w:r>
        <w:rPr>
          <w:rFonts w:ascii="Times New Roman" w:hAnsi="Times New Roman" w:cs="Times New Roman"/>
          <w:sz w:val="24"/>
          <w:szCs w:val="24"/>
        </w:rPr>
      </w:r>
      <w:r>
        <w:rPr>
          <w:rFonts w:ascii="Times New Roman" w:hAnsi="Times New Roman" w:cs="Times New Roman"/>
          <w:sz w:val="24"/>
          <w:szCs w:val="24"/>
        </w:rPr>
      </w:r>
    </w:p>
    <w:p>
      <w:pPr>
        <w:jc w:val="both"/>
      </w:pPr>
      <w:r>
        <w:t xml:space="preserve">            </w:t>
      </w:r>
      <w:r>
        <w:t xml:space="preserve">1.2. Услуги оказываются по адресу: </w:t>
      </w:r>
      <w:r>
        <w:rPr>
          <w:rFonts w:eastAsia="Calibri"/>
        </w:rPr>
        <w:t xml:space="preserve">город Москва, </w:t>
      </w:r>
      <w:r>
        <w:rPr>
          <w:rFonts w:eastAsia="Calibri"/>
        </w:rPr>
        <w:t xml:space="preserve">Волоколамское шоссе, дом 80</w:t>
      </w:r>
      <w:r/>
    </w:p>
    <w:p>
      <w:pPr>
        <w:contextualSpacing/>
        <w:jc w:val="center"/>
        <w:rPr>
          <w:b/>
        </w:rPr>
      </w:pPr>
      <w:r/>
      <w:bookmarkStart w:id="2" w:name="Par692"/>
      <w:r/>
      <w:bookmarkEnd w:id="2"/>
      <w:r>
        <w:rPr>
          <w:b/>
        </w:rPr>
        <w:t xml:space="preserve">2. Цена и порядок расчетов</w:t>
      </w:r>
      <w:r>
        <w:rPr>
          <w:b/>
        </w:rPr>
      </w:r>
      <w:r>
        <w:rPr>
          <w:b/>
        </w:rPr>
      </w:r>
    </w:p>
    <w:p>
      <w:pPr>
        <w:contextualSpacing/>
        <w:ind w:firstLine="709"/>
        <w:jc w:val="both"/>
        <w:rPr>
          <w:rFonts w:eastAsia="MS Mincho"/>
        </w:rPr>
      </w:pPr>
      <w:r>
        <w:t xml:space="preserve">2.1. </w:t>
      </w:r>
      <w:r>
        <w:rPr>
          <w:rFonts w:eastAsia="MS Mincho"/>
        </w:rPr>
        <w:t xml:space="preserve">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w:t>
      </w:r>
      <w:r>
        <w:t xml:space="preserve">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r>
        <w:rPr>
          <w:rFonts w:eastAsia="MS Mincho"/>
        </w:rPr>
      </w:r>
      <w:r>
        <w:rPr>
          <w:rFonts w:eastAsia="MS Mincho"/>
        </w:rPr>
      </w:r>
    </w:p>
    <w:p>
      <w:pPr>
        <w:pStyle w:val="1031"/>
        <w:contextualSpacing/>
        <w:ind w:firstLine="720"/>
        <w:rPr>
          <w:rFonts w:ascii="Times New Roman" w:hAnsi="Times New Roman" w:eastAsia="MS Mincho"/>
          <w:sz w:val="24"/>
          <w:szCs w:val="24"/>
        </w:rPr>
      </w:pPr>
      <w:r>
        <w:rPr>
          <w:rFonts w:ascii="Times New Roman" w:hAnsi="Times New Roman"/>
          <w:sz w:val="24"/>
          <w:szCs w:val="24"/>
        </w:rPr>
        <w:t xml:space="preserve">2.2. </w:t>
      </w:r>
      <w:r>
        <w:rPr>
          <w:rFonts w:ascii="Times New Roman" w:hAnsi="Times New Roman" w:eastAsia="MS Mincho"/>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r>
        <w:rPr>
          <w:rFonts w:ascii="Times New Roman" w:hAnsi="Times New Roman" w:eastAsia="MS Mincho"/>
          <w:sz w:val="24"/>
          <w:szCs w:val="24"/>
        </w:rPr>
      </w:r>
      <w:r>
        <w:rPr>
          <w:rFonts w:ascii="Times New Roman" w:hAnsi="Times New Roman" w:eastAsia="MS Mincho"/>
          <w:sz w:val="24"/>
          <w:szCs w:val="24"/>
        </w:rPr>
      </w:r>
    </w:p>
    <w:p>
      <w:pPr>
        <w:contextualSpacing/>
        <w:ind w:firstLine="709"/>
        <w:jc w:val="both"/>
      </w:pPr>
      <w:r>
        <w:t xml:space="preserve">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w:t>
      </w:r>
      <w:r>
        <w:rPr>
          <w:rFonts w:eastAsia="MS Mincho"/>
        </w:rPr>
        <w:t xml:space="preserve">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 xml:space="preserve">системы РФ заказчиком.</w:t>
      </w:r>
      <w:r/>
    </w:p>
    <w:p>
      <w:pPr>
        <w:contextualSpacing/>
        <w:ind w:firstLine="709"/>
        <w:jc w:val="both"/>
      </w:pPr>
      <w:r>
        <w:t xml:space="preserve">2.4. Оплата за оказанные услуги осуществляется Заказчиком в течение 7 (семи) рабочих дней с момента подписания Заказчиком </w:t>
      </w:r>
      <w:r>
        <w:t xml:space="preserve">Акта сдачи-приемки услуг,</w:t>
      </w:r>
      <w:r>
        <w:t xml:space="preserve"> </w:t>
      </w:r>
      <w:r>
        <w:t xml:space="preserve">Универсального передаточного документа (далее – УПД)</w:t>
      </w:r>
      <w:r>
        <w:t xml:space="preserve">,</w:t>
      </w:r>
      <w:r>
        <w:t xml:space="preserve"> на основании выставленного Исполнителем счёта на оплату.</w:t>
      </w:r>
      <w:r>
        <w:t xml:space="preserve"> </w:t>
      </w:r>
      <w:r/>
    </w:p>
    <w:p>
      <w:pPr>
        <w:contextualSpacing/>
        <w:ind w:firstLine="709"/>
        <w:jc w:val="both"/>
      </w:pPr>
      <w:r>
        <w:rPr>
          <w:rFonts w:eastAsia="MS Mincho"/>
        </w:rPr>
        <w:t xml:space="preserve">2.5. </w:t>
      </w:r>
      <w:r>
        <w:t xml:space="preserve">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 xml:space="preserve">Заказчику с указанием новых реквизитов расчетного счета.</w:t>
      </w:r>
      <w:r/>
    </w:p>
    <w:p>
      <w:pPr>
        <w:contextualSpacing/>
        <w:ind w:firstLine="709"/>
        <w:jc w:val="both"/>
      </w:pPr>
      <w:r>
        <w:t xml:space="preserve">2.6. Обязанности Заказчика по оплате считаются исполненными после списания денежных средств с расчетного счета Заказчика.</w:t>
      </w:r>
      <w:r/>
    </w:p>
    <w:p>
      <w:pPr>
        <w:contextualSpacing/>
        <w:jc w:val="center"/>
      </w:pPr>
      <w:r/>
      <w:r/>
    </w:p>
    <w:p>
      <w:pPr>
        <w:contextualSpacing/>
        <w:jc w:val="center"/>
        <w:rPr>
          <w:b/>
          <w:bCs/>
        </w:rPr>
      </w:pPr>
      <w:r>
        <w:rPr>
          <w:b/>
          <w:bCs/>
        </w:rPr>
        <w:t xml:space="preserve">3. Сроки и порядок оказания услуг</w:t>
      </w:r>
      <w:r>
        <w:rPr>
          <w:b/>
          <w:bCs/>
        </w:rPr>
      </w:r>
      <w:r>
        <w:rPr>
          <w:b/>
          <w:bCs/>
        </w:rPr>
      </w:r>
    </w:p>
    <w:p>
      <w:pPr>
        <w:jc w:val="both"/>
        <w:rPr>
          <w:rFonts w:eastAsia="Calibri"/>
          <w:bCs/>
          <w:iCs/>
          <w:lang w:eastAsia="en-US"/>
          <w14:ligatures w14:val="standardContextual"/>
        </w:rPr>
      </w:pPr>
      <w:r>
        <w:t xml:space="preserve">         </w:t>
      </w:r>
      <w:r>
        <w:t xml:space="preserve">3.1. Исполнитель оказывает услуги</w:t>
      </w:r>
      <w:r>
        <w:rPr>
          <w:rFonts w:eastAsia="Calibri"/>
          <w:bCs/>
          <w:iCs/>
          <w:lang w:eastAsia="en-US"/>
          <w14:ligatures w14:val="standardContextual"/>
        </w:rPr>
        <w:t xml:space="preserve"> с </w:t>
      </w:r>
      <w:r>
        <w:rPr>
          <w:rFonts w:eastAsia="Calibri"/>
          <w:bCs/>
          <w:iCs/>
          <w:lang w:eastAsia="en-US"/>
          <w14:ligatures w14:val="standardContextual"/>
        </w:rPr>
        <w:t xml:space="preserve">даты заключения Контракта и в течение 45 календарных дней.</w:t>
      </w:r>
      <w:r>
        <w:rPr>
          <w:rFonts w:eastAsia="Calibri"/>
          <w:bCs/>
          <w:iCs/>
          <w:lang w:eastAsia="en-US"/>
          <w14:ligatures w14:val="standardContextual"/>
        </w:rPr>
      </w:r>
      <w:r>
        <w:rPr>
          <w:rFonts w:eastAsia="Calibri"/>
          <w:bCs/>
          <w:iCs/>
          <w:lang w:eastAsia="en-US"/>
          <w14:ligatures w14:val="standardContextual"/>
        </w:rPr>
      </w:r>
    </w:p>
    <w:p>
      <w:pPr>
        <w:ind w:firstLine="709"/>
        <w:jc w:val="both"/>
        <w:tabs>
          <w:tab w:val="left" w:pos="10065" w:leader="none"/>
        </w:tabs>
      </w:pPr>
      <w:r>
        <w:t xml:space="preserve">3.2. Датой оказания услуг считается дата подписания полномочными представителями Сторон Акта сдачи-приемки услуг.</w:t>
      </w:r>
      <w:r/>
    </w:p>
    <w:p>
      <w:pPr>
        <w:jc w:val="both"/>
        <w:rPr>
          <w:b/>
          <w:bCs/>
        </w:rPr>
      </w:pPr>
      <w:r>
        <w:t xml:space="preserve">3.3. Оказание услуг осуществляется в рабочие дни (по предварительной Договоренности) с 09:00 до 17:00 часов</w:t>
      </w:r>
      <w:r>
        <w:t xml:space="preserve">.</w:t>
      </w:r>
      <w:r>
        <w:rPr>
          <w:b/>
          <w:bCs/>
        </w:rPr>
      </w:r>
      <w:r>
        <w:rPr>
          <w:b/>
          <w:bCs/>
        </w:rPr>
      </w:r>
    </w:p>
    <w:p>
      <w:pPr>
        <w:ind w:firstLine="709"/>
        <w:jc w:val="both"/>
        <w:rPr>
          <w:b/>
          <w:bCs/>
        </w:rPr>
      </w:pPr>
      <w:r>
        <w:rPr>
          <w:b/>
          <w:bCs/>
        </w:rPr>
      </w:r>
      <w:r>
        <w:rPr>
          <w:b/>
          <w:bCs/>
        </w:rPr>
      </w:r>
      <w:r>
        <w:rPr>
          <w:b/>
          <w:bCs/>
        </w:rPr>
      </w:r>
    </w:p>
    <w:p>
      <w:pPr>
        <w:contextualSpacing/>
        <w:jc w:val="center"/>
        <w:tabs>
          <w:tab w:val="left" w:pos="10065" w:leader="none"/>
        </w:tabs>
        <w:rPr>
          <w:b/>
        </w:rPr>
      </w:pPr>
      <w:r>
        <w:rPr>
          <w:b/>
        </w:rPr>
        <w:t xml:space="preserve">4. Качество оказываемых услуг</w:t>
      </w:r>
      <w:r>
        <w:rPr>
          <w:b/>
        </w:rPr>
      </w:r>
      <w:r>
        <w:rPr>
          <w:b/>
        </w:rPr>
      </w:r>
    </w:p>
    <w:p>
      <w:pPr>
        <w:contextualSpacing/>
        <w:ind w:firstLine="709"/>
        <w:jc w:val="both"/>
        <w:tabs>
          <w:tab w:val="left" w:pos="10065" w:leader="none"/>
        </w:tabs>
      </w:pPr>
      <w:r>
        <w:t xml:space="preserve">4.1. Исполнитель гарантирует качество оказываемых услуг в соответствии с требованиями действующего законодательства РФ.</w:t>
      </w:r>
      <w:r/>
    </w:p>
    <w:p>
      <w:pPr>
        <w:contextualSpacing/>
        <w:ind w:firstLine="709"/>
        <w:jc w:val="both"/>
        <w:tabs>
          <w:tab w:val="left" w:pos="10065" w:leader="none"/>
        </w:tabs>
      </w:pPr>
      <w:r>
        <w:t xml:space="preserve">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r/>
    </w:p>
    <w:p>
      <w:pPr>
        <w:contextualSpacing/>
        <w:ind w:firstLine="709"/>
        <w:jc w:val="both"/>
        <w:tabs>
          <w:tab w:val="left" w:pos="10065" w:leader="none"/>
        </w:tabs>
      </w:pPr>
      <w:r>
        <w:t xml:space="preserve">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w:t>
      </w:r>
      <w:r>
        <w:t xml:space="preserve">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w:t>
      </w:r>
      <w:r>
        <w:t xml:space="preserve">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w:t>
      </w:r>
      <w:r>
        <w:t xml:space="preserve">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r/>
    </w:p>
    <w:p>
      <w:pPr>
        <w:contextualSpacing/>
        <w:ind w:firstLine="709"/>
        <w:jc w:val="both"/>
      </w:pPr>
      <w:r>
        <w:t xml:space="preserve">4.4. Технические характеристики, объем и требования указаны в Техническом задание (Приложение №1 к закупочной сессии).</w:t>
      </w:r>
      <w:r/>
    </w:p>
    <w:p>
      <w:pPr>
        <w:contextualSpacing/>
        <w:jc w:val="center"/>
        <w:tabs>
          <w:tab w:val="num" w:pos="0" w:leader="none"/>
        </w:tabs>
      </w:pPr>
      <w:r/>
      <w:r/>
    </w:p>
    <w:p>
      <w:pPr>
        <w:contextualSpacing/>
        <w:jc w:val="center"/>
        <w:tabs>
          <w:tab w:val="num" w:pos="0" w:leader="none"/>
        </w:tabs>
        <w:rPr>
          <w:b/>
        </w:rPr>
      </w:pPr>
      <w:r>
        <w:rPr>
          <w:b/>
        </w:rPr>
        <w:t xml:space="preserve">5. Порядок приемки оказанных услуг</w:t>
      </w:r>
      <w:r>
        <w:rPr>
          <w:b/>
        </w:rPr>
      </w:r>
      <w:r>
        <w:rPr>
          <w:b/>
        </w:rPr>
      </w:r>
    </w:p>
    <w:p>
      <w:pPr>
        <w:contextualSpacing/>
        <w:ind w:firstLine="709"/>
        <w:jc w:val="both"/>
      </w:pPr>
      <w:r>
        <w:t xml:space="preserve">5.</w:t>
      </w:r>
      <w:r>
        <w:t xml:space="preserve">1. В случае если Исполнитель некорректно оформил счет или счет-фактуру, Акт сдачи-приемки услуг</w:t>
      </w:r>
      <w:r>
        <w:t xml:space="preserve">, УПД</w:t>
      </w:r>
      <w:r>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r/>
    </w:p>
    <w:p>
      <w:pPr>
        <w:jc w:val="center"/>
        <w:shd w:val="clear" w:color="ffffff" w:fill="ffffff"/>
        <w:rPr>
          <w:rFonts w:eastAsia="Arial"/>
          <w:b/>
          <w:lang w:eastAsia="en-US"/>
        </w:rPr>
        <w:pBdr>
          <w:top w:val="none" w:color="000000" w:sz="4" w:space="0"/>
          <w:left w:val="none" w:color="000000" w:sz="4" w:space="0"/>
          <w:bottom w:val="none" w:color="000000" w:sz="4" w:space="0"/>
          <w:right w:val="none" w:color="000000" w:sz="4" w:space="0"/>
        </w:pBdr>
      </w:pPr>
      <w:r>
        <w:t xml:space="preserve">5.1.1. В акте сдачи-приемки оказанных услуг Исполнитель обязуется указывать идентификационный код закупки</w:t>
      </w:r>
      <w:r>
        <w:rPr>
          <w:rFonts w:eastAsia="Tahoma"/>
          <w:b/>
          <w:color w:val="000000"/>
          <w:lang w:eastAsia="en-US"/>
        </w:rPr>
        <w:t xml:space="preserve"> </w:t>
      </w:r>
      <w:r>
        <w:rPr>
          <w:rFonts w:eastAsia="Tahoma"/>
          <w:b/>
          <w:color w:val="000000"/>
          <w:lang w:eastAsia="en-US"/>
        </w:rPr>
        <w:t xml:space="preserve">261773301215177330100100270000000244</w:t>
      </w:r>
      <w:r>
        <w:rPr>
          <w:rFonts w:eastAsia="Arial"/>
          <w:b/>
          <w:lang w:eastAsia="en-US"/>
        </w:rPr>
      </w:r>
      <w:r>
        <w:rPr>
          <w:rFonts w:eastAsia="Arial"/>
          <w:b/>
          <w:lang w:eastAsia="en-US"/>
        </w:rPr>
      </w:r>
    </w:p>
    <w:p>
      <w:pPr>
        <w:contextualSpacing/>
        <w:ind w:firstLine="709"/>
        <w:jc w:val="both"/>
      </w:pPr>
      <w:r>
        <w:t xml:space="preserve">5.2. После завершения оказания услуг, предусмотренных Контрактом, Исполнитель письменно уведомляет Заказчика о факте завершения оказания услуг.</w:t>
      </w:r>
      <w:r/>
    </w:p>
    <w:p>
      <w:pPr>
        <w:jc w:val="both"/>
        <w:spacing w:before="105" w:after="0" w:afterAutospacing="0"/>
        <w:shd w:val="clear" w:color="auto" w:fill="ffffff"/>
        <w:rPr>
          <w:color w:val="000000"/>
        </w:rPr>
      </w:pPr>
      <w:r>
        <w:t xml:space="preserve">            </w:t>
      </w:r>
      <w:r>
        <w:t xml:space="preserve">5.3. Не позднее</w:t>
      </w:r>
      <w:r>
        <w:t xml:space="preserve">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Pr>
          <w:color w:val="000000"/>
        </w:rPr>
        <w:t xml:space="preserve"> А также Заказчик формирует Акт по форме ОКУД 0510452 (Приказ</w:t>
      </w:r>
      <w:r>
        <w:rPr>
          <w:color w:val="000000"/>
        </w:rPr>
        <w:t xml:space="preserve"> Минфина РФ от </w:t>
      </w:r>
      <w:r>
        <w:rPr>
          <w:color w:val="000000"/>
        </w:rPr>
        <w:t xml:space="preserve">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w:t>
      </w:r>
      <w:r>
        <w:rPr>
          <w:color w:val="000000"/>
        </w:rPr>
        <w:t xml:space="preserve">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w:t>
      </w:r>
      <w:r>
        <w:rPr>
          <w:color w:val="000000"/>
        </w:rPr>
        <w:t xml:space="preserve">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w:t>
      </w:r>
      <w:r>
        <w:rPr>
          <w:color w:val="000000"/>
        </w:rPr>
        <w:t xml:space="preserve">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r>
        <w:rPr>
          <w:color w:val="000000"/>
        </w:rPr>
      </w:r>
      <w:r>
        <w:rPr>
          <w:color w:val="000000"/>
        </w:rPr>
      </w:r>
    </w:p>
    <w:p>
      <w:pPr>
        <w:contextualSpacing/>
        <w:ind w:firstLine="709"/>
        <w:jc w:val="both"/>
        <w:spacing w:after="0" w:afterAutospacing="0"/>
      </w:pPr>
      <w:r>
        <w:t xml:space="preserve">5.4. Не позднее 10 (десять) рабочих дней после получения от Исполнителя документов, указанных в п. 5.3 Контракта, Заказчик рассматривает результаты и о</w:t>
      </w:r>
      <w:r>
        <w:t xml:space="preserve">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w:t>
      </w:r>
      <w:r>
        <w:t xml:space="preserve">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w:t>
      </w:r>
      <w:r>
        <w:t xml:space="preserve">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r/>
    </w:p>
    <w:p>
      <w:pPr>
        <w:contextualSpacing/>
        <w:ind w:firstLine="709"/>
        <w:jc w:val="both"/>
      </w:pPr>
      <w:r>
        <w:t xml:space="preserve">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r/>
    </w:p>
    <w:p>
      <w:pPr>
        <w:contextualSpacing/>
        <w:ind w:firstLine="709"/>
        <w:jc w:val="both"/>
      </w:pPr>
      <w:r>
        <w:t xml:space="preserve">5.6. В случае получения от Заказчика запроса о предоставлении разъяс</w:t>
      </w:r>
      <w:r>
        <w:t xml:space="preserve">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w:t>
      </w:r>
      <w:r>
        <w:t xml:space="preserve">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w:t>
      </w:r>
      <w:r>
        <w:t xml:space="preserve">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r/>
    </w:p>
    <w:p>
      <w:pPr>
        <w:contextualSpacing/>
        <w:ind w:firstLine="709"/>
        <w:jc w:val="both"/>
      </w:pPr>
      <w:r>
        <w:t xml:space="preserve">5.7. В случае если по результатам </w:t>
      </w:r>
      <w:r>
        <w:t xml:space="preserve">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w:t>
      </w:r>
      <w:r>
        <w:t xml:space="preserve">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r/>
    </w:p>
    <w:p>
      <w:pPr>
        <w:contextualSpacing/>
        <w:ind w:firstLine="709"/>
        <w:jc w:val="both"/>
      </w:pPr>
      <w:r>
        <w:t xml:space="preserve">5.8. Подписанный Заказчиком и </w:t>
      </w:r>
      <w:r>
        <w:t xml:space="preserve">Исполнителем Акт сдачи-приемки услуг и предъявленные Исполнителем </w:t>
      </w:r>
      <w:r>
        <w:t xml:space="preserve">Заказчику</w:t>
      </w:r>
      <w:r>
        <w:t xml:space="preserve"> УПД, </w:t>
      </w:r>
      <w:r>
        <w:t xml:space="preserve">счет</w:t>
      </w:r>
      <w:r>
        <w:t xml:space="preserve"> на оплату оказанных услуг являются основанием для оплаты Исполнителю Цены Контракта.</w:t>
      </w:r>
      <w:r/>
    </w:p>
    <w:p>
      <w:pPr>
        <w:contextualSpacing/>
        <w:jc w:val="center"/>
        <w:rPr>
          <w:b/>
        </w:rPr>
      </w:pPr>
      <w:r>
        <w:rPr>
          <w:b/>
        </w:rPr>
      </w:r>
      <w:r>
        <w:rPr>
          <w:b/>
        </w:rPr>
      </w:r>
      <w:r>
        <w:rPr>
          <w:b/>
        </w:rPr>
      </w:r>
    </w:p>
    <w:p>
      <w:pPr>
        <w:contextualSpacing/>
        <w:jc w:val="center"/>
        <w:rPr>
          <w:b/>
        </w:rPr>
      </w:pPr>
      <w:r>
        <w:rPr>
          <w:b/>
        </w:rPr>
        <w:t xml:space="preserve">6. Обязанности Сторон</w:t>
      </w:r>
      <w:r>
        <w:rPr>
          <w:b/>
        </w:rPr>
      </w:r>
      <w:r>
        <w:rPr>
          <w:b/>
        </w:rPr>
      </w:r>
    </w:p>
    <w:p>
      <w:pPr>
        <w:contextualSpacing/>
        <w:ind w:firstLine="709"/>
        <w:jc w:val="both"/>
      </w:pPr>
      <w:r>
        <w:t xml:space="preserve">6.1. Заказчик вправе:</w:t>
      </w:r>
      <w:r/>
    </w:p>
    <w:p>
      <w:pPr>
        <w:contextualSpacing/>
        <w:ind w:firstLine="709"/>
        <w:jc w:val="both"/>
      </w:pPr>
      <w:r>
        <w:t xml:space="preserve">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r/>
    </w:p>
    <w:p>
      <w:pPr>
        <w:contextualSpacing/>
        <w:ind w:firstLine="709"/>
        <w:jc w:val="both"/>
      </w:pPr>
      <w:r>
        <w:t xml:space="preserve">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r/>
    </w:p>
    <w:p>
      <w:pPr>
        <w:contextualSpacing/>
        <w:ind w:firstLine="709"/>
        <w:jc w:val="both"/>
      </w:pPr>
      <w:r>
        <w:t xml:space="preserve">6.1.3. Запрашивать у Исполнителя информацию о ходе оказываемых услуг.</w:t>
      </w:r>
      <w:r/>
    </w:p>
    <w:p>
      <w:pPr>
        <w:contextualSpacing/>
        <w:ind w:firstLine="709"/>
        <w:jc w:val="both"/>
      </w:pPr>
      <w:r>
        <w:t xml:space="preserve">6.1.4. Осуществлять контроль за объемом и сроками оказания услуг.</w:t>
      </w:r>
      <w:r/>
    </w:p>
    <w:p>
      <w:pPr>
        <w:contextualSpacing/>
        <w:ind w:firstLine="709"/>
        <w:jc w:val="both"/>
      </w:pPr>
      <w:r>
        <w:t xml:space="preserve">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r/>
    </w:p>
    <w:p>
      <w:pPr>
        <w:contextualSpacing/>
        <w:ind w:firstLine="709"/>
        <w:jc w:val="both"/>
      </w:pPr>
      <w:r>
        <w:t xml:space="preserve">6.2. Заказчик обязан:</w:t>
      </w:r>
      <w:r/>
    </w:p>
    <w:p>
      <w:pPr>
        <w:contextualSpacing/>
        <w:ind w:firstLine="709"/>
        <w:jc w:val="both"/>
      </w:pPr>
      <w:r>
        <w:t xml:space="preserve">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p>
    <w:p>
      <w:pPr>
        <w:contextualSpacing/>
        <w:ind w:firstLine="709"/>
        <w:jc w:val="both"/>
      </w:pPr>
      <w:r>
        <w:t xml:space="preserve">6.2.2. Своевременно принять и оплатить надлежащим образом оказанные услуги в соответствии с настоящим Контрактом.</w:t>
      </w:r>
      <w:r/>
    </w:p>
    <w:p>
      <w:pPr>
        <w:contextualSpacing/>
        <w:ind w:firstLine="709"/>
        <w:jc w:val="both"/>
      </w:pPr>
      <w:r>
        <w:t xml:space="preserve">6.2.3. Передать Исполнителю документацию необходимую для оказания услуг.</w:t>
      </w:r>
      <w:r/>
    </w:p>
    <w:p>
      <w:pPr>
        <w:contextualSpacing/>
        <w:ind w:firstLine="709"/>
        <w:jc w:val="both"/>
      </w:pPr>
      <w:r>
        <w:t xml:space="preserve">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r/>
    </w:p>
    <w:p>
      <w:pPr>
        <w:contextualSpacing/>
        <w:ind w:firstLine="709"/>
        <w:jc w:val="both"/>
      </w:pPr>
      <w:r>
        <w:t xml:space="preserve">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r/>
    </w:p>
    <w:p>
      <w:pPr>
        <w:contextualSpacing/>
        <w:ind w:firstLine="709"/>
        <w:jc w:val="both"/>
      </w:pPr>
      <w:r>
        <w:t xml:space="preserve">6.3. Исполнитель вправе:</w:t>
      </w:r>
      <w:r>
        <w:tab/>
      </w:r>
      <w:r/>
    </w:p>
    <w:p>
      <w:pPr>
        <w:contextualSpacing/>
        <w:ind w:firstLine="709"/>
        <w:jc w:val="both"/>
      </w:pPr>
      <w:r>
        <w:t xml:space="preserve">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r/>
    </w:p>
    <w:p>
      <w:pPr>
        <w:contextualSpacing/>
        <w:ind w:firstLine="709"/>
        <w:jc w:val="both"/>
      </w:pPr>
      <w:r>
        <w:t xml:space="preserve">6.3.2. Требовать своевременной оплаты оказанных услуг в соответствии с п. 2.1 Контракта.</w:t>
      </w:r>
      <w:r/>
    </w:p>
    <w:p>
      <w:pPr>
        <w:contextualSpacing/>
        <w:ind w:firstLine="709"/>
        <w:jc w:val="both"/>
      </w:pPr>
      <w:r>
        <w:t xml:space="preserve">6.3.3. Запрашивать у Заказчика разъяснения и уточнения относительно оказания услуг в рамках Контракта.</w:t>
      </w:r>
      <w:r/>
    </w:p>
    <w:p>
      <w:pPr>
        <w:contextualSpacing/>
        <w:ind w:firstLine="709"/>
        <w:jc w:val="both"/>
      </w:pPr>
      <w:r>
        <w:t xml:space="preserve">6.3.4. Получать от Заказчика содействие при оказании услуг в соответствии с условиями Контракта.</w:t>
      </w:r>
      <w:r/>
    </w:p>
    <w:p>
      <w:pPr>
        <w:contextualSpacing/>
        <w:ind w:firstLine="709"/>
        <w:jc w:val="both"/>
      </w:pPr>
      <w:r>
        <w:t xml:space="preserve">6.4. Исполнитель обязан:</w:t>
      </w:r>
      <w:r/>
    </w:p>
    <w:p>
      <w:pPr>
        <w:contextualSpacing/>
        <w:ind w:firstLine="709"/>
        <w:jc w:val="both"/>
      </w:pPr>
      <w:r>
        <w:t xml:space="preserve">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r/>
    </w:p>
    <w:p>
      <w:pPr>
        <w:contextualSpacing/>
        <w:ind w:firstLine="709"/>
        <w:jc w:val="both"/>
      </w:pPr>
      <w:r>
        <w:t xml:space="preserve">6.4.2. Немедленно информировать Заказчика о затруднениях, препятствующих оказанию и проведению услуг для своевременного принятия необходимых мер.</w:t>
      </w:r>
      <w:r/>
    </w:p>
    <w:p>
      <w:pPr>
        <w:contextualSpacing/>
        <w:ind w:firstLine="709"/>
        <w:jc w:val="both"/>
      </w:pPr>
      <w:r>
        <w:t xml:space="preserve">6.4.3. Обеспечивать разработку исполнительной документации для оказания услуг.</w:t>
      </w:r>
      <w:r/>
    </w:p>
    <w:p>
      <w:pPr>
        <w:contextualSpacing/>
        <w:ind w:firstLine="709"/>
        <w:jc w:val="both"/>
      </w:pPr>
      <w:r>
        <w:t xml:space="preserve">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r/>
    </w:p>
    <w:p>
      <w:pPr>
        <w:contextualSpacing/>
        <w:ind w:firstLine="709"/>
        <w:jc w:val="both"/>
      </w:pPr>
      <w:r>
        <w:t xml:space="preserve">6.4.5. Гарантировать качество и безопасность оказываемых услуг и используемых для этого материалов </w:t>
      </w:r>
      <w:r>
        <w:t xml:space="preserve">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r/>
    </w:p>
    <w:p>
      <w:pPr>
        <w:contextualSpacing/>
        <w:ind w:firstLine="709"/>
        <w:jc w:val="both"/>
      </w:pPr>
      <w:r>
        <w:t xml:space="preserve">6.4.6. Осуществлять контроль качества оказанных услуг и нести ответственность за качество этих услуг.</w:t>
      </w:r>
      <w:r/>
    </w:p>
    <w:p>
      <w:pPr>
        <w:contextualSpacing/>
        <w:ind w:firstLine="709"/>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r/>
    </w:p>
    <w:p>
      <w:pPr>
        <w:contextualSpacing/>
        <w:ind w:firstLine="709"/>
        <w:jc w:val="both"/>
      </w:pPr>
      <w:r>
        <w:t xml:space="preserve">6.4.8. Соблюдать нормы и правила по технике безопасности и охране труда ответственность за это возлагается на Исполнителя.</w:t>
      </w:r>
      <w:r/>
    </w:p>
    <w:p>
      <w:pPr>
        <w:contextualSpacing/>
        <w:ind w:firstLine="709"/>
        <w:jc w:val="both"/>
      </w:pPr>
      <w:r>
        <w:t xml:space="preserve">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r/>
    </w:p>
    <w:p>
      <w:pPr>
        <w:ind w:firstLine="709"/>
        <w:jc w:val="both"/>
      </w:pPr>
      <w:r>
        <w:t xml:space="preserve"> 6.4.10. Осуществлять в процессе оказания услуг систематическую, а по завершению оказанных услуг, окончательную уборку от мусора.</w:t>
      </w:r>
      <w:r>
        <w:rPr>
          <w:sz w:val="23"/>
          <w:szCs w:val="23"/>
        </w:rPr>
        <w:t xml:space="preserve"> Уборка помещений и выво</w:t>
      </w:r>
      <w:r>
        <w:rPr>
          <w:sz w:val="23"/>
          <w:szCs w:val="23"/>
        </w:rPr>
        <w:t xml:space="preserve">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r/>
    </w:p>
    <w:p>
      <w:pPr>
        <w:contextualSpacing/>
        <w:ind w:firstLine="709"/>
        <w:jc w:val="both"/>
      </w:pPr>
      <w:r>
        <w:t xml:space="preserve">6.4.11. Обеспечивать за свой счет устранение недостатков и дефектов, выявленных в течение гарантийного срока.</w:t>
      </w:r>
      <w:r/>
    </w:p>
    <w:p>
      <w:pPr>
        <w:contextualSpacing/>
        <w:ind w:firstLine="709"/>
        <w:jc w:val="both"/>
      </w:pPr>
      <w:r>
        <w:t xml:space="preserve">6.4.12. По обоснованным замечаниям Заказчика исправлять недочеты за свой счет.</w:t>
      </w:r>
      <w:r/>
    </w:p>
    <w:p>
      <w:pPr>
        <w:contextualSpacing/>
        <w:ind w:firstLine="709"/>
        <w:jc w:val="both"/>
      </w:pPr>
      <w:r>
        <w:t xml:space="preserve">6.4.13. В случае причинения ущерба, утраты, порчи оборудования Заказчика вследств</w:t>
      </w:r>
      <w:r>
        <w:t xml:space="preserve">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r/>
    </w:p>
    <w:p>
      <w:pPr>
        <w:contextualSpacing/>
        <w:ind w:firstLine="709"/>
        <w:jc w:val="both"/>
      </w:pPr>
      <w:r>
        <w:t xml:space="preserve">6.4.14. Приостановить оказание услуг в случае обнаружения независящих от Исполнителя обстоятельств, которые могу</w:t>
      </w:r>
      <w:r>
        <w:t xml:space="preserve">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r/>
    </w:p>
    <w:p>
      <w:pPr>
        <w:contextualSpacing/>
        <w:ind w:firstLine="709"/>
        <w:jc w:val="both"/>
      </w:pPr>
      <w:r>
        <w:t xml:space="preserve">6.4.15. Обеспечивать соответствие оказанных усл</w:t>
      </w:r>
      <w:r>
        <w:t xml:space="preserve">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p>
    <w:p>
      <w:pPr>
        <w:contextualSpacing/>
        <w:ind w:firstLine="709"/>
        <w:jc w:val="both"/>
      </w:pPr>
      <w:r>
        <w:t xml:space="preserve">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w:t>
      </w:r>
      <w:r>
        <w:t xml:space="preserve">услуги (акты приемки отдельных этапов услуг, паспорта, сертификаты, лицензии и т.д.), счет и</w:t>
      </w:r>
      <w:r>
        <w:t xml:space="preserve">ли</w:t>
      </w:r>
      <w:r>
        <w:t xml:space="preserve"> счет-фактуру</w:t>
      </w:r>
      <w:r>
        <w:t xml:space="preserve">, УПД</w:t>
      </w:r>
      <w:r>
        <w:t xml:space="preserve"> (в соответствии с налоговым законодательством РФ) в 2-х экземплярах.</w:t>
      </w:r>
      <w:r/>
    </w:p>
    <w:p>
      <w:pPr>
        <w:contextualSpacing/>
        <w:ind w:firstLine="709"/>
        <w:jc w:val="both"/>
      </w:pPr>
      <w:r>
        <w:t xml:space="preserve">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r/>
    </w:p>
    <w:p>
      <w:pPr>
        <w:contextualSpacing/>
        <w:ind w:firstLine="709"/>
        <w:jc w:val="both"/>
      </w:pPr>
      <w:r>
        <w:t xml:space="preserve">6.4.18. Предоставлять Заказчику сведения об изменении своего фактическ</w:t>
      </w:r>
      <w:r>
        <w:t xml:space="preserve">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r/>
    </w:p>
    <w:p>
      <w:pPr>
        <w:contextualSpacing/>
        <w:ind w:firstLine="709"/>
        <w:jc w:val="both"/>
      </w:pPr>
      <w:r>
        <w:t xml:space="preserve">6.4.19. Исполнять иные обязательства, предусмотренные действующим законодательством и Контрактом.</w:t>
      </w:r>
      <w:r/>
    </w:p>
    <w:p>
      <w:pPr>
        <w:contextualSpacing/>
        <w:ind w:firstLine="709"/>
        <w:jc w:val="both"/>
      </w:pPr>
      <w:r>
        <w:t xml:space="preserve">6.5. Исполнитель гарантирует, что на момент заключения настоящего Контракта:</w:t>
      </w:r>
      <w:r/>
    </w:p>
    <w:p>
      <w:pPr>
        <w:contextualSpacing/>
        <w:ind w:firstLine="709"/>
        <w:jc w:val="both"/>
      </w:pPr>
      <w:r>
        <w:t xml:space="preserve">6.5.1. В отношении него не проводится процедура ликвидации, отсутствует решение арбит</w:t>
      </w:r>
      <w:r>
        <w:t xml:space="preserve">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w:t>
      </w:r>
      <w:r>
        <w:t xml:space="preserve">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r/>
    </w:p>
    <w:p>
      <w:pPr>
        <w:contextualSpacing/>
        <w:ind w:firstLine="709"/>
        <w:jc w:val="both"/>
      </w:pPr>
      <w:r>
        <w:t xml:space="preserve">6.5.2. Не обременен обязательствами имущественного характера, способными помешать исполнению обязательств по настоящему Контракту.</w:t>
      </w:r>
      <w:r/>
    </w:p>
    <w:p>
      <w:pPr>
        <w:contextualSpacing/>
        <w:ind w:firstLine="709"/>
        <w:jc w:val="both"/>
      </w:pPr>
      <w:r>
        <w:t xml:space="preserve">6.5.3. За последние два года не нарушал Контрактных обязательств и не причинял ущерба (либо погасил причиненный ущерб) по аналогичным Контрактам.</w:t>
      </w:r>
      <w:r/>
    </w:p>
    <w:p>
      <w:pPr>
        <w:contextualSpacing/>
        <w:ind w:firstLine="709"/>
        <w:jc w:val="both"/>
      </w:pPr>
      <w:r>
        <w:t xml:space="preserve">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r/>
    </w:p>
    <w:p>
      <w:pPr>
        <w:contextualSpacing/>
        <w:jc w:val="center"/>
        <w:rPr>
          <w:b/>
        </w:rPr>
      </w:pPr>
      <w:r>
        <w:rPr>
          <w:b/>
        </w:rPr>
      </w:r>
      <w:r>
        <w:rPr>
          <w:b/>
        </w:rPr>
      </w:r>
      <w:r>
        <w:rPr>
          <w:b/>
        </w:rPr>
      </w:r>
    </w:p>
    <w:p>
      <w:pPr>
        <w:contextualSpacing/>
        <w:jc w:val="center"/>
        <w:rPr>
          <w:b/>
        </w:rPr>
      </w:pPr>
      <w:r>
        <w:rPr>
          <w:b/>
        </w:rPr>
        <w:t xml:space="preserve">7. Ответственность Сторон </w:t>
      </w:r>
      <w:r>
        <w:rPr>
          <w:b/>
        </w:rPr>
      </w:r>
      <w:r>
        <w:rPr>
          <w:b/>
        </w:rPr>
      </w:r>
    </w:p>
    <w:p>
      <w:pPr>
        <w:contextualSpacing/>
        <w:ind w:firstLine="709"/>
        <w:jc w:val="both"/>
      </w:pPr>
      <w:r>
        <w:t xml:space="preserve">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r/>
    </w:p>
    <w:p>
      <w:pPr>
        <w:contextualSpacing/>
        <w:ind w:firstLine="709"/>
        <w:jc w:val="both"/>
        <w:widowControl w:val="off"/>
        <w:rPr>
          <w:lang w:eastAsia="zh-CN"/>
        </w:rPr>
      </w:pPr>
      <w:r>
        <w:rPr>
          <w:lang w:eastAsia="zh-CN"/>
        </w:rPr>
        <w:t xml:space="preserve">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r>
        <w:rPr>
          <w:lang w:eastAsia="zh-CN"/>
        </w:rPr>
      </w:r>
      <w:r>
        <w:rPr>
          <w:lang w:eastAsia="zh-CN"/>
        </w:rPr>
      </w:r>
    </w:p>
    <w:p>
      <w:pPr>
        <w:contextualSpacing/>
        <w:ind w:firstLine="709"/>
        <w:jc w:val="both"/>
        <w:widowControl w:val="off"/>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t xml:space="preserve">10 процентов цены Контракта (этапа) в случае, если цена Контракта (этапа) не превышает 3 млн. рублей;</w:t>
      </w:r>
      <w:r>
        <w:rPr>
          <w:lang w:eastAsia="zh-CN"/>
        </w:rPr>
      </w:r>
      <w:r>
        <w:rPr>
          <w:lang w:eastAsia="zh-CN"/>
        </w:rPr>
      </w:r>
    </w:p>
    <w:p>
      <w:pPr>
        <w:pStyle w:val="1020"/>
        <w:contextualSpacing/>
        <w:ind w:firstLine="709"/>
        <w:jc w:val="both"/>
      </w:pPr>
      <w:r>
        <w:t xml:space="preserve">7.4. Заказчик получает право требования уплаты штрафа в следующих случаях неисполнения (ненадлежащего исполнения) Контракта:</w:t>
      </w:r>
      <w:r/>
    </w:p>
    <w:p>
      <w:pPr>
        <w:pStyle w:val="1020"/>
        <w:contextualSpacing/>
        <w:ind w:firstLine="709"/>
        <w:jc w:val="both"/>
      </w:pPr>
      <w:r>
        <w:t xml:space="preserve">а) если Исполнитель не оказал полностью услуги, являющиеся предметом Контракта;</w:t>
      </w:r>
      <w:r/>
    </w:p>
    <w:p>
      <w:pPr>
        <w:pStyle w:val="1020"/>
        <w:contextualSpacing/>
        <w:ind w:firstLine="709"/>
        <w:jc w:val="both"/>
      </w:pPr>
      <w:r>
        <w:t xml:space="preserve">б) если Исполнитель оказал услуги, не соответствующие требования Контракта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r/>
    </w:p>
    <w:p>
      <w:pPr>
        <w:pStyle w:val="1020"/>
        <w:contextualSpacing/>
        <w:ind w:firstLine="709"/>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 xml:space="preserve">следующем порядке: 1000 рублей, если цена Контракта не превышает 3 млн. рублей;</w:t>
      </w:r>
      <w:r/>
    </w:p>
    <w:p>
      <w:pPr>
        <w:pStyle w:val="1020"/>
        <w:contextualSpacing/>
        <w:ind w:firstLine="709"/>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 xml:space="preserve">определяется в следующем порядке: 1000 рублей, если цена Контракта не превышает 3 млн. рублей (включительно);</w:t>
      </w:r>
      <w:r/>
    </w:p>
    <w:p>
      <w:pPr>
        <w:pStyle w:val="1020"/>
        <w:contextualSpacing/>
        <w:ind w:firstLine="709"/>
        <w:jc w:val="both"/>
        <w:rPr>
          <w:color w:val="000000"/>
          <w:shd w:val="clear" w:color="auto" w:fill="ffffff"/>
          <w:lang w:eastAsia="zh-CN"/>
        </w:rPr>
      </w:pPr>
      <w:r>
        <w:rPr>
          <w:lang w:eastAsia="zh-CN"/>
        </w:rPr>
        <w:t xml:space="preserve">7.7. </w:t>
      </w:r>
      <w:r>
        <w:rPr>
          <w:color w:val="000000"/>
          <w:shd w:val="clear" w:color="auto" w:fill="ffffff"/>
          <w:lang w:eastAsia="zh-CN"/>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color w:val="000000"/>
          <w:shd w:val="clear" w:color="auto" w:fill="ffffff"/>
          <w:lang w:eastAsia="zh-CN"/>
        </w:rPr>
      </w:r>
      <w:r>
        <w:rPr>
          <w:color w:val="000000"/>
          <w:shd w:val="clear" w:color="auto" w:fill="ffffff"/>
          <w:lang w:eastAsia="zh-CN"/>
        </w:rPr>
      </w:r>
    </w:p>
    <w:p>
      <w:pPr>
        <w:pStyle w:val="1020"/>
        <w:contextualSpacing/>
        <w:ind w:firstLine="709"/>
        <w:jc w:val="both"/>
        <w:rPr>
          <w:color w:val="000000"/>
          <w:shd w:val="clear" w:color="auto" w:fill="ffffff"/>
          <w:lang w:eastAsia="zh-CN"/>
        </w:rPr>
      </w:pPr>
      <w:r>
        <w:rPr>
          <w:color w:val="000000"/>
          <w:shd w:val="clear" w:color="auto" w:fill="ffffff"/>
          <w:lang w:eastAsia="zh-CN"/>
        </w:rPr>
        <w:t xml:space="preserve">7.8.</w:t>
      </w:r>
      <w:r>
        <w:rPr>
          <w:lang w:eastAsia="zh-CN"/>
        </w:rPr>
        <w:t xml:space="preserve"> </w:t>
      </w:r>
      <w:r>
        <w:rPr>
          <w:color w:val="000000"/>
          <w:shd w:val="clear" w:color="auto" w:fill="ffffff"/>
          <w:lang w:eastAsia="zh-CN"/>
        </w:rPr>
        <w:t xml:space="preserve">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r>
        <w:rPr>
          <w:color w:val="000000"/>
          <w:shd w:val="clear" w:color="auto" w:fill="ffffff"/>
          <w:lang w:eastAsia="zh-CN"/>
        </w:rPr>
      </w:r>
      <w:r>
        <w:rPr>
          <w:color w:val="000000"/>
          <w:shd w:val="clear" w:color="auto" w:fill="ffffff"/>
          <w:lang w:eastAsia="zh-CN"/>
        </w:rPr>
      </w:r>
    </w:p>
    <w:p>
      <w:pPr>
        <w:pStyle w:val="1020"/>
        <w:contextualSpacing/>
        <w:ind w:firstLine="709"/>
        <w:jc w:val="both"/>
        <w:rPr>
          <w:lang w:eastAsia="zh-CN"/>
        </w:rPr>
      </w:pPr>
      <w:r>
        <w:rPr>
          <w:lang w:eastAsia="zh-CN"/>
        </w:rPr>
        <w:t xml:space="preserve">7.9. Уплата штрафных санкций не освобождает стороны от выполнения обязательств по настоящему Контракту.</w:t>
      </w:r>
      <w:r>
        <w:rPr>
          <w:lang w:eastAsia="zh-CN"/>
        </w:rPr>
      </w:r>
      <w:r>
        <w:rPr>
          <w:lang w:eastAsia="zh-CN"/>
        </w:rPr>
      </w:r>
    </w:p>
    <w:p>
      <w:pPr>
        <w:pStyle w:val="1020"/>
        <w:contextualSpacing/>
        <w:ind w:firstLine="709"/>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w:t>
      </w:r>
      <w:r>
        <w:rPr>
          <w:shd w:val="clear" w:color="auto" w:fill="ffffff"/>
        </w:rPr>
        <w:t xml:space="preserve">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rPr>
          <w:shd w:val="clear" w:color="auto" w:fill="ffffff"/>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hd w:val="clear" w:color="auto" w:fill="ffffff"/>
        </w:rPr>
      </w:r>
      <w:r>
        <w:rPr>
          <w:shd w:val="clear" w:color="auto" w:fill="ffffff"/>
        </w:rPr>
      </w:r>
    </w:p>
    <w:p>
      <w:pPr>
        <w:pStyle w:val="1020"/>
        <w:contextualSpacing/>
        <w:ind w:firstLine="709"/>
        <w:jc w:val="both"/>
      </w:pPr>
      <w:r>
        <w:rPr>
          <w:shd w:val="clear" w:color="auto" w:fill="ffffff"/>
        </w:rPr>
        <w:t xml:space="preserve">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Pr>
          <w:shd w:val="clear" w:color="auto" w:fill="ffffff"/>
        </w:rPr>
        <w:t xml:space="preserve">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w:t>
      </w:r>
      <w:r>
        <w:rPr>
          <w:shd w:val="clear" w:color="auto" w:fill="ffffff"/>
        </w:rPr>
        <w:t xml:space="preserve">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w:t>
      </w:r>
      <w:r>
        <w:rPr>
          <w:shd w:val="clear" w:color="auto" w:fill="ffffff"/>
        </w:rPr>
        <w:t xml:space="preserve">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p>
    <w:p>
      <w:pPr>
        <w:contextualSpacing/>
        <w:ind w:firstLine="709"/>
        <w:jc w:val="both"/>
      </w:pPr>
      <w:r/>
      <w:r/>
    </w:p>
    <w:p>
      <w:pPr>
        <w:contextualSpacing/>
        <w:jc w:val="center"/>
        <w:rPr>
          <w:b/>
        </w:rPr>
      </w:pPr>
      <w:r>
        <w:rPr>
          <w:b/>
        </w:rPr>
        <w:t xml:space="preserve">8. Действие обстоятельств непреодолимой силы</w:t>
      </w:r>
      <w:r>
        <w:rPr>
          <w:b/>
        </w:rPr>
      </w:r>
      <w:r>
        <w:rPr>
          <w:b/>
        </w:rPr>
      </w:r>
    </w:p>
    <w:p>
      <w:pPr>
        <w:pStyle w:val="1024"/>
        <w:contextualSpacing/>
        <w:ind w:firstLine="708"/>
        <w:jc w:val="both"/>
        <w:rPr>
          <w:rFonts w:eastAsia="MS Mincho"/>
        </w:rPr>
      </w:pPr>
      <w:r>
        <w:rPr>
          <w:rFonts w:eastAsia="MS Mincho"/>
        </w:rPr>
        <w:t xml:space="preserve">8.1. Стороны освобождаются от ответственности за ч</w:t>
      </w:r>
      <w:r>
        <w:rPr>
          <w:rFonts w:eastAsia="MS Mincho"/>
        </w:rPr>
        <w:t xml:space="preserve">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w:t>
      </w:r>
      <w:r>
        <w:rPr>
          <w:rFonts w:eastAsia="MS Mincho"/>
        </w:rPr>
        <w:t xml:space="preserve">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r>
        <w:rPr>
          <w:rFonts w:eastAsia="MS Mincho"/>
        </w:rPr>
      </w:r>
      <w:r>
        <w:rPr>
          <w:rFonts w:eastAsia="MS Mincho"/>
        </w:rPr>
      </w:r>
    </w:p>
    <w:p>
      <w:pPr>
        <w:contextualSpacing/>
        <w:ind w:firstLine="709"/>
        <w:jc w:val="both"/>
      </w:pPr>
      <w:r>
        <w:t xml:space="preserve">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r/>
    </w:p>
    <w:p>
      <w:pPr>
        <w:pStyle w:val="1024"/>
        <w:contextualSpacing/>
        <w:ind w:firstLine="708"/>
        <w:jc w:val="both"/>
        <w:rPr>
          <w:rFonts w:eastAsia="MS Mincho"/>
        </w:rPr>
      </w:pPr>
      <w:r>
        <w:rPr>
          <w:rFonts w:eastAsia="MS Mincho"/>
        </w:rPr>
        <w:t xml:space="preserve">8.3. В случае, когда обстоятельства </w:t>
      </w:r>
      <w:r>
        <w:rPr>
          <w:rFonts w:eastAsia="MS Mincho"/>
        </w:rPr>
        <w:t xml:space="preserve">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r>
        <w:rPr>
          <w:rFonts w:eastAsia="MS Mincho"/>
        </w:rPr>
      </w:r>
      <w:r>
        <w:rPr>
          <w:rFonts w:eastAsia="MS Mincho"/>
        </w:rPr>
      </w:r>
    </w:p>
    <w:p>
      <w:pPr>
        <w:pStyle w:val="1024"/>
        <w:contextualSpacing/>
        <w:ind w:firstLine="708"/>
        <w:jc w:val="both"/>
        <w:rPr>
          <w:rFonts w:eastAsia="MS Mincho"/>
        </w:rPr>
      </w:pPr>
      <w:r>
        <w:rPr>
          <w:rFonts w:eastAsia="MS Mincho"/>
        </w:rPr>
      </w:r>
      <w:r>
        <w:rPr>
          <w:rFonts w:eastAsia="MS Mincho"/>
        </w:rPr>
      </w:r>
      <w:r>
        <w:rPr>
          <w:rFonts w:eastAsia="MS Mincho"/>
        </w:rPr>
      </w:r>
    </w:p>
    <w:p>
      <w:pPr>
        <w:pStyle w:val="1024"/>
        <w:contextualSpacing/>
        <w:jc w:val="center"/>
        <w:rPr>
          <w:rFonts w:eastAsia="MS Mincho"/>
          <w:b/>
          <w:bCs/>
        </w:rPr>
      </w:pPr>
      <w:r/>
      <w:bookmarkStart w:id="3" w:name="Par825"/>
      <w:r/>
      <w:bookmarkEnd w:id="3"/>
      <w:r>
        <w:rPr>
          <w:rFonts w:eastAsia="MS Mincho"/>
          <w:b/>
          <w:bCs/>
        </w:rPr>
        <w:t xml:space="preserve">9. Порядок урегулирования споров</w:t>
      </w:r>
      <w:r>
        <w:rPr>
          <w:rFonts w:eastAsia="MS Mincho"/>
          <w:b/>
          <w:bCs/>
        </w:rPr>
      </w:r>
      <w:r>
        <w:rPr>
          <w:rFonts w:eastAsia="MS Mincho"/>
          <w:b/>
          <w:bCs/>
        </w:rPr>
      </w:r>
    </w:p>
    <w:p>
      <w:pPr>
        <w:pStyle w:val="1020"/>
        <w:contextualSpacing/>
        <w:ind w:firstLine="709"/>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 xml:space="preserve">или в связи с ним, были урегулированы путем переговоров.</w:t>
      </w:r>
      <w:r/>
    </w:p>
    <w:p>
      <w:pPr>
        <w:pStyle w:val="1020"/>
        <w:contextualSpacing/>
        <w:ind w:firstLine="709"/>
        <w:jc w:val="both"/>
      </w:pPr>
      <w:r>
        <w:t xml:space="preserve">9.2. В случае наличия претензий, споров, разногласий относительно исполнения одной из сторон своих обязательств другая сторона мож</w:t>
      </w:r>
      <w:r>
        <w:t xml:space="preserve">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r/>
    </w:p>
    <w:p>
      <w:pPr>
        <w:pStyle w:val="1020"/>
        <w:contextualSpacing/>
        <w:ind w:firstLine="709"/>
        <w:jc w:val="both"/>
      </w:pPr>
      <w:r>
        <w:t xml:space="preserve">9.3. Любые споры, не урегулированные во внесудебном порядке, разрешаются Арбитражным судом города Москвы.</w:t>
      </w:r>
      <w:r/>
    </w:p>
    <w:p>
      <w:pPr>
        <w:pStyle w:val="1020"/>
        <w:contextualSpacing/>
        <w:ind w:firstLine="709"/>
        <w:jc w:val="both"/>
      </w:pPr>
      <w:r/>
      <w:r/>
    </w:p>
    <w:p>
      <w:pPr>
        <w:contextualSpacing/>
        <w:jc w:val="center"/>
        <w:rPr>
          <w:b/>
        </w:rPr>
      </w:pPr>
      <w:r>
        <w:rPr>
          <w:b/>
        </w:rPr>
        <w:t xml:space="preserve">10. Прочие условия</w:t>
      </w:r>
      <w:r>
        <w:rPr>
          <w:b/>
        </w:rPr>
      </w:r>
      <w:r>
        <w:rPr>
          <w:b/>
        </w:rPr>
      </w:r>
    </w:p>
    <w:p>
      <w:pPr>
        <w:contextualSpacing/>
        <w:ind w:firstLine="709"/>
        <w:jc w:val="both"/>
      </w:pPr>
      <w:r>
        <w:rPr>
          <w:rFonts w:eastAsia="MS Mincho"/>
        </w:rPr>
        <w:t xml:space="preserve">10.1. </w:t>
      </w:r>
      <w: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w:t>
      </w:r>
      <w:r>
        <w:t xml:space="preserve">п.п</w:t>
      </w:r>
      <w:r>
        <w:t xml:space="preserve">. 8-26 ст. 95 Закона.</w:t>
      </w:r>
      <w:r/>
    </w:p>
    <w:p>
      <w:pPr>
        <w:contextualSpacing/>
        <w:ind w:firstLine="709"/>
        <w:jc w:val="both"/>
      </w:pPr>
      <w:r>
        <w:t xml:space="preserve">10.2. Изменение существенных условий Контракта при его исполнении допускается в следующих случаях:</w:t>
      </w:r>
      <w:r/>
    </w:p>
    <w:p>
      <w:pPr>
        <w:contextualSpacing/>
        <w:ind w:firstLine="709"/>
        <w:jc w:val="both"/>
      </w:pPr>
      <w:r>
        <w:t xml:space="preserve">1) при снижении Цены Контракта без изменения предусмотренных Контрактом объема оказываемых услуг и иных условий Контракта;</w:t>
      </w:r>
      <w:r/>
    </w:p>
    <w:p>
      <w:pPr>
        <w:contextualSpacing/>
        <w:ind w:firstLine="709"/>
        <w:jc w:val="both"/>
      </w:pPr>
      <w:r>
        <w:t xml:space="preserve">2) если по предложению Заказчика предусмотренный Ко</w:t>
      </w:r>
      <w:r>
        <w:t xml:space="preserve">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w:t>
      </w:r>
      <w:r>
        <w:t xml:space="preserve">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r/>
    </w:p>
    <w:p>
      <w:pPr>
        <w:contextualSpacing/>
        <w:ind w:firstLine="709"/>
        <w:jc w:val="both"/>
      </w:pPr>
      <w:r>
        <w:t xml:space="preserve">3) в случаях, предусмотренных пунктом 6 стать</w:t>
      </w:r>
      <w:r>
        <w:t xml:space="preserve">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w:t>
      </w:r>
      <w:r>
        <w:t xml:space="preserve">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w:t>
      </w:r>
      <w:r>
        <w:t xml:space="preserve">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r/>
    </w:p>
    <w:p>
      <w:pPr>
        <w:contextualSpacing/>
        <w:ind w:firstLine="709"/>
        <w:jc w:val="both"/>
      </w:pPr>
      <w:r>
        <w:t xml:space="preserve">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r/>
    </w:p>
    <w:p>
      <w:pPr>
        <w:contextualSpacing/>
        <w:ind w:firstLine="709"/>
        <w:jc w:val="both"/>
      </w:pPr>
      <w:r>
        <w:t xml:space="preserve">10.4. Любое уведомление, которое одна сторона направляет другой стороне в соответствии </w:t>
      </w:r>
      <w:r>
        <w:t xml:space="preserve">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r/>
    </w:p>
    <w:p>
      <w:pPr>
        <w:contextualSpacing/>
        <w:ind w:firstLine="709"/>
        <w:jc w:val="both"/>
      </w:pPr>
      <w:r>
        <w:t xml:space="preserve">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r/>
    </w:p>
    <w:p>
      <w:pPr>
        <w:contextualSpacing/>
        <w:ind w:firstLine="709"/>
        <w:jc w:val="both"/>
      </w:pPr>
      <w:r>
        <w:t xml:space="preserve">10.6. Во всем, что не предусмотрено настоящим Контрактом, стороны руководствуются действующим законодательством РФ.</w:t>
      </w:r>
      <w:r/>
    </w:p>
    <w:p>
      <w:pPr>
        <w:contextualSpacing/>
        <w:ind w:firstLine="709"/>
        <w:jc w:val="both"/>
      </w:pPr>
      <w:r>
        <w:t xml:space="preserve">10.7. Срок действия настоящего Контракта устанавливается с момента его подписания по 03.08</w:t>
      </w:r>
      <w:r>
        <w:t xml:space="preserve">.202</w:t>
      </w:r>
      <w:r>
        <w:t xml:space="preserve">6</w:t>
      </w:r>
      <w:r>
        <w:t xml:space="preserve"> г. </w:t>
      </w:r>
      <w:r/>
    </w:p>
    <w:p>
      <w:pPr>
        <w:contextualSpacing/>
        <w:ind w:firstLine="709"/>
        <w:jc w:val="both"/>
      </w:pPr>
      <w:r>
        <w:t xml:space="preserve">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r/>
    </w:p>
    <w:p>
      <w:pPr>
        <w:pStyle w:val="1031"/>
        <w:contextualSpacing/>
        <w:rPr>
          <w:rFonts w:ascii="Times New Roman" w:hAnsi="Times New Roman" w:eastAsia="MS Mincho"/>
          <w:sz w:val="24"/>
          <w:szCs w:val="24"/>
        </w:rPr>
      </w:pPr>
      <w:r>
        <w:rPr>
          <w:rFonts w:ascii="Times New Roman" w:hAnsi="Times New Roman" w:eastAsia="MS Mincho"/>
          <w:sz w:val="24"/>
          <w:szCs w:val="24"/>
        </w:rPr>
      </w:r>
      <w:r>
        <w:rPr>
          <w:rFonts w:ascii="Times New Roman" w:hAnsi="Times New Roman" w:eastAsia="MS Mincho"/>
          <w:sz w:val="24"/>
          <w:szCs w:val="24"/>
        </w:rPr>
      </w:r>
      <w:r>
        <w:rPr>
          <w:rFonts w:ascii="Times New Roman" w:hAnsi="Times New Roman" w:eastAsia="MS Mincho"/>
          <w:sz w:val="24"/>
          <w:szCs w:val="24"/>
        </w:rPr>
      </w:r>
    </w:p>
    <w:p>
      <w:pPr>
        <w:pStyle w:val="1031"/>
        <w:contextualSpacing/>
        <w:jc w:val="center"/>
        <w:rPr>
          <w:rFonts w:ascii="Times New Roman" w:hAnsi="Times New Roman" w:eastAsia="MS Mincho"/>
          <w:b/>
          <w:bCs/>
          <w:sz w:val="24"/>
          <w:szCs w:val="24"/>
        </w:rPr>
      </w:pPr>
      <w:r>
        <w:rPr>
          <w:rFonts w:ascii="Times New Roman" w:hAnsi="Times New Roman" w:eastAsia="MS Mincho"/>
          <w:b/>
          <w:bCs/>
          <w:sz w:val="24"/>
          <w:szCs w:val="24"/>
        </w:rPr>
        <w:t xml:space="preserve">11. Контактная информация Заказчика</w:t>
      </w:r>
      <w:r>
        <w:rPr>
          <w:rFonts w:ascii="Times New Roman" w:hAnsi="Times New Roman" w:eastAsia="MS Mincho"/>
          <w:b/>
          <w:bCs/>
          <w:sz w:val="24"/>
          <w:szCs w:val="24"/>
        </w:rPr>
      </w:r>
      <w:r>
        <w:rPr>
          <w:rFonts w:ascii="Times New Roman" w:hAnsi="Times New Roman" w:eastAsia="MS Mincho"/>
          <w:b/>
          <w:bCs/>
          <w:sz w:val="24"/>
          <w:szCs w:val="24"/>
        </w:rPr>
      </w:r>
    </w:p>
    <w:p>
      <w:pPr>
        <w:pStyle w:val="1031"/>
        <w:contextualSpacing/>
        <w:jc w:val="center"/>
        <w:rPr>
          <w:rFonts w:ascii="Times New Roman" w:hAnsi="Times New Roman" w:eastAsia="MS Mincho"/>
          <w:b/>
          <w:bCs/>
          <w:sz w:val="24"/>
          <w:szCs w:val="24"/>
        </w:rPr>
      </w:pPr>
      <w:r>
        <w:rPr>
          <w:rFonts w:ascii="Times New Roman" w:hAnsi="Times New Roman" w:eastAsia="MS Mincho"/>
          <w:b/>
          <w:bCs/>
          <w:sz w:val="24"/>
          <w:szCs w:val="24"/>
        </w:rPr>
      </w:r>
      <w:r>
        <w:rPr>
          <w:rFonts w:ascii="Times New Roman" w:hAnsi="Times New Roman" w:eastAsia="MS Mincho"/>
          <w:b/>
          <w:bCs/>
          <w:sz w:val="24"/>
          <w:szCs w:val="24"/>
        </w:rPr>
      </w:r>
      <w:r>
        <w:rPr>
          <w:rFonts w:ascii="Times New Roman" w:hAnsi="Times New Roman" w:eastAsia="MS Mincho"/>
          <w:b/>
          <w:bCs/>
          <w:sz w:val="24"/>
          <w:szCs w:val="24"/>
        </w:rPr>
      </w:r>
    </w:p>
    <w:p>
      <w:pPr>
        <w:contextualSpacing/>
        <w:jc w:val="both"/>
      </w:pPr>
      <w:r>
        <w:t xml:space="preserve">Юридический адрес: 125367, г. Москва, Волоколамское шоссе, д. 80.</w:t>
      </w:r>
      <w:r/>
    </w:p>
    <w:p>
      <w:pPr>
        <w:contextualSpacing/>
        <w:jc w:val="both"/>
        <w:rPr>
          <w:rStyle w:val="1045"/>
        </w:rPr>
      </w:pPr>
      <w:r>
        <w:t xml:space="preserve">Заключение Контракта: Телефон (495) 490-22-30 доб.474</w:t>
      </w:r>
      <w:r>
        <w:rPr>
          <w:rStyle w:val="1045"/>
        </w:rPr>
      </w:r>
      <w:r>
        <w:rPr>
          <w:rStyle w:val="1045"/>
        </w:rPr>
      </w:r>
    </w:p>
    <w:p>
      <w:pPr>
        <w:contextualSpacing/>
        <w:jc w:val="both"/>
      </w:pPr>
      <w:r>
        <w:t xml:space="preserve">Согласование и приёмка </w:t>
      </w:r>
      <w:r/>
    </w:p>
    <w:p>
      <w:pPr>
        <w:contextualSpacing/>
        <w:jc w:val="both"/>
      </w:pPr>
      <w:r>
        <w:t xml:space="preserve">Исаев Максим Викторович </w:t>
      </w:r>
      <w:r>
        <w:t xml:space="preserve">8 495 490 20 30 доб.569</w:t>
      </w:r>
      <w:r/>
    </w:p>
    <w:p>
      <w:pPr>
        <w:contextualSpacing/>
        <w:jc w:val="both"/>
      </w:pPr>
      <w:r>
        <w:t xml:space="preserve">ОГРН 1027739766812 от 16.04.1993 г.</w:t>
      </w:r>
      <w:r/>
    </w:p>
    <w:p>
      <w:pPr>
        <w:contextualSpacing/>
        <w:jc w:val="both"/>
      </w:pPr>
      <w:r>
        <w:t xml:space="preserve">ИНН 7733012151, КПП 773301001 </w:t>
      </w:r>
      <w:r/>
    </w:p>
    <w:p>
      <w:pPr>
        <w:contextualSpacing/>
        <w:jc w:val="both"/>
      </w:pPr>
      <w:r>
        <w:t xml:space="preserve">ОКПО 01897653, ОКТМО 45368000 ОКОПФ 75103</w:t>
      </w:r>
      <w:r/>
    </w:p>
    <w:p>
      <w:pPr>
        <w:contextualSpacing/>
        <w:jc w:val="both"/>
      </w:pPr>
      <w:r>
        <w:t xml:space="preserve">Банковские реквизиты:</w:t>
      </w:r>
      <w:r/>
    </w:p>
    <w:p>
      <w:pPr>
        <w:shd w:val="clear" w:color="auto" w:fill="ffffff"/>
        <w:rPr>
          <w:color w:val="000000"/>
          <w:spacing w:val="5"/>
        </w:rPr>
      </w:pPr>
      <w:r>
        <w:rPr>
          <w:color w:val="000000"/>
          <w:spacing w:val="5"/>
        </w:rPr>
        <w:t xml:space="preserve">Наименование получателя: УФК по г. Москве </w:t>
      </w:r>
      <w:r>
        <w:rPr>
          <w:color w:val="000000"/>
          <w:spacing w:val="5"/>
        </w:rPr>
      </w:r>
      <w:r>
        <w:rPr>
          <w:color w:val="000000"/>
          <w:spacing w:val="5"/>
        </w:rPr>
      </w:r>
    </w:p>
    <w:p>
      <w:pPr>
        <w:contextualSpacing/>
        <w:spacing w:after="160" w:line="259" w:lineRule="auto"/>
        <w:rPr>
          <w:rFonts w:eastAsia="Calibri"/>
          <w:lang w:eastAsia="en-US"/>
          <w14:ligatures w14:val="standardContextual"/>
        </w:rPr>
      </w:pPr>
      <w:r>
        <w:rPr>
          <w:color w:val="000000"/>
          <w:spacing w:val="5"/>
        </w:rPr>
        <w:t xml:space="preserve">(ФГБНУ РЦНН л/с 20736У94110</w:t>
      </w:r>
      <w:r>
        <w:rPr>
          <w:rFonts w:eastAsia="Calibri"/>
          <w:lang w:eastAsia="en-US"/>
          <w14:ligatures w14:val="standardContextual"/>
        </w:rPr>
        <w:t xml:space="preserve">, </w:t>
      </w:r>
      <w:r>
        <w:rPr>
          <w:rFonts w:eastAsia="Calibri"/>
          <w:lang w:eastAsia="en-US"/>
          <w14:ligatures w14:val="standardContextual"/>
        </w:rPr>
      </w:r>
      <w:r>
        <w:rPr>
          <w:rFonts w:eastAsia="Calibri"/>
          <w:lang w:eastAsia="en-US"/>
          <w14:ligatures w14:val="standardContextual"/>
        </w:rPr>
      </w:r>
    </w:p>
    <w:p>
      <w:pPr>
        <w:contextualSpacing/>
        <w:spacing w:after="160" w:line="259" w:lineRule="auto"/>
        <w:rPr>
          <w:rFonts w:eastAsia="Calibri"/>
          <w:lang w:eastAsia="en-US"/>
          <w14:ligatures w14:val="standardContextual"/>
        </w:rPr>
      </w:pPr>
      <w:r>
        <w:rPr>
          <w:rFonts w:eastAsia="Calibri"/>
          <w:lang w:eastAsia="en-US"/>
          <w14:ligatures w14:val="standardContextual"/>
        </w:rPr>
        <w:t xml:space="preserve">21736У94110, 22736У94110) </w:t>
      </w:r>
      <w:r>
        <w:rPr>
          <w:rFonts w:eastAsia="Calibri"/>
          <w:lang w:eastAsia="en-US"/>
          <w14:ligatures w14:val="standardContextual"/>
        </w:rPr>
      </w:r>
      <w:r>
        <w:rPr>
          <w:rFonts w:eastAsia="Calibri"/>
          <w:lang w:eastAsia="en-US"/>
          <w14:ligatures w14:val="standardContextual"/>
        </w:rPr>
      </w:r>
    </w:p>
    <w:p>
      <w:pPr>
        <w:shd w:val="clear" w:color="auto" w:fill="ffffff"/>
        <w:rPr>
          <w:color w:val="000000"/>
          <w:spacing w:val="5"/>
        </w:rPr>
      </w:pPr>
      <w:r>
        <w:rPr>
          <w:color w:val="000000"/>
          <w:spacing w:val="5"/>
        </w:rPr>
        <w:t xml:space="preserve">Единый казначейский счет 40102810545370000003</w:t>
      </w:r>
      <w:r>
        <w:rPr>
          <w:color w:val="000000"/>
          <w:spacing w:val="5"/>
        </w:rPr>
      </w:r>
      <w:r>
        <w:rPr>
          <w:color w:val="000000"/>
          <w:spacing w:val="5"/>
        </w:rPr>
      </w:r>
    </w:p>
    <w:p>
      <w:pPr>
        <w:shd w:val="clear" w:color="auto" w:fill="ffffff"/>
        <w:rPr>
          <w:color w:val="000000"/>
          <w:spacing w:val="5"/>
        </w:rPr>
      </w:pPr>
      <w:r>
        <w:rPr>
          <w:color w:val="000000"/>
          <w:spacing w:val="5"/>
        </w:rPr>
        <w:t xml:space="preserve">р/с 03214643000000017300 </w:t>
      </w:r>
      <w:r>
        <w:rPr>
          <w:color w:val="000000"/>
          <w:spacing w:val="5"/>
        </w:rPr>
      </w:r>
      <w:r>
        <w:rPr>
          <w:color w:val="000000"/>
          <w:spacing w:val="5"/>
        </w:rPr>
      </w:r>
    </w:p>
    <w:p>
      <w:pPr>
        <w:shd w:val="clear" w:color="auto" w:fill="ffffff"/>
        <w:rPr>
          <w:color w:val="000000"/>
          <w:spacing w:val="5"/>
        </w:rPr>
      </w:pPr>
      <w:r>
        <w:rPr>
          <w:color w:val="000000"/>
          <w:spacing w:val="5"/>
        </w:rPr>
        <w:t xml:space="preserve">Банк получателя: ОКЦ № 1 ГУ БАНКА РОССИИ ПО ЦФО//УФК</w:t>
      </w:r>
      <w:r>
        <w:rPr>
          <w:color w:val="000000"/>
          <w:spacing w:val="5"/>
        </w:rPr>
      </w:r>
      <w:r>
        <w:rPr>
          <w:color w:val="000000"/>
          <w:spacing w:val="5"/>
        </w:rPr>
      </w:r>
    </w:p>
    <w:p>
      <w:pPr>
        <w:shd w:val="clear" w:color="auto" w:fill="ffffff"/>
        <w:rPr>
          <w:color w:val="000000"/>
          <w:spacing w:val="5"/>
        </w:rPr>
      </w:pPr>
      <w:r>
        <w:rPr>
          <w:color w:val="000000"/>
          <w:spacing w:val="5"/>
        </w:rPr>
        <w:t xml:space="preserve">ПО Г. МОСКВЕ г. Москва</w:t>
      </w:r>
      <w:r>
        <w:rPr>
          <w:color w:val="000000"/>
          <w:spacing w:val="5"/>
        </w:rPr>
      </w:r>
      <w:r>
        <w:rPr>
          <w:color w:val="000000"/>
          <w:spacing w:val="5"/>
        </w:rPr>
      </w:r>
    </w:p>
    <w:p>
      <w:pPr>
        <w:shd w:val="clear" w:color="auto" w:fill="ffffff"/>
      </w:pPr>
      <w:r>
        <w:rPr>
          <w:color w:val="000000"/>
          <w:spacing w:val="5"/>
        </w:rPr>
        <w:t xml:space="preserve">КБК 00000000000000000130</w:t>
      </w:r>
      <w:r/>
    </w:p>
    <w:p>
      <w:pPr>
        <w:shd w:val="clear" w:color="auto" w:fill="ffffff"/>
        <w:rPr>
          <w:color w:val="000000"/>
          <w:spacing w:val="5"/>
        </w:rPr>
      </w:pPr>
      <w:r>
        <w:rPr>
          <w:color w:val="000000"/>
          <w:spacing w:val="5"/>
        </w:rPr>
        <w:t xml:space="preserve">БИК 004525988   </w:t>
      </w:r>
      <w:r>
        <w:rPr>
          <w:color w:val="000000"/>
          <w:spacing w:val="5"/>
        </w:rPr>
      </w:r>
      <w:r>
        <w:rPr>
          <w:color w:val="000000"/>
          <w:spacing w:val="5"/>
        </w:rPr>
      </w:r>
    </w:p>
    <w:p>
      <w:pPr>
        <w:spacing w:after="160" w:line="259" w:lineRule="auto"/>
      </w:pPr>
      <w: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spacing w:after="200" w:line="276" w:lineRule="auto"/>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spacing w:after="200" w:line="276" w:lineRule="auto"/>
        <w:rPr>
          <w:rFonts w:eastAsia="Calibri"/>
          <w:b/>
          <w:bCs/>
          <w:lang w:eastAsia="en-US"/>
        </w:rPr>
      </w:pPr>
      <w:r>
        <w:rPr>
          <w:rFonts w:eastAsia="Calibri"/>
          <w:b/>
          <w:lang w:eastAsia="en-US"/>
        </w:rPr>
      </w:r>
      <w:r>
        <w:rPr>
          <w:rFonts w:eastAsia="Calibri"/>
          <w:b/>
          <w:lang w:eastAsia="en-US"/>
        </w:rPr>
      </w:r>
      <w:r>
        <w:rPr>
          <w:rFonts w:eastAsia="Calibri"/>
          <w:b/>
          <w:bCs/>
          <w:lang w:eastAsia="en-US"/>
        </w:rPr>
      </w:r>
    </w:p>
    <w:p>
      <w:pPr>
        <w:jc w:val="center"/>
        <w:rPr>
          <w:rFonts w:ascii="Times New Roman" w:hAnsi="Times New Roman" w:cs="Times New Roman"/>
          <w:sz w:val="24"/>
          <w:szCs w:val="24"/>
        </w:rPr>
      </w:pPr>
      <w:r>
        <w:rPr>
          <w:rFonts w:ascii="Times New Roman" w:hAnsi="Times New Roman" w:cs="Times New Roman"/>
          <w:sz w:val="24"/>
          <w:szCs w:val="24"/>
        </w:rPr>
        <w:t xml:space="preserve">ТЕХНИЧЕСКОЕ </w:t>
      </w:r>
      <w:r>
        <w:rPr>
          <w:rFonts w:ascii="Times New Roman" w:hAnsi="Times New Roman" w:cs="Times New Roman"/>
          <w:sz w:val="24"/>
          <w:szCs w:val="24"/>
        </w:rPr>
        <w:t xml:space="preserve">ЗАДАНИЕ</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РАЗРАБОТКУ </w:t>
      </w:r>
      <w:r>
        <w:rPr>
          <w:rFonts w:ascii="Times New Roman" w:hAnsi="Times New Roman" w:cs="Times New Roman"/>
          <w:sz w:val="24"/>
          <w:szCs w:val="24"/>
        </w:rPr>
        <w:t xml:space="preserve">ПРОЕКТ</w:t>
      </w:r>
      <w:r>
        <w:rPr>
          <w:rFonts w:ascii="Times New Roman" w:hAnsi="Times New Roman" w:cs="Times New Roman"/>
          <w:sz w:val="24"/>
          <w:szCs w:val="24"/>
        </w:rPr>
        <w:t xml:space="preserve">НО-СМЕТНОЙ ДОКУМЕНТАЦИИ </w:t>
      </w:r>
      <w:r>
        <w:rPr>
          <w:rFonts w:ascii="Times New Roman" w:hAnsi="Times New Roman" w:cs="Times New Roman"/>
          <w:sz w:val="24"/>
          <w:szCs w:val="24"/>
        </w:rPr>
        <w:t xml:space="preserve">НА </w:t>
      </w:r>
      <w:r>
        <w:rPr>
          <w:rFonts w:ascii="Times New Roman" w:hAnsi="Times New Roman" w:cs="Times New Roman"/>
          <w:sz w:val="24"/>
          <w:szCs w:val="24"/>
        </w:rPr>
        <w:t xml:space="preserve">капитальный </w:t>
      </w:r>
      <w:r>
        <w:rPr>
          <w:rFonts w:ascii="Times New Roman" w:hAnsi="Times New Roman" w:cs="Times New Roman"/>
          <w:sz w:val="24"/>
          <w:szCs w:val="24"/>
        </w:rPr>
        <w:t xml:space="preserve">ремонт</w:t>
      </w:r>
      <w:r>
        <w:rPr>
          <w:rFonts w:ascii="Times New Roman" w:hAnsi="Times New Roman" w:cs="Times New Roman"/>
          <w:sz w:val="24"/>
          <w:szCs w:val="24"/>
        </w:rPr>
        <w:t xml:space="preserve"> </w:t>
      </w:r>
      <w:r>
        <w:rPr>
          <w:rFonts w:ascii="Times New Roman" w:hAnsi="Times New Roman" w:cs="Times New Roman"/>
          <w:sz w:val="24"/>
          <w:szCs w:val="24"/>
        </w:rPr>
        <w:t xml:space="preserve">ПОМЕЩЕНИЙ </w:t>
      </w:r>
      <w:r>
        <w:rPr>
          <w:rFonts w:ascii="Times New Roman" w:hAnsi="Times New Roman" w:cs="Times New Roman"/>
          <w:sz w:val="24"/>
          <w:szCs w:val="24"/>
        </w:rPr>
        <w:t xml:space="preserve">ФГБНУ РЦНН </w:t>
      </w:r>
      <w:r>
        <w:rPr>
          <w:rFonts w:ascii="Times New Roman" w:hAnsi="Times New Roman" w:cs="Times New Roman"/>
          <w:sz w:val="24"/>
          <w:szCs w:val="24"/>
        </w:rPr>
      </w:r>
      <w:r>
        <w:rPr>
          <w:rFonts w:ascii="Times New Roman" w:hAnsi="Times New Roman" w:cs="Times New Roman"/>
          <w:sz w:val="24"/>
          <w:szCs w:val="24"/>
        </w:rPr>
      </w:r>
    </w:p>
    <w:tbl>
      <w:tblPr>
        <w:tblStyle w:val="1039"/>
        <w:tblW w:w="10632" w:type="dxa"/>
        <w:tblInd w:w="-856" w:type="dxa"/>
        <w:tblLook w:val="04A0" w:firstRow="1" w:lastRow="0" w:firstColumn="1" w:lastColumn="0" w:noHBand="0" w:noVBand="1"/>
      </w:tblPr>
      <w:tblGrid>
        <w:gridCol w:w="1056"/>
        <w:gridCol w:w="3171"/>
        <w:gridCol w:w="6405"/>
      </w:tblGrid>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 п/п</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ПЕРЕЧЕНЬ ОСНОВНЫХ ДАННЫХ И ТРЕБОВАНИЙ</w:t>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W w:w="10632" w:type="dxa"/>
            <w:textDirection w:val="lrTb"/>
            <w:noWrap w:val="false"/>
          </w:tcPr>
          <w:p>
            <w:pPr>
              <w:pStyle w:val="1040"/>
              <w:numPr>
                <w:ilvl w:val="0"/>
                <w:numId w:val="43"/>
              </w:numPr>
              <w:jc w:val="center"/>
              <w:rPr>
                <w:rFonts w:ascii="Times New Roman" w:hAnsi="Times New Roman" w:cs="Times New Roman"/>
                <w:sz w:val="28"/>
                <w:szCs w:val="28"/>
              </w:rPr>
            </w:pPr>
            <w:r>
              <w:rPr>
                <w:rFonts w:ascii="Times New Roman" w:hAnsi="Times New Roman" w:cs="Times New Roman"/>
                <w:sz w:val="28"/>
                <w:szCs w:val="28"/>
              </w:rPr>
              <w:t xml:space="preserve">Общие данные</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Основание для проектирования объекта:</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Решение Заказчика</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Техническое заключение по обследованию участков перекрытия над 1-м этажом</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Застройщик (технический заказчик)</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ФГБНУ</w:t>
            </w:r>
            <w:r>
              <w:rPr>
                <w:rFonts w:ascii="Times New Roman" w:hAnsi="Times New Roman" w:cs="Times New Roman"/>
                <w:sz w:val="28"/>
                <w:szCs w:val="28"/>
              </w:rPr>
              <w:t xml:space="preserve"> РЦНН</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г. Москва, Волоколамское шоссе, дом 80</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ОГРН</w:t>
            </w:r>
            <w:r>
              <w:rPr>
                <w:rFonts w:ascii="Times New Roman" w:hAnsi="Times New Roman" w:cs="Times New Roman"/>
                <w:sz w:val="28"/>
                <w:szCs w:val="28"/>
              </w:rPr>
              <w:t xml:space="preserve"> </w:t>
            </w:r>
            <w:r>
              <w:rPr>
                <w:rFonts w:ascii="Times New Roman" w:hAnsi="Times New Roman" w:cs="Times New Roman"/>
                <w:sz w:val="28"/>
                <w:szCs w:val="28"/>
                <w14:ligatures w14:val="none"/>
              </w:rPr>
              <w:t xml:space="preserve">10277397668712</w:t>
            </w:r>
            <w:r>
              <w:rPr>
                <w:rFonts w:ascii="Times New Roman" w:hAnsi="Times New Roman" w:cs="Times New Roman"/>
                <w:sz w:val="28"/>
                <w:szCs w:val="28"/>
              </w:rPr>
              <w:t xml:space="preserve">, ИНН</w:t>
            </w:r>
            <w:r>
              <w:rPr>
                <w:rFonts w:ascii="Times New Roman" w:hAnsi="Times New Roman" w:cs="Times New Roman"/>
                <w:sz w:val="28"/>
                <w:szCs w:val="28"/>
              </w:rPr>
              <w:t xml:space="preserve"> </w:t>
            </w:r>
            <w:r>
              <w:rPr>
                <w:rFonts w:ascii="Times New Roman" w:hAnsi="Times New Roman" w:cs="Times New Roman"/>
                <w:sz w:val="28"/>
                <w:szCs w:val="28"/>
                <w14:ligatures w14:val="none"/>
              </w:rPr>
              <w:t xml:space="preserve">7733012151</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Сведения об объекте </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Адрес: г. Москва, </w:t>
            </w:r>
            <w:r>
              <w:rPr>
                <w:rFonts w:ascii="Times New Roman" w:hAnsi="Times New Roman" w:cs="Times New Roman"/>
                <w:sz w:val="28"/>
                <w:szCs w:val="28"/>
              </w:rPr>
              <w:t xml:space="preserve">Волоколамское шоссе дом 80 стр.1</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Вид работ</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Капитальный </w:t>
            </w:r>
            <w:r>
              <w:rPr>
                <w:rFonts w:ascii="Times New Roman" w:hAnsi="Times New Roman" w:cs="Times New Roman"/>
                <w:sz w:val="28"/>
                <w:szCs w:val="28"/>
              </w:rPr>
              <w:t xml:space="preserve">ремонт помещений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Технические условия подключения</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Подключение к существующим сетям</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szCs w:val="28"/>
              </w:rPr>
              <w:t xml:space="preserve">выполнения работ</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45 </w:t>
            </w:r>
            <w:r>
              <w:rPr>
                <w:rFonts w:ascii="Times New Roman" w:hAnsi="Times New Roman" w:cs="Times New Roman"/>
                <w:color w:val="ff0000"/>
                <w:sz w:val="28"/>
                <w:szCs w:val="28"/>
              </w:rPr>
              <w:t xml:space="preserve">календарных дней</w:t>
            </w:r>
            <w:r>
              <w:rPr>
                <w:rFonts w:ascii="Times New Roman" w:hAnsi="Times New Roman" w:cs="Times New Roman"/>
                <w:color w:val="ff0000"/>
                <w:sz w:val="28"/>
                <w:szCs w:val="28"/>
              </w:rPr>
            </w:r>
            <w:r>
              <w:rPr>
                <w:rFonts w:ascii="Times New Roman" w:hAnsi="Times New Roman" w:cs="Times New Roman"/>
                <w:color w:val="ff0000"/>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Требования к основным техника-экономическим показателям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Помещения расположены на первом этаже </w:t>
            </w:r>
            <w:r>
              <w:rPr>
                <w:rFonts w:ascii="Times New Roman" w:hAnsi="Times New Roman" w:cs="Times New Roman"/>
                <w:sz w:val="28"/>
                <w:szCs w:val="28"/>
              </w:rPr>
              <w:t xml:space="preserve">нежилого здания</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Площадь,</w:t>
            </w:r>
            <w:r>
              <w:rPr>
                <w:rFonts w:ascii="Times New Roman" w:hAnsi="Times New Roman" w:cs="Times New Roman"/>
                <w:sz w:val="28"/>
                <w:szCs w:val="28"/>
              </w:rPr>
              <w:t xml:space="preserve"> планируемая в ремонт:</w:t>
            </w:r>
            <w:r>
              <w:rPr>
                <w:rFonts w:ascii="Times New Roman" w:hAnsi="Times New Roman" w:cs="Times New Roman"/>
                <w:sz w:val="28"/>
                <w:szCs w:val="28"/>
              </w:rPr>
              <w:t xml:space="preserve"> </w:t>
            </w:r>
            <w:r>
              <w:rPr>
                <w:rFonts w:ascii="Times New Roman" w:hAnsi="Times New Roman" w:cs="Times New Roman"/>
                <w:sz w:val="28"/>
                <w:szCs w:val="28"/>
              </w:rPr>
              <w:t xml:space="preserve">80</w:t>
            </w:r>
            <w:r>
              <w:rPr>
                <w:rFonts w:ascii="Times New Roman" w:hAnsi="Times New Roman" w:cs="Times New Roman"/>
                <w:sz w:val="28"/>
                <w:szCs w:val="28"/>
              </w:rPr>
              <w:t xml:space="preserve">м2</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качеству, </w:t>
            </w:r>
            <w:r>
              <w:rPr>
                <w:rFonts w:ascii="Times New Roman" w:hAnsi="Times New Roman" w:cs="Times New Roman"/>
                <w:sz w:val="28"/>
                <w:szCs w:val="28"/>
              </w:rPr>
              <w:t xml:space="preserve">конкурентоспособности</w:t>
            </w:r>
            <w:r>
              <w:rPr>
                <w:rFonts w:ascii="Times New Roman" w:hAnsi="Times New Roman" w:cs="Times New Roman"/>
                <w:sz w:val="28"/>
                <w:szCs w:val="28"/>
              </w:rPr>
              <w:t xml:space="preserve">, экологичности и энергоэффективности проектных решений</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color w:val="ff0000"/>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роектную документацию </w:t>
            </w:r>
            <w:r>
              <w:rPr>
                <w:rFonts w:ascii="Times New Roman" w:hAnsi="Times New Roman" w:cs="Times New Roman"/>
                <w:sz w:val="28"/>
                <w:szCs w:val="28"/>
              </w:rPr>
              <w:t xml:space="preserve">разработать </w:t>
            </w:r>
            <w:r>
              <w:rPr>
                <w:rFonts w:ascii="Times New Roman" w:hAnsi="Times New Roman" w:cs="Times New Roman"/>
                <w:sz w:val="28"/>
                <w:szCs w:val="28"/>
              </w:rPr>
              <w:t xml:space="preserve">в объеме необходимом для проведения </w:t>
            </w:r>
            <w:r>
              <w:rPr>
                <w:rFonts w:ascii="Times New Roman" w:hAnsi="Times New Roman" w:cs="Times New Roman"/>
                <w:sz w:val="28"/>
                <w:szCs w:val="28"/>
              </w:rPr>
              <w:t xml:space="preserve">капитального</w:t>
            </w:r>
            <w:r>
              <w:rPr>
                <w:rFonts w:ascii="Times New Roman" w:hAnsi="Times New Roman" w:cs="Times New Roman"/>
                <w:sz w:val="28"/>
                <w:szCs w:val="28"/>
              </w:rPr>
              <w:t xml:space="preserve"> ремонта</w:t>
            </w:r>
            <w:r>
              <w:rPr>
                <w:rFonts w:ascii="Times New Roman" w:hAnsi="Times New Roman" w:cs="Times New Roman"/>
                <w:sz w:val="28"/>
                <w:szCs w:val="28"/>
              </w:rPr>
              <w:t xml:space="preserve">.</w:t>
            </w:r>
            <w:r>
              <w:rPr>
                <w:rFonts w:ascii="Times New Roman" w:hAnsi="Times New Roman" w:cs="Times New Roman"/>
                <w:color w:val="ff0000"/>
                <w:sz w:val="28"/>
                <w:szCs w:val="28"/>
              </w:rPr>
            </w:r>
            <w:r>
              <w:rPr>
                <w:rFonts w:ascii="Times New Roman" w:hAnsi="Times New Roman" w:cs="Times New Roman"/>
                <w:color w:val="ff0000"/>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Проектная </w:t>
            </w:r>
            <w:r>
              <w:rPr>
                <w:rFonts w:ascii="Times New Roman" w:hAnsi="Times New Roman" w:cs="Times New Roman"/>
                <w:sz w:val="28"/>
                <w:szCs w:val="28"/>
              </w:rPr>
              <w:t xml:space="preserve">документация</w:t>
            </w:r>
            <w:r>
              <w:rPr>
                <w:rFonts w:ascii="Times New Roman" w:hAnsi="Times New Roman" w:cs="Times New Roman"/>
                <w:sz w:val="28"/>
                <w:szCs w:val="28"/>
              </w:rPr>
              <w:t xml:space="preserve"> и принятые в ней решения должны соответствовать установленным требованиям законодательства РФ в том числе и не ограничиваясь:</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 ГК РФ от 29.12.2004 г. № 190-ФЗ</w:t>
            </w:r>
            <w:r>
              <w:rPr>
                <w:rFonts w:ascii="Times New Roman" w:hAnsi="Times New Roman" w:cs="Times New Roman"/>
                <w:sz w:val="28"/>
                <w:szCs w:val="28"/>
              </w:rPr>
              <w:t xml:space="preserve">,</w:t>
            </w:r>
            <w:r>
              <w:rPr>
                <w:rFonts w:ascii="Times New Roman" w:hAnsi="Times New Roman" w:cs="Times New Roman"/>
                <w:sz w:val="28"/>
                <w:szCs w:val="28"/>
              </w:rPr>
              <w:t xml:space="preserve"> ФЗ от 20.12.2009 № 384-ФЗ</w:t>
            </w:r>
            <w:r>
              <w:rPr>
                <w:rFonts w:ascii="Times New Roman" w:hAnsi="Times New Roman" w:cs="Times New Roman"/>
                <w:sz w:val="28"/>
                <w:szCs w:val="28"/>
              </w:rPr>
              <w:t xml:space="preserve">, Закон Российской Федерации от 22.07.2008г. № 123-ФЗ, ПП РФ от 28.05.2021г. </w:t>
            </w:r>
            <w:r>
              <w:rPr>
                <w:rFonts w:ascii="Times New Roman" w:hAnsi="Times New Roman" w:cs="Times New Roman"/>
                <w:sz w:val="28"/>
                <w:szCs w:val="28"/>
              </w:rPr>
              <w:t xml:space="preserve">№</w:t>
            </w:r>
            <w:r>
              <w:rPr>
                <w:rFonts w:ascii="Times New Roman" w:hAnsi="Times New Roman" w:cs="Times New Roman"/>
                <w:sz w:val="28"/>
                <w:szCs w:val="28"/>
              </w:rPr>
              <w:t xml:space="preserve"> 815, ФЗ от 23.11.2009г. № 261-ФЗ,ПП РФ от 16.09.2020г. № 1479, приказ </w:t>
            </w:r>
            <w:r>
              <w:rPr>
                <w:rFonts w:ascii="Times New Roman" w:hAnsi="Times New Roman" w:cs="Times New Roman"/>
                <w:sz w:val="28"/>
                <w:szCs w:val="28"/>
              </w:rPr>
              <w:t xml:space="preserve">Госкомархитектуры</w:t>
            </w:r>
            <w:r>
              <w:rPr>
                <w:rFonts w:ascii="Times New Roman" w:hAnsi="Times New Roman" w:cs="Times New Roman"/>
                <w:sz w:val="28"/>
                <w:szCs w:val="28"/>
              </w:rPr>
              <w:t xml:space="preserve"> от 23.11.1988г. № 312, ПП РФ </w:t>
            </w:r>
            <w:r>
              <w:rPr>
                <w:rFonts w:ascii="Times New Roman" w:hAnsi="Times New Roman" w:cs="Times New Roman"/>
                <w:sz w:val="28"/>
                <w:szCs w:val="28"/>
              </w:rPr>
              <w:t xml:space="preserve">от 16.05.2022г. № 881, СП</w:t>
            </w:r>
            <w:r>
              <w:rPr>
                <w:rFonts w:ascii="Times New Roman" w:hAnsi="Times New Roman" w:cs="Times New Roman"/>
                <w:sz w:val="28"/>
                <w:szCs w:val="28"/>
              </w:rPr>
              <w:t xml:space="preserve"> 118.13330.2022, СП 1.13130.2020, приказ МЧС России от 12.03.2020 № 151, СП 158.13330.2014 «Здани</w:t>
            </w:r>
            <w:r>
              <w:rPr>
                <w:rFonts w:ascii="Times New Roman" w:hAnsi="Times New Roman" w:cs="Times New Roman"/>
                <w:sz w:val="28"/>
                <w:szCs w:val="28"/>
              </w:rPr>
              <w:t xml:space="preserve">я</w:t>
            </w:r>
            <w:r>
              <w:rPr>
                <w:rFonts w:ascii="Times New Roman" w:hAnsi="Times New Roman" w:cs="Times New Roman"/>
                <w:sz w:val="28"/>
                <w:szCs w:val="28"/>
              </w:rPr>
              <w:t xml:space="preserve"> и помещения медицинских организаций»</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Все применяемые материалы, отраженные в </w:t>
            </w:r>
            <w:r>
              <w:rPr>
                <w:rFonts w:ascii="Times New Roman" w:hAnsi="Times New Roman" w:cs="Times New Roman"/>
                <w:sz w:val="28"/>
                <w:szCs w:val="28"/>
              </w:rPr>
              <w:t xml:space="preserve">проектной</w:t>
            </w:r>
            <w:r>
              <w:rPr>
                <w:rFonts w:ascii="Times New Roman" w:hAnsi="Times New Roman" w:cs="Times New Roman"/>
                <w:sz w:val="28"/>
                <w:szCs w:val="28"/>
              </w:rPr>
              <w:t xml:space="preserve"> документации, включая ведомости объемов работ, должны </w:t>
            </w:r>
            <w:r>
              <w:rPr>
                <w:rFonts w:ascii="Times New Roman" w:hAnsi="Times New Roman" w:cs="Times New Roman"/>
                <w:sz w:val="28"/>
                <w:szCs w:val="28"/>
              </w:rPr>
              <w:t xml:space="preserve">соответствует</w:t>
            </w:r>
            <w:r>
              <w:rPr>
                <w:rFonts w:ascii="Times New Roman" w:hAnsi="Times New Roman" w:cs="Times New Roman"/>
                <w:sz w:val="28"/>
                <w:szCs w:val="28"/>
              </w:rPr>
              <w:t xml:space="preserve"> нор</w:t>
            </w:r>
            <w:r>
              <w:rPr>
                <w:rFonts w:ascii="Times New Roman" w:hAnsi="Times New Roman" w:cs="Times New Roman"/>
                <w:sz w:val="28"/>
                <w:szCs w:val="28"/>
              </w:rPr>
              <w:t xml:space="preserve">м</w:t>
            </w:r>
            <w:r>
              <w:rPr>
                <w:rFonts w:ascii="Times New Roman" w:hAnsi="Times New Roman" w:cs="Times New Roman"/>
                <w:sz w:val="28"/>
                <w:szCs w:val="28"/>
              </w:rPr>
              <w:t xml:space="preserve">ативно-правовым актам в части архитектурно-строительного</w:t>
            </w:r>
            <w:r>
              <w:rPr>
                <w:rFonts w:ascii="Times New Roman" w:hAnsi="Times New Roman" w:cs="Times New Roman"/>
                <w:sz w:val="28"/>
                <w:szCs w:val="28"/>
              </w:rPr>
              <w:t xml:space="preserve"> и </w:t>
            </w:r>
            <w:r>
              <w:rPr>
                <w:rFonts w:ascii="Times New Roman" w:hAnsi="Times New Roman" w:cs="Times New Roman"/>
                <w:sz w:val="28"/>
                <w:szCs w:val="28"/>
              </w:rPr>
              <w:t xml:space="preserve">санит</w:t>
            </w:r>
            <w:r>
              <w:rPr>
                <w:rFonts w:ascii="Times New Roman" w:hAnsi="Times New Roman" w:cs="Times New Roman"/>
                <w:sz w:val="28"/>
                <w:szCs w:val="28"/>
              </w:rPr>
              <w:t xml:space="preserve">а</w:t>
            </w:r>
            <w:r>
              <w:rPr>
                <w:rFonts w:ascii="Times New Roman" w:hAnsi="Times New Roman" w:cs="Times New Roman"/>
                <w:sz w:val="28"/>
                <w:szCs w:val="28"/>
              </w:rPr>
              <w:t xml:space="preserve">рно-гигиенич</w:t>
            </w:r>
            <w:r>
              <w:rPr>
                <w:rFonts w:ascii="Times New Roman" w:hAnsi="Times New Roman" w:cs="Times New Roman"/>
                <w:sz w:val="28"/>
                <w:szCs w:val="28"/>
              </w:rPr>
              <w:t xml:space="preserve">е</w:t>
            </w:r>
            <w:r>
              <w:rPr>
                <w:rFonts w:ascii="Times New Roman" w:hAnsi="Times New Roman" w:cs="Times New Roman"/>
                <w:sz w:val="28"/>
                <w:szCs w:val="28"/>
              </w:rPr>
              <w:t xml:space="preserve">ского регулирования, требованиям действующих норм и правил пожарной безопасности в РФ.</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Необходимость </w:t>
            </w:r>
            <w:r>
              <w:rPr>
                <w:rFonts w:ascii="Times New Roman" w:hAnsi="Times New Roman" w:cs="Times New Roman"/>
                <w:sz w:val="28"/>
                <w:szCs w:val="28"/>
              </w:rPr>
              <w:t xml:space="preserve">выполнения</w:t>
            </w:r>
            <w:r>
              <w:rPr>
                <w:rFonts w:ascii="Times New Roman" w:hAnsi="Times New Roman" w:cs="Times New Roman"/>
                <w:sz w:val="28"/>
                <w:szCs w:val="28"/>
              </w:rPr>
              <w:t xml:space="preserve"> </w:t>
            </w:r>
            <w:r>
              <w:rPr>
                <w:rFonts w:ascii="Times New Roman" w:hAnsi="Times New Roman" w:cs="Times New Roman"/>
                <w:sz w:val="28"/>
                <w:szCs w:val="28"/>
              </w:rPr>
              <w:t xml:space="preserve">инженерны</w:t>
            </w:r>
            <w:r>
              <w:rPr>
                <w:rFonts w:ascii="Times New Roman" w:hAnsi="Times New Roman" w:cs="Times New Roman"/>
                <w:sz w:val="28"/>
                <w:szCs w:val="28"/>
              </w:rPr>
              <w:t xml:space="preserve">х</w:t>
            </w:r>
            <w:r>
              <w:rPr>
                <w:rFonts w:ascii="Times New Roman" w:hAnsi="Times New Roman" w:cs="Times New Roman"/>
                <w:sz w:val="28"/>
                <w:szCs w:val="28"/>
              </w:rPr>
              <w:t xml:space="preserve"> изысканий для подготовки проектной документации</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b/>
                <w:bCs/>
                <w:sz w:val="28"/>
                <w:szCs w:val="28"/>
              </w:rPr>
              <w:t xml:space="preserve">Провести обмерные работы</w:t>
            </w:r>
            <w:r>
              <w:rPr>
                <w:rFonts w:ascii="Times New Roman" w:hAnsi="Times New Roman" w:cs="Times New Roman"/>
                <w:sz w:val="28"/>
                <w:szCs w:val="28"/>
              </w:rPr>
              <w:t xml:space="preserve"> в объеме достаточном для </w:t>
            </w:r>
            <w:r>
              <w:rPr>
                <w:rFonts w:ascii="Times New Roman" w:hAnsi="Times New Roman" w:cs="Times New Roman"/>
                <w:sz w:val="28"/>
                <w:szCs w:val="28"/>
              </w:rPr>
              <w:t xml:space="preserve">разработки проектной документации на капитальный ремонт</w:t>
            </w:r>
            <w:r>
              <w:rPr>
                <w:rFonts w:ascii="Times New Roman" w:hAnsi="Times New Roman" w:cs="Times New Roman"/>
                <w:sz w:val="28"/>
                <w:szCs w:val="28"/>
              </w:rPr>
              <w:t xml:space="preserve"> объекта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До начала выполнения работ Подрядчик направляет Заказчику</w:t>
            </w:r>
            <w:r>
              <w:rPr>
                <w:rFonts w:ascii="Times New Roman" w:hAnsi="Times New Roman" w:cs="Times New Roman"/>
                <w:sz w:val="28"/>
                <w:szCs w:val="28"/>
              </w:rPr>
              <w:t xml:space="preserve"> на согласование </w:t>
            </w:r>
            <w:r>
              <w:rPr>
                <w:rFonts w:ascii="Times New Roman" w:hAnsi="Times New Roman" w:cs="Times New Roman"/>
                <w:sz w:val="28"/>
                <w:szCs w:val="28"/>
              </w:rPr>
              <w:t xml:space="preserve">техническое задание</w:t>
            </w:r>
            <w:r>
              <w:rPr>
                <w:rFonts w:ascii="Times New Roman" w:hAnsi="Times New Roman" w:cs="Times New Roman"/>
                <w:sz w:val="28"/>
                <w:szCs w:val="28"/>
              </w:rPr>
              <w:t xml:space="preserve">. Заказчик </w:t>
            </w:r>
            <w:r>
              <w:rPr>
                <w:rFonts w:ascii="Times New Roman" w:hAnsi="Times New Roman" w:cs="Times New Roman"/>
                <w:sz w:val="28"/>
                <w:szCs w:val="28"/>
              </w:rPr>
              <w:t xml:space="preserve">в течение </w:t>
            </w:r>
            <w:r>
              <w:rPr>
                <w:rFonts w:ascii="Times New Roman" w:hAnsi="Times New Roman" w:cs="Times New Roman"/>
                <w:sz w:val="28"/>
                <w:szCs w:val="28"/>
              </w:rPr>
              <w:t xml:space="preserve">2-х</w:t>
            </w:r>
            <w:r>
              <w:rPr>
                <w:rFonts w:ascii="Times New Roman" w:hAnsi="Times New Roman" w:cs="Times New Roman"/>
                <w:sz w:val="28"/>
                <w:szCs w:val="28"/>
              </w:rPr>
              <w:t xml:space="preserve"> рабочих дней согласовывает технического задание</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W w:w="10632" w:type="dxa"/>
            <w:textDirection w:val="lrTb"/>
            <w:noWrap w:val="false"/>
          </w:tcPr>
          <w:p>
            <w:pPr>
              <w:pStyle w:val="1040"/>
              <w:numPr>
                <w:ilvl w:val="0"/>
                <w:numId w:val="43"/>
              </w:num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проектным решениям</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0</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технологическим решениям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Капитальный ремонт </w:t>
            </w:r>
            <w:r>
              <w:rPr>
                <w:rFonts w:ascii="Times New Roman" w:hAnsi="Times New Roman" w:cs="Times New Roman"/>
                <w:sz w:val="28"/>
                <w:szCs w:val="28"/>
              </w:rPr>
              <w:t xml:space="preserve">будет производиться </w:t>
            </w:r>
            <w:r>
              <w:rPr>
                <w:rFonts w:ascii="Times New Roman" w:hAnsi="Times New Roman" w:cs="Times New Roman"/>
                <w:sz w:val="28"/>
                <w:szCs w:val="28"/>
              </w:rPr>
              <w:t xml:space="preserve">в </w:t>
            </w:r>
            <w:r>
              <w:rPr>
                <w:rFonts w:ascii="Times New Roman" w:hAnsi="Times New Roman" w:cs="Times New Roman"/>
                <w:sz w:val="28"/>
                <w:szCs w:val="28"/>
              </w:rPr>
              <w:t xml:space="preserve">поме</w:t>
            </w:r>
            <w:r>
              <w:rPr>
                <w:rFonts w:ascii="Times New Roman" w:hAnsi="Times New Roman" w:cs="Times New Roman"/>
                <w:sz w:val="28"/>
                <w:szCs w:val="28"/>
              </w:rPr>
              <w:t xml:space="preserve">щ</w:t>
            </w:r>
            <w:r>
              <w:rPr>
                <w:rFonts w:ascii="Times New Roman" w:hAnsi="Times New Roman" w:cs="Times New Roman"/>
                <w:sz w:val="28"/>
                <w:szCs w:val="28"/>
              </w:rPr>
              <w:t xml:space="preserve">ениях, где </w:t>
            </w:r>
            <w:r>
              <w:rPr>
                <w:rFonts w:ascii="Times New Roman" w:hAnsi="Times New Roman" w:cs="Times New Roman"/>
                <w:sz w:val="28"/>
                <w:szCs w:val="28"/>
              </w:rPr>
              <w:t xml:space="preserve">размещаются зал лечебной физкультуры и кабинет физиолечения. </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азработк</w:t>
            </w:r>
            <w:r>
              <w:rPr>
                <w:rFonts w:ascii="Times New Roman" w:hAnsi="Times New Roman" w:cs="Times New Roman"/>
                <w:sz w:val="28"/>
                <w:szCs w:val="28"/>
              </w:rPr>
              <w:t xml:space="preserve">у</w:t>
            </w:r>
            <w:r>
              <w:rPr>
                <w:rFonts w:ascii="Times New Roman" w:hAnsi="Times New Roman" w:cs="Times New Roman"/>
                <w:sz w:val="28"/>
                <w:szCs w:val="28"/>
              </w:rPr>
              <w:t xml:space="preserve"> проектной документации</w:t>
            </w:r>
            <w:r>
              <w:rPr>
                <w:rFonts w:ascii="Times New Roman" w:hAnsi="Times New Roman" w:cs="Times New Roman"/>
                <w:sz w:val="28"/>
                <w:szCs w:val="28"/>
              </w:rPr>
              <w:t xml:space="preserve"> осуществлять</w:t>
            </w:r>
            <w:r>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СП </w:t>
            </w:r>
            <w:r>
              <w:rPr>
                <w:rFonts w:ascii="Times New Roman" w:hAnsi="Times New Roman" w:cs="Times New Roman"/>
                <w:sz w:val="28"/>
                <w:szCs w:val="28"/>
              </w:rPr>
              <w:t xml:space="preserve">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ascii="Times New Roman" w:hAnsi="Times New Roman" w:cs="Times New Roman"/>
                <w:sz w:val="28"/>
                <w:szCs w:val="28"/>
              </w:rPr>
              <w:br/>
            </w:r>
            <w:r>
              <w:rPr>
                <w:rFonts w:ascii="Times New Roman" w:hAnsi="Times New Roman" w:cs="Times New Roman"/>
                <w:sz w:val="28"/>
                <w:szCs w:val="28"/>
              </w:rPr>
              <w:t xml:space="preserve">158.13330.2014 «Здания и помещения медицинских организации. Правила проектирования».</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b/>
                <w:bCs/>
                <w:sz w:val="28"/>
                <w:szCs w:val="28"/>
              </w:rPr>
              <w:t xml:space="preserve">Разработать</w:t>
            </w:r>
            <w:r>
              <w:rPr>
                <w:rFonts w:ascii="Times New Roman" w:hAnsi="Times New Roman" w:cs="Times New Roman"/>
                <w:sz w:val="28"/>
                <w:szCs w:val="28"/>
              </w:rPr>
              <w:t xml:space="preserve"> в соответствии с нормативно-технической документацией </w:t>
            </w:r>
            <w:r>
              <w:rPr>
                <w:rFonts w:ascii="Times New Roman" w:hAnsi="Times New Roman" w:cs="Times New Roman"/>
                <w:b/>
                <w:bCs/>
                <w:sz w:val="28"/>
                <w:szCs w:val="28"/>
              </w:rPr>
              <w:t xml:space="preserve">перечень технологического оборудования и планировки с указанием на </w:t>
            </w:r>
            <w:r>
              <w:rPr>
                <w:rFonts w:ascii="Times New Roman" w:hAnsi="Times New Roman" w:cs="Times New Roman"/>
                <w:b/>
                <w:bCs/>
                <w:sz w:val="28"/>
                <w:szCs w:val="28"/>
              </w:rPr>
              <w:t xml:space="preserve">размещение</w:t>
            </w:r>
            <w:r>
              <w:rPr>
                <w:rFonts w:ascii="Times New Roman" w:hAnsi="Times New Roman" w:cs="Times New Roman"/>
                <w:b/>
                <w:bCs/>
                <w:sz w:val="28"/>
                <w:szCs w:val="28"/>
              </w:rPr>
              <w:t xml:space="preserve"> оборудования</w:t>
            </w:r>
            <w:r>
              <w:rPr>
                <w:rFonts w:ascii="Times New Roman" w:hAnsi="Times New Roman" w:cs="Times New Roman"/>
                <w:sz w:val="28"/>
                <w:szCs w:val="28"/>
              </w:rPr>
              <w:t xml:space="preserve"> (согласовать с Заказчиком).</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Размещение технологического (в том числе электробытового, сантехнического оборудования и мебели должно быть выполнено с учетом существующей функциональной формы, габаритных размеров и конфигурации существующих помещений.</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В качестве инженерного и технологического </w:t>
            </w:r>
            <w:r>
              <w:rPr>
                <w:rFonts w:ascii="Times New Roman" w:hAnsi="Times New Roman" w:cs="Times New Roman"/>
                <w:sz w:val="28"/>
                <w:szCs w:val="28"/>
              </w:rPr>
              <w:t xml:space="preserve">оборудования принять оборудование отечественного производства, обеспечивающего максимальную механизацию и автоматизацию технологических процессов.</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Заказчик предоставляет количество работающего персонала, указывает сменность, предполагаемую проходимость пациентов, а также </w:t>
            </w:r>
            <w:r>
              <w:rPr>
                <w:rFonts w:ascii="Times New Roman" w:hAnsi="Times New Roman" w:cs="Times New Roman"/>
                <w:sz w:val="28"/>
                <w:szCs w:val="28"/>
              </w:rPr>
              <w:t xml:space="preserve">перечень медицинского оборудования, которое будет размещаться в данных помещениях.</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c>
          <w:tcPr>
            <w:gridSpan w:val="2"/>
            <w:tcW w:w="9576" w:type="dxa"/>
            <w:textDirection w:val="lrTb"/>
            <w:noWrap w:val="false"/>
          </w:tcPr>
          <w:p>
            <w:pPr>
              <w:pStyle w:val="1040"/>
              <w:numPr>
                <w:ilvl w:val="0"/>
                <w:numId w:val="43"/>
              </w:numPr>
              <w:jc w:val="center"/>
              <w:rPr>
                <w:rFonts w:ascii="Times New Roman" w:hAnsi="Times New Roman" w:cs="Times New Roman"/>
                <w:sz w:val="28"/>
                <w:szCs w:val="28"/>
              </w:rPr>
            </w:pPr>
            <w:r>
              <w:rPr>
                <w:rFonts w:ascii="Times New Roman" w:hAnsi="Times New Roman" w:cs="Times New Roman"/>
                <w:sz w:val="28"/>
                <w:szCs w:val="28"/>
              </w:rPr>
              <w:t xml:space="preserve">Требования к </w:t>
            </w:r>
            <w:r>
              <w:rPr>
                <w:rFonts w:ascii="Times New Roman" w:hAnsi="Times New Roman" w:cs="Times New Roman"/>
                <w:sz w:val="28"/>
                <w:szCs w:val="28"/>
              </w:rPr>
              <w:t xml:space="preserve">конструктивным и</w:t>
            </w:r>
            <w:r>
              <w:rPr>
                <w:rFonts w:ascii="Times New Roman" w:hAnsi="Times New Roman" w:cs="Times New Roman"/>
                <w:sz w:val="28"/>
                <w:szCs w:val="28"/>
              </w:rPr>
              <w:t xml:space="preserve"> объемно- планировочным решениям</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Порядок выбора и применения материалов, изделий, конструкций, оборудования и их согласования с застройщиком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Все </w:t>
            </w:r>
            <w:r>
              <w:rPr>
                <w:rFonts w:ascii="Times New Roman" w:hAnsi="Times New Roman" w:cs="Times New Roman"/>
                <w:sz w:val="28"/>
                <w:szCs w:val="28"/>
              </w:rPr>
              <w:t xml:space="preserve">предполагаемые к применению материалы и обор</w:t>
            </w:r>
            <w:r>
              <w:rPr>
                <w:rFonts w:ascii="Times New Roman" w:hAnsi="Times New Roman" w:cs="Times New Roman"/>
                <w:sz w:val="28"/>
                <w:szCs w:val="28"/>
              </w:rPr>
              <w:t xml:space="preserve">удование, окончательные наименования определить в процессе проектирования в соответствии с действующими нормативными документами, в том числе, разрешенными к применению в медицинских организациях и соответствовать СанПин 3678-20. Согласовать с застройщиком</w:t>
            </w:r>
            <w:r>
              <w:rPr>
                <w:rFonts w:ascii="Times New Roman" w:hAnsi="Times New Roman" w:cs="Times New Roman"/>
                <w:sz w:val="28"/>
                <w:szCs w:val="28"/>
              </w:rPr>
              <w:t xml:space="preserve"> предлагаемые к</w:t>
            </w:r>
            <w:r>
              <w:rPr>
                <w:rFonts w:ascii="Times New Roman" w:hAnsi="Times New Roman" w:cs="Times New Roman"/>
                <w:sz w:val="28"/>
                <w:szCs w:val="28"/>
              </w:rPr>
              <w:t xml:space="preserve"> </w:t>
            </w:r>
            <w:r>
              <w:rPr>
                <w:rFonts w:ascii="Times New Roman" w:hAnsi="Times New Roman" w:cs="Times New Roman"/>
                <w:sz w:val="28"/>
                <w:szCs w:val="28"/>
              </w:rPr>
              <w:t xml:space="preserve">использ</w:t>
            </w:r>
            <w:r>
              <w:rPr>
                <w:rFonts w:ascii="Times New Roman" w:hAnsi="Times New Roman" w:cs="Times New Roman"/>
                <w:sz w:val="28"/>
                <w:szCs w:val="28"/>
              </w:rPr>
              <w:t xml:space="preserve">ованию</w:t>
            </w:r>
            <w:r>
              <w:rPr>
                <w:rFonts w:ascii="Times New Roman" w:hAnsi="Times New Roman" w:cs="Times New Roman"/>
                <w:sz w:val="28"/>
                <w:szCs w:val="28"/>
              </w:rPr>
              <w:t xml:space="preserve"> отделочные </w:t>
            </w:r>
            <w:r>
              <w:rPr>
                <w:rFonts w:ascii="Times New Roman" w:hAnsi="Times New Roman" w:cs="Times New Roman"/>
                <w:sz w:val="28"/>
                <w:szCs w:val="28"/>
              </w:rPr>
              <w:t xml:space="preserve">материалы</w:t>
            </w:r>
            <w:r>
              <w:rPr>
                <w:rFonts w:ascii="Times New Roman" w:hAnsi="Times New Roman" w:cs="Times New Roman"/>
                <w:sz w:val="28"/>
                <w:szCs w:val="28"/>
              </w:rPr>
              <w:t xml:space="preserve"> и оборудование.</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Линолеум гомогенный, коммерческий с высокой </w:t>
            </w:r>
            <w:r>
              <w:rPr>
                <w:rFonts w:ascii="Times New Roman" w:hAnsi="Times New Roman" w:cs="Times New Roman"/>
                <w:sz w:val="28"/>
                <w:szCs w:val="28"/>
              </w:rPr>
              <w:t xml:space="preserve">износостойкостью</w:t>
            </w:r>
            <w:r>
              <w:rPr>
                <w:rFonts w:ascii="Times New Roman" w:hAnsi="Times New Roman" w:cs="Times New Roman"/>
                <w:sz w:val="28"/>
                <w:szCs w:val="28"/>
              </w:rPr>
              <w:t xml:space="preserve">. Плитка керамическая матовая для стен, напольная – керамогранит. Краска </w:t>
            </w:r>
            <w:r>
              <w:rPr>
                <w:rFonts w:ascii="Times New Roman" w:hAnsi="Times New Roman" w:cs="Times New Roman"/>
                <w:b/>
                <w:bCs/>
                <w:sz w:val="28"/>
                <w:szCs w:val="28"/>
              </w:rPr>
              <w:t xml:space="preserve">антивандальная</w:t>
            </w:r>
            <w:r>
              <w:rPr>
                <w:rFonts w:ascii="Times New Roman" w:hAnsi="Times New Roman" w:cs="Times New Roman"/>
                <w:sz w:val="28"/>
                <w:szCs w:val="28"/>
              </w:rPr>
              <w:t xml:space="preserve"> для медицинских учреждений, устойчивая к дезинфекционной обработке и мытью.</w:t>
            </w:r>
            <w:r>
              <w:rPr>
                <w:rFonts w:ascii="Times New Roman" w:hAnsi="Times New Roman" w:cs="Times New Roman"/>
                <w:sz w:val="28"/>
                <w:szCs w:val="28"/>
              </w:rPr>
              <w:t xml:space="preserve"> Потолки </w:t>
            </w:r>
            <w:r>
              <w:rPr>
                <w:rFonts w:ascii="Times New Roman" w:hAnsi="Times New Roman" w:cs="Times New Roman"/>
                <w:sz w:val="28"/>
                <w:szCs w:val="28"/>
              </w:rPr>
              <w:t xml:space="preserve">тип «Амстронг», разрешенные к применению в медицинских учреждениях.</w:t>
            </w:r>
            <w:r>
              <w:rPr>
                <w:rFonts w:ascii="Times New Roman" w:hAnsi="Times New Roman" w:cs="Times New Roman"/>
                <w:sz w:val="28"/>
                <w:szCs w:val="28"/>
              </w:rPr>
              <w:t xml:space="preserve"> Отбойники на стенах в кабинетах и коридорах, поручни. Двери для медицинских учреждений. Светильники светодиодные. </w:t>
            </w:r>
            <w:r>
              <w:rPr>
                <w:rFonts w:ascii="Times New Roman" w:hAnsi="Times New Roman" w:cs="Times New Roman"/>
                <w:sz w:val="28"/>
                <w:szCs w:val="28"/>
              </w:rPr>
              <w:t xml:space="preserve">Отопительные приборы,</w:t>
            </w:r>
            <w:r>
              <w:rPr>
                <w:rFonts w:ascii="Times New Roman" w:hAnsi="Times New Roman" w:cs="Times New Roman"/>
                <w:sz w:val="28"/>
                <w:szCs w:val="28"/>
              </w:rPr>
              <w:t xml:space="preserve"> применяемые в медицинских организациях.</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Применяемые материалы и оборудование, окончательные наименования определить в процессе проектирования в соответствии с </w:t>
            </w:r>
            <w:r>
              <w:rPr>
                <w:rFonts w:ascii="Times New Roman" w:hAnsi="Times New Roman" w:cs="Times New Roman"/>
                <w:sz w:val="28"/>
                <w:szCs w:val="28"/>
              </w:rPr>
              <w:t xml:space="preserve">действую</w:t>
            </w:r>
            <w:r>
              <w:rPr>
                <w:rFonts w:ascii="Times New Roman" w:hAnsi="Times New Roman" w:cs="Times New Roman"/>
                <w:sz w:val="28"/>
                <w:szCs w:val="28"/>
              </w:rPr>
              <w:t xml:space="preserve">щими нормативными актами и согласовать с з</w:t>
            </w:r>
            <w:r>
              <w:rPr>
                <w:rFonts w:ascii="Times New Roman" w:hAnsi="Times New Roman" w:cs="Times New Roman"/>
                <w:sz w:val="28"/>
                <w:szCs w:val="28"/>
              </w:rPr>
              <w:t xml:space="preserve">аказчиком</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Все применяемые материалы должны быть высококачественные, </w:t>
            </w:r>
            <w:r>
              <w:rPr>
                <w:rFonts w:ascii="Times New Roman" w:hAnsi="Times New Roman" w:cs="Times New Roman"/>
                <w:sz w:val="28"/>
                <w:szCs w:val="28"/>
              </w:rPr>
              <w:t xml:space="preserve">износоустойчивыми</w:t>
            </w:r>
            <w:r>
              <w:rPr>
                <w:rFonts w:ascii="Times New Roman" w:hAnsi="Times New Roman" w:cs="Times New Roman"/>
                <w:sz w:val="28"/>
                <w:szCs w:val="28"/>
              </w:rPr>
              <w:t xml:space="preserve">, экологически чистыми.</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Предполагаемые к применению материалы и оборудование, окончательные наименования определить в процессе проектирования в </w:t>
            </w:r>
            <w:r>
              <w:rPr>
                <w:rFonts w:ascii="Times New Roman" w:hAnsi="Times New Roman" w:cs="Times New Roman"/>
                <w:sz w:val="28"/>
                <w:szCs w:val="28"/>
              </w:rPr>
              <w:t xml:space="preserve">соответствии</w:t>
            </w:r>
            <w:r>
              <w:rPr>
                <w:rFonts w:ascii="Times New Roman" w:hAnsi="Times New Roman" w:cs="Times New Roman"/>
                <w:sz w:val="28"/>
                <w:szCs w:val="28"/>
              </w:rPr>
              <w:t xml:space="preserve"> с действующими </w:t>
            </w:r>
            <w:r>
              <w:rPr>
                <w:rFonts w:ascii="Times New Roman" w:hAnsi="Times New Roman" w:cs="Times New Roman"/>
                <w:sz w:val="28"/>
                <w:szCs w:val="28"/>
              </w:rPr>
              <w:t xml:space="preserve">нормативными</w:t>
            </w:r>
            <w:r>
              <w:rPr>
                <w:rFonts w:ascii="Times New Roman" w:hAnsi="Times New Roman" w:cs="Times New Roman"/>
                <w:sz w:val="28"/>
                <w:szCs w:val="28"/>
              </w:rPr>
              <w:t xml:space="preserve"> документами и согласовать с за</w:t>
            </w:r>
            <w:r>
              <w:rPr>
                <w:rFonts w:ascii="Times New Roman" w:hAnsi="Times New Roman" w:cs="Times New Roman"/>
                <w:sz w:val="28"/>
                <w:szCs w:val="28"/>
              </w:rPr>
              <w:t xml:space="preserve">с</w:t>
            </w:r>
            <w:r>
              <w:rPr>
                <w:rFonts w:ascii="Times New Roman" w:hAnsi="Times New Roman" w:cs="Times New Roman"/>
                <w:sz w:val="28"/>
                <w:szCs w:val="28"/>
              </w:rPr>
              <w:t xml:space="preserve">тройщиком.</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строительным конструкциям </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Необходимые мероприятия определить в </w:t>
            </w:r>
            <w:r>
              <w:rPr>
                <w:rFonts w:ascii="Times New Roman" w:hAnsi="Times New Roman" w:cs="Times New Roman"/>
                <w:sz w:val="28"/>
                <w:szCs w:val="28"/>
              </w:rPr>
              <w:t xml:space="preserve">соответствии</w:t>
            </w:r>
            <w:r>
              <w:rPr>
                <w:rFonts w:ascii="Times New Roman" w:hAnsi="Times New Roman" w:cs="Times New Roman"/>
                <w:sz w:val="28"/>
                <w:szCs w:val="28"/>
              </w:rPr>
              <w:t xml:space="preserve"> с результатами технического обследования объекта. При необходимости предусмотреть замену отдельных </w:t>
            </w:r>
            <w:r>
              <w:rPr>
                <w:rFonts w:ascii="Times New Roman" w:hAnsi="Times New Roman" w:cs="Times New Roman"/>
                <w:sz w:val="28"/>
                <w:szCs w:val="28"/>
              </w:rPr>
              <w:t xml:space="preserve">элементов</w:t>
            </w:r>
            <w:r>
              <w:rPr>
                <w:rFonts w:ascii="Times New Roman" w:hAnsi="Times New Roman" w:cs="Times New Roman"/>
                <w:sz w:val="28"/>
                <w:szCs w:val="28"/>
              </w:rPr>
              <w:t xml:space="preserve"> несущих строительных </w:t>
            </w:r>
            <w:r>
              <w:rPr>
                <w:rFonts w:ascii="Times New Roman" w:hAnsi="Times New Roman" w:cs="Times New Roman"/>
                <w:sz w:val="28"/>
                <w:szCs w:val="28"/>
              </w:rPr>
              <w:t xml:space="preserve">конструкций</w:t>
            </w:r>
            <w:r>
              <w:rPr>
                <w:rFonts w:ascii="Times New Roman" w:hAnsi="Times New Roman" w:cs="Times New Roman"/>
                <w:sz w:val="28"/>
                <w:szCs w:val="28"/>
              </w:rPr>
              <w:t xml:space="preserve"> на аналогичные или</w:t>
            </w:r>
            <w:r>
              <w:rPr>
                <w:rFonts w:ascii="Times New Roman" w:hAnsi="Times New Roman" w:cs="Times New Roman"/>
                <w:sz w:val="28"/>
                <w:szCs w:val="28"/>
              </w:rPr>
              <w:t xml:space="preserve"> </w:t>
            </w:r>
            <w:r>
              <w:rPr>
                <w:rFonts w:ascii="Times New Roman" w:hAnsi="Times New Roman" w:cs="Times New Roman"/>
                <w:sz w:val="28"/>
                <w:szCs w:val="28"/>
              </w:rPr>
              <w:t xml:space="preserve">иные улучшающие показатели таких ко</w:t>
            </w:r>
            <w:r>
              <w:rPr>
                <w:rFonts w:ascii="Times New Roman" w:hAnsi="Times New Roman" w:cs="Times New Roman"/>
                <w:sz w:val="28"/>
                <w:szCs w:val="28"/>
              </w:rPr>
              <w:t xml:space="preserve">н</w:t>
            </w:r>
            <w:r>
              <w:rPr>
                <w:rFonts w:ascii="Times New Roman" w:hAnsi="Times New Roman" w:cs="Times New Roman"/>
                <w:sz w:val="28"/>
                <w:szCs w:val="28"/>
              </w:rPr>
              <w:t xml:space="preserve">струкци</w:t>
            </w:r>
            <w:r>
              <w:rPr>
                <w:rFonts w:ascii="Times New Roman" w:hAnsi="Times New Roman" w:cs="Times New Roman"/>
                <w:sz w:val="28"/>
                <w:szCs w:val="28"/>
              </w:rPr>
              <w:t xml:space="preserve">й</w:t>
            </w:r>
            <w:r>
              <w:rPr>
                <w:rFonts w:ascii="Times New Roman" w:hAnsi="Times New Roman" w:cs="Times New Roman"/>
                <w:sz w:val="28"/>
                <w:szCs w:val="28"/>
              </w:rPr>
              <w:t xml:space="preserve"> </w:t>
            </w:r>
            <w:r>
              <w:rPr>
                <w:rFonts w:ascii="Times New Roman" w:hAnsi="Times New Roman" w:cs="Times New Roman"/>
                <w:sz w:val="28"/>
                <w:szCs w:val="28"/>
              </w:rPr>
              <w:t xml:space="preserve">элементы</w:t>
            </w:r>
            <w:r>
              <w:rPr>
                <w:rFonts w:ascii="Times New Roman" w:hAnsi="Times New Roman" w:cs="Times New Roman"/>
                <w:sz w:val="28"/>
                <w:szCs w:val="28"/>
              </w:rPr>
              <w:t xml:space="preserve"> и восстановление указанных элементов.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внутренним стенам и перегородкам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Определить по результатам проведенного </w:t>
            </w:r>
            <w:r>
              <w:rPr>
                <w:rFonts w:ascii="Times New Roman" w:hAnsi="Times New Roman" w:cs="Times New Roman"/>
                <w:sz w:val="28"/>
                <w:szCs w:val="28"/>
              </w:rPr>
              <w:t xml:space="preserve">технического </w:t>
            </w:r>
            <w:r>
              <w:rPr>
                <w:rFonts w:ascii="Times New Roman" w:hAnsi="Times New Roman" w:cs="Times New Roman"/>
                <w:sz w:val="28"/>
                <w:szCs w:val="28"/>
              </w:rPr>
              <w:t xml:space="preserve">обследования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14.</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полам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Гомогенный линолеум</w:t>
            </w:r>
            <w:r>
              <w:rPr>
                <w:rFonts w:ascii="Times New Roman" w:hAnsi="Times New Roman" w:cs="Times New Roman"/>
                <w:sz w:val="28"/>
                <w:szCs w:val="28"/>
              </w:rPr>
              <w:t xml:space="preserve"> износоуснойчивый</w:t>
            </w:r>
            <w:r>
              <w:rPr>
                <w:rFonts w:ascii="Times New Roman" w:hAnsi="Times New Roman" w:cs="Times New Roman"/>
                <w:sz w:val="28"/>
                <w:szCs w:val="28"/>
              </w:rPr>
              <w:t xml:space="preserve">, керамогранит</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15.</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витражам, окнам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З</w:t>
            </w:r>
            <w:r>
              <w:rPr>
                <w:rFonts w:ascii="Times New Roman" w:hAnsi="Times New Roman" w:cs="Times New Roman"/>
                <w:sz w:val="28"/>
                <w:szCs w:val="28"/>
              </w:rPr>
              <w:t xml:space="preserve">амена</w:t>
            </w:r>
            <w:r>
              <w:rPr>
                <w:rFonts w:ascii="Times New Roman" w:hAnsi="Times New Roman" w:cs="Times New Roman"/>
                <w:sz w:val="28"/>
                <w:szCs w:val="28"/>
              </w:rPr>
              <w:t xml:space="preserve"> или установка внутренних оконных блоков ПВХ</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16.</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дверям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З</w:t>
            </w:r>
            <w:r>
              <w:rPr>
                <w:rFonts w:ascii="Times New Roman" w:hAnsi="Times New Roman" w:cs="Times New Roman"/>
                <w:sz w:val="28"/>
                <w:szCs w:val="28"/>
              </w:rPr>
              <w:t xml:space="preserve">амена</w:t>
            </w:r>
            <w:r>
              <w:rPr>
                <w:rFonts w:ascii="Times New Roman" w:hAnsi="Times New Roman" w:cs="Times New Roman"/>
                <w:sz w:val="28"/>
                <w:szCs w:val="28"/>
              </w:rPr>
              <w:t xml:space="preserve">, входные </w:t>
            </w:r>
            <w:r>
              <w:rPr>
                <w:rFonts w:ascii="Times New Roman" w:hAnsi="Times New Roman" w:cs="Times New Roman"/>
                <w:sz w:val="28"/>
                <w:szCs w:val="28"/>
                <w:lang w:val="en-US"/>
              </w:rPr>
              <w:t xml:space="preserve">AL</w:t>
            </w:r>
            <w:r>
              <w:rPr>
                <w:rFonts w:ascii="Times New Roman" w:hAnsi="Times New Roman" w:cs="Times New Roman"/>
                <w:sz w:val="28"/>
                <w:szCs w:val="28"/>
              </w:rPr>
              <w:t xml:space="preserve"> «теплый», внутренние двери медицинские</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17.</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внутренней отделке</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Применяемые в медицинских учреждения, наличие сертификатов соответствия</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Антивандальная краска, керамическая плитка, </w:t>
            </w:r>
            <w:r>
              <w:rPr>
                <w:rFonts w:ascii="Times New Roman" w:hAnsi="Times New Roman" w:cs="Times New Roman"/>
                <w:sz w:val="28"/>
                <w:szCs w:val="28"/>
              </w:rPr>
              <w:t xml:space="preserve">отбойники</w:t>
            </w:r>
            <w:r>
              <w:rPr>
                <w:rFonts w:ascii="Times New Roman" w:hAnsi="Times New Roman" w:cs="Times New Roman"/>
                <w:sz w:val="28"/>
                <w:szCs w:val="28"/>
              </w:rPr>
              <w:t xml:space="preserve"> ПВХ и поручни ПВХ</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18.</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обеспечению </w:t>
            </w:r>
            <w:r>
              <w:rPr>
                <w:rFonts w:ascii="Times New Roman" w:hAnsi="Times New Roman" w:cs="Times New Roman"/>
                <w:sz w:val="28"/>
                <w:szCs w:val="28"/>
              </w:rPr>
              <w:t xml:space="preserve">б</w:t>
            </w:r>
            <w:r>
              <w:rPr>
                <w:rFonts w:ascii="Times New Roman" w:hAnsi="Times New Roman" w:cs="Times New Roman"/>
                <w:sz w:val="28"/>
                <w:szCs w:val="28"/>
              </w:rPr>
              <w:t xml:space="preserve">езопасности объекта</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Не требуется</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c>
          <w:tcPr>
            <w:gridSpan w:val="2"/>
            <w:tcW w:w="957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w:t>
            </w:r>
            <w:r>
              <w:rPr>
                <w:rFonts w:ascii="Times New Roman" w:hAnsi="Times New Roman" w:cs="Times New Roman"/>
                <w:sz w:val="28"/>
                <w:szCs w:val="28"/>
              </w:rPr>
              <w:t xml:space="preserve">инженерно</w:t>
            </w:r>
            <w:r>
              <w:rPr>
                <w:rFonts w:ascii="Times New Roman" w:hAnsi="Times New Roman" w:cs="Times New Roman"/>
                <w:sz w:val="28"/>
                <w:szCs w:val="28"/>
              </w:rPr>
              <w:t xml:space="preserve">-техническим решениям</w:t>
            </w:r>
            <w:r>
              <w:rPr>
                <w:rFonts w:ascii="Times New Roman" w:hAnsi="Times New Roman" w:cs="Times New Roman"/>
                <w:sz w:val="28"/>
                <w:szCs w:val="28"/>
              </w:rPr>
            </w:r>
            <w:r>
              <w:rPr>
                <w:rFonts w:ascii="Times New Roman" w:hAnsi="Times New Roman" w:cs="Times New Roman"/>
                <w:sz w:val="28"/>
                <w:szCs w:val="28"/>
              </w:rPr>
            </w:r>
          </w:p>
        </w:tc>
      </w:tr>
      <w:tr>
        <w:tblPrEx/>
        <w:trPr>
          <w:trHeight w:val="681"/>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19.</w:t>
            </w:r>
            <w:r>
              <w:rPr>
                <w:rFonts w:ascii="Times New Roman" w:hAnsi="Times New Roman" w:cs="Times New Roman"/>
                <w:sz w:val="28"/>
                <w:szCs w:val="28"/>
              </w:rPr>
            </w:r>
            <w:r>
              <w:rPr>
                <w:rFonts w:ascii="Times New Roman" w:hAnsi="Times New Roman" w:cs="Times New Roman"/>
                <w:sz w:val="28"/>
                <w:szCs w:val="28"/>
              </w:rPr>
            </w:r>
          </w:p>
        </w:tc>
        <w:tc>
          <w:tcPr>
            <w:gridSpan w:val="2"/>
            <w:tcW w:w="9576"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w:t>
            </w:r>
            <w:r>
              <w:rPr>
                <w:rFonts w:ascii="Times New Roman" w:hAnsi="Times New Roman" w:cs="Times New Roman"/>
                <w:sz w:val="28"/>
                <w:szCs w:val="28"/>
              </w:rPr>
              <w:t xml:space="preserve">н</w:t>
            </w:r>
            <w:r>
              <w:rPr>
                <w:rFonts w:ascii="Times New Roman" w:hAnsi="Times New Roman" w:cs="Times New Roman"/>
                <w:sz w:val="28"/>
                <w:szCs w:val="28"/>
              </w:rPr>
              <w:t xml:space="preserve">овлено требование о выборе оборудования на основании те</w:t>
            </w:r>
            <w:r>
              <w:rPr>
                <w:rFonts w:ascii="Times New Roman" w:hAnsi="Times New Roman" w:cs="Times New Roman"/>
                <w:sz w:val="28"/>
                <w:szCs w:val="28"/>
              </w:rPr>
              <w:t xml:space="preserve">х</w:t>
            </w:r>
            <w:r>
              <w:rPr>
                <w:rFonts w:ascii="Times New Roman" w:hAnsi="Times New Roman" w:cs="Times New Roman"/>
                <w:sz w:val="28"/>
                <w:szCs w:val="28"/>
              </w:rPr>
              <w:t xml:space="preserve">нико-экономических расчетов, технико-экономичес</w:t>
            </w:r>
            <w:r>
              <w:rPr>
                <w:rFonts w:ascii="Times New Roman" w:hAnsi="Times New Roman" w:cs="Times New Roman"/>
                <w:sz w:val="28"/>
                <w:szCs w:val="28"/>
              </w:rPr>
              <w:t xml:space="preserve">к</w:t>
            </w:r>
            <w:r>
              <w:rPr>
                <w:rFonts w:ascii="Times New Roman" w:hAnsi="Times New Roman" w:cs="Times New Roman"/>
                <w:sz w:val="28"/>
                <w:szCs w:val="28"/>
              </w:rPr>
              <w:t xml:space="preserve">ого сравнения вариантов)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20.</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Отопление</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Вентиляция</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Приточно-вытяжная вентиляция и кондиционирование воздуха</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Водопровод</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замена</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Канали</w:t>
            </w:r>
            <w:r>
              <w:rPr>
                <w:rFonts w:ascii="Times New Roman" w:hAnsi="Times New Roman" w:cs="Times New Roman"/>
                <w:sz w:val="28"/>
                <w:szCs w:val="28"/>
              </w:rPr>
              <w:t xml:space="preserve">з</w:t>
            </w:r>
            <w:r>
              <w:rPr>
                <w:rFonts w:ascii="Times New Roman" w:hAnsi="Times New Roman" w:cs="Times New Roman"/>
                <w:sz w:val="28"/>
                <w:szCs w:val="28"/>
              </w:rPr>
              <w:t xml:space="preserve">ация</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замена</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Электроснабжение</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Предусмотреть заземление в кабинетах функциональной диагностики в соответствии с требованиями к медицинскому оборудованию, которое в них будет установлено</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5</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Информационно-телекоммуникационная сеть «Интернет»</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требуется</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Иные сети инженерно-технического </w:t>
            </w:r>
            <w:r>
              <w:rPr>
                <w:rFonts w:ascii="Times New Roman" w:hAnsi="Times New Roman" w:cs="Times New Roman"/>
                <w:sz w:val="28"/>
                <w:szCs w:val="28"/>
              </w:rPr>
              <w:t xml:space="preserve">обеспечения</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Слаботочные сети</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7</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мероприятиям по обеспечению пожарной безопасности</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Проектом предусмотреть автоматическую пожарную сигнализацию и систему оповещения эвакуации при пожаре</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8</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Не требуется</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9</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мероприятиям по обеспечению доступа инвалидов к объекту</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Предусмотреть проектом</w:t>
            </w:r>
            <w:r>
              <w:rPr>
                <w:rFonts w:ascii="Times New Roman" w:hAnsi="Times New Roman" w:cs="Times New Roman"/>
                <w:sz w:val="28"/>
                <w:szCs w:val="28"/>
              </w:rPr>
              <w:t xml:space="preserve"> в соответствии с требованиями нормативных документов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30</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инженерно-техническому укреплению объекта в целях обеспечения его антитеррористической защищенности</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Не требуется</w:t>
            </w:r>
            <w:r>
              <w:rPr>
                <w:rFonts w:ascii="Times New Roman" w:hAnsi="Times New Roman" w:cs="Times New Roman"/>
                <w:sz w:val="28"/>
                <w:szCs w:val="28"/>
              </w:rPr>
            </w:r>
            <w:r>
              <w:rPr>
                <w:rFonts w:ascii="Times New Roman" w:hAnsi="Times New Roman" w:cs="Times New Roman"/>
                <w:sz w:val="28"/>
                <w:szCs w:val="28"/>
              </w:rPr>
            </w:r>
          </w:p>
        </w:tc>
      </w:tr>
      <w:tr>
        <w:tblPrEx/>
        <w:trPr/>
        <w:tc>
          <w:tcPr>
            <w:gridSpan w:val="3"/>
            <w:tcW w:w="10632" w:type="dxa"/>
            <w:textDirection w:val="lrTb"/>
            <w:noWrap w:val="false"/>
          </w:tcPr>
          <w:p>
            <w:pPr>
              <w:pStyle w:val="1040"/>
              <w:numPr>
                <w:ilvl w:val="0"/>
                <w:numId w:val="43"/>
              </w:num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проектным решениям</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1</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Правительства Российской Федерации от 16 февраля 2008 г. № 87 «О составе разделов проектной документации и требованиях к их содержанию».</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2</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к подготовке сметной документации</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Сметная документация на выборочный капитальный должна содержать:</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Том 1: Локальные сметные расчеты</w:t>
            </w:r>
            <w:r>
              <w:rPr>
                <w:rFonts w:ascii="Times New Roman" w:hAnsi="Times New Roman" w:cs="Times New Roman"/>
                <w:sz w:val="28"/>
                <w:szCs w:val="28"/>
              </w:rPr>
              <w:t xml:space="preserve"> (локальные сметы).</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Том 2:</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Том 3: Ведомости объемов.</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t xml:space="preserve">Сметную стоимость проектных работ составить </w:t>
            </w:r>
            <w:r>
              <w:rPr>
                <w:rFonts w:ascii="Times New Roman" w:hAnsi="Times New Roman" w:cs="Times New Roman"/>
                <w:sz w:val="28"/>
                <w:szCs w:val="28"/>
              </w:rPr>
              <w:t xml:space="preserve">ресурсно-индексным методом в текущем уровне цен включенных в федеральный реестр</w:t>
            </w:r>
            <w:r>
              <w:rPr>
                <w:rFonts w:ascii="Times New Roman" w:hAnsi="Times New Roman" w:cs="Times New Roman"/>
                <w:sz w:val="28"/>
                <w:szCs w:val="28"/>
              </w:rPr>
              <w:t xml:space="preserve"> с</w:t>
            </w:r>
            <w:r>
              <w:rPr>
                <w:rFonts w:ascii="Times New Roman" w:hAnsi="Times New Roman" w:cs="Times New Roman"/>
                <w:sz w:val="28"/>
                <w:szCs w:val="28"/>
              </w:rPr>
              <w:t xml:space="preserve">метных нормативов</w:t>
            </w:r>
            <w:r>
              <w:rPr>
                <w:rFonts w:ascii="Times New Roman" w:hAnsi="Times New Roman" w:cs="Times New Roman"/>
                <w:sz w:val="28"/>
                <w:szCs w:val="28"/>
              </w:rPr>
              <w:t xml:space="preserve"> и размещенных в федеральной государственной системе ценообразования в строительстве</w:t>
            </w:r>
            <w:r>
              <w:rPr>
                <w:rFonts w:ascii="Times New Roman" w:hAnsi="Times New Roman" w:cs="Times New Roman"/>
                <w:sz w:val="28"/>
                <w:szCs w:val="28"/>
              </w:rPr>
              <w:t xml:space="preserve">, утвержденные Минстроем России.</w:t>
            </w: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color w:val="ff0000"/>
                <w:sz w:val="28"/>
                <w:szCs w:val="28"/>
                <w:shd w:val="clear" w:color="auto" w:fill="f3f4f4"/>
              </w:rPr>
            </w:pPr>
            <w:r>
              <w:rPr>
                <w:rFonts w:ascii="Times New Roman" w:hAnsi="Times New Roman" w:cs="Times New Roman"/>
                <w:color w:val="000000" w:themeColor="text1"/>
                <w:sz w:val="28"/>
                <w:szCs w:val="28"/>
                <w:shd w:val="clear" w:color="auto" w:fill="f3f4f4"/>
              </w:rPr>
              <w:t xml:space="preserve">П</w:t>
            </w:r>
            <w:r>
              <w:rPr>
                <w:rFonts w:ascii="Times New Roman" w:hAnsi="Times New Roman" w:cs="Times New Roman"/>
                <w:color w:val="000000" w:themeColor="text1"/>
                <w:sz w:val="28"/>
                <w:szCs w:val="28"/>
                <w:shd w:val="clear" w:color="auto" w:fill="f3f4f4"/>
              </w:rPr>
              <w:t xml:space="preserve">риказа Минстроя России от 30.12.</w:t>
            </w:r>
            <w:r>
              <w:rPr>
                <w:rStyle w:val="1083"/>
                <w:rFonts w:ascii="Times New Roman" w:hAnsi="Times New Roman" w:cs="Times New Roman"/>
                <w:color w:val="000000" w:themeColor="text1"/>
                <w:sz w:val="28"/>
                <w:szCs w:val="28"/>
              </w:rPr>
              <w:t xml:space="preserve">2021 1046</w:t>
            </w:r>
            <w:r>
              <w:rPr>
                <w:rFonts w:ascii="Times New Roman" w:hAnsi="Times New Roman" w:cs="Times New Roman"/>
                <w:color w:val="000000" w:themeColor="text1"/>
                <w:sz w:val="28"/>
                <w:szCs w:val="28"/>
                <w:shd w:val="clear" w:color="auto" w:fill="f3f4f4"/>
              </w:rPr>
              <w:t xml:space="preserve">/пр ФСНБ-2022</w:t>
            </w:r>
            <w:r>
              <w:rPr>
                <w:rFonts w:ascii="Times New Roman" w:hAnsi="Times New Roman" w:cs="Times New Roman"/>
                <w:color w:val="ff0000"/>
                <w:sz w:val="28"/>
                <w:szCs w:val="28"/>
                <w:shd w:val="clear" w:color="auto" w:fill="f3f4f4"/>
              </w:rPr>
            </w:r>
            <w:r>
              <w:rPr>
                <w:rFonts w:ascii="Times New Roman" w:hAnsi="Times New Roman" w:cs="Times New Roman"/>
                <w:color w:val="ff0000"/>
                <w:sz w:val="28"/>
                <w:szCs w:val="28"/>
                <w:shd w:val="clear" w:color="auto" w:fill="f3f4f4"/>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Требования о </w:t>
            </w:r>
            <w:r>
              <w:rPr>
                <w:rFonts w:ascii="Times New Roman" w:hAnsi="Times New Roman" w:cs="Times New Roman"/>
                <w:sz w:val="28"/>
                <w:szCs w:val="28"/>
              </w:rPr>
              <w:t xml:space="preserve">подготовке</w:t>
            </w:r>
            <w:r>
              <w:rPr>
                <w:rFonts w:ascii="Times New Roman" w:hAnsi="Times New Roman" w:cs="Times New Roman"/>
                <w:sz w:val="28"/>
                <w:szCs w:val="28"/>
              </w:rPr>
              <w:t xml:space="preserve"> проектной документации, содержащей материалы в форме </w:t>
            </w:r>
            <w:r>
              <w:rPr>
                <w:rFonts w:ascii="Times New Roman" w:hAnsi="Times New Roman" w:cs="Times New Roman"/>
                <w:sz w:val="28"/>
                <w:szCs w:val="28"/>
              </w:rPr>
              <w:t xml:space="preserve">информационной</w:t>
            </w:r>
            <w:r>
              <w:rPr>
                <w:rFonts w:ascii="Times New Roman" w:hAnsi="Times New Roman" w:cs="Times New Roman"/>
                <w:sz w:val="28"/>
                <w:szCs w:val="28"/>
              </w:rPr>
              <w:t xml:space="preserve"> модели</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Не требуется</w:t>
            </w:r>
            <w:r>
              <w:rPr>
                <w:rFonts w:ascii="Times New Roman" w:hAnsi="Times New Roman" w:cs="Times New Roman"/>
                <w:sz w:val="28"/>
                <w:szCs w:val="28"/>
              </w:rPr>
            </w:r>
            <w:r>
              <w:rPr>
                <w:rFonts w:ascii="Times New Roman" w:hAnsi="Times New Roman" w:cs="Times New Roman"/>
                <w:sz w:val="28"/>
                <w:szCs w:val="28"/>
              </w:rPr>
            </w:r>
          </w:p>
        </w:tc>
      </w:tr>
      <w:tr>
        <w:tblPrEx/>
        <w:trPr/>
        <w:tc>
          <w:tcPr>
            <w:tcW w:w="1056"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3171" w:type="dxa"/>
            <w:textDirection w:val="lrTb"/>
            <w:noWrap w:val="false"/>
          </w:tcPr>
          <w:p>
            <w:pPr>
              <w:jc w:val="center"/>
              <w:rPr>
                <w:rFonts w:ascii="Times New Roman" w:hAnsi="Times New Roman" w:cs="Times New Roman"/>
                <w:sz w:val="28"/>
                <w:szCs w:val="28"/>
              </w:rPr>
            </w:pPr>
            <w:r>
              <w:rPr>
                <w:rFonts w:ascii="Times New Roman" w:hAnsi="Times New Roman" w:cs="Times New Roman"/>
                <w:sz w:val="28"/>
                <w:szCs w:val="28"/>
              </w:rPr>
              <w:t xml:space="preserve">Прочие дополнительные </w:t>
            </w:r>
            <w:r>
              <w:rPr>
                <w:rFonts w:ascii="Times New Roman" w:hAnsi="Times New Roman" w:cs="Times New Roman"/>
                <w:sz w:val="28"/>
                <w:szCs w:val="28"/>
              </w:rPr>
              <w:t xml:space="preserve">требования</w:t>
            </w:r>
            <w:r>
              <w:rPr>
                <w:rFonts w:ascii="Times New Roman" w:hAnsi="Times New Roman" w:cs="Times New Roman"/>
                <w:sz w:val="28"/>
                <w:szCs w:val="28"/>
              </w:rPr>
              <w:t xml:space="preserve"> и указания, конкретизирующие объем проектных работ</w:t>
            </w:r>
            <w:r>
              <w:rPr>
                <w:rFonts w:ascii="Times New Roman" w:hAnsi="Times New Roman" w:cs="Times New Roman"/>
                <w:sz w:val="28"/>
                <w:szCs w:val="28"/>
              </w:rPr>
            </w:r>
            <w:r>
              <w:rPr>
                <w:rFonts w:ascii="Times New Roman" w:hAnsi="Times New Roman" w:cs="Times New Roman"/>
                <w:sz w:val="28"/>
                <w:szCs w:val="28"/>
              </w:rPr>
            </w:r>
          </w:p>
        </w:tc>
        <w:tc>
          <w:tcPr>
            <w:tcW w:w="6405"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отсутствуют</w:t>
            </w:r>
            <w:r>
              <w:rPr>
                <w:rFonts w:ascii="Times New Roman" w:hAnsi="Times New Roman" w:cs="Times New Roman"/>
                <w:sz w:val="28"/>
                <w:szCs w:val="28"/>
              </w:rPr>
            </w:r>
            <w:r>
              <w:rPr>
                <w:rFonts w:ascii="Times New Roman" w:hAnsi="Times New Roman" w:cs="Times New Roman"/>
                <w:sz w:val="28"/>
                <w:szCs w:val="28"/>
              </w:rPr>
            </w:r>
          </w:p>
        </w:tc>
      </w:tr>
    </w:tbl>
    <w:p>
      <w:pPr>
        <w:jc w:val="center"/>
        <w:spacing w:after="200" w:line="276" w:lineRule="auto"/>
        <w:rPr>
          <w:rFonts w:eastAsia="Calibri"/>
          <w:b/>
          <w:bCs/>
          <w:lang w:eastAsia="en-US"/>
        </w:rPr>
      </w:pPr>
      <w:r>
        <w:rPr>
          <w:rFonts w:eastAsia="Calibri"/>
          <w:b/>
          <w:lang w:eastAsia="en-US"/>
        </w:rPr>
      </w:r>
      <w:r>
        <w:rPr>
          <w:rFonts w:eastAsia="Calibri"/>
          <w:b/>
          <w:bCs/>
          <w:lang w:eastAsia="en-US"/>
        </w:rPr>
      </w:r>
      <w:r>
        <w:rPr>
          <w:rFonts w:eastAsia="Calibri"/>
          <w:b/>
          <w:bCs/>
          <w:lang w:eastAsia="en-US"/>
        </w:rPr>
      </w:r>
    </w:p>
    <w:sectPr>
      <w:headerReference w:type="default" r:id="rId9"/>
      <w:headerReference w:type="even" r:id="rId10"/>
      <w:headerReference w:type="first" r:id="rId11"/>
      <w:footerReference w:type="default" r:id="rId12"/>
      <w:footerReference w:type="even" r:id="rId13"/>
      <w:footnotePr/>
      <w:endnotePr/>
      <w:type w:val="nextPage"/>
      <w:pgSz w:w="11905" w:h="16838" w:orient="portrait"/>
      <w:pgMar w:top="820" w:right="1699" w:bottom="1134" w:left="1134" w:header="284"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6020204020204"/>
  </w:font>
  <w:font w:name="Symbol">
    <w:panose1 w:val="05050102010706020507"/>
  </w:font>
  <w:font w:name="Wingdings">
    <w:panose1 w:val="05000000000000000000"/>
  </w:font>
  <w:font w:name="Times New Roman">
    <w:panose1 w:val="02020603050405020304"/>
  </w:font>
  <w:font w:name="Calibri">
    <w:panose1 w:val="020F0502020204030204"/>
  </w:font>
  <w:font w:name="MS Mincho">
    <w:panose1 w:val="02020503050405090304"/>
  </w:font>
  <w:font w:name="Tahoma">
    <w:panose1 w:val="020B0604030504040204"/>
  </w:font>
  <w:font w:name="Courier New">
    <w:panose1 w:val="02070309020205020404"/>
  </w:font>
  <w:font w:name="Calibri Light">
    <w:panose1 w:val="020F030202020403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01970892"/>
      <w:docPartObj>
        <w:docPartGallery w:val="Page Numbers (Bottom of Page)"/>
        <w:docPartUnique w:val="true"/>
      </w:docPartObj>
      <w:rPr/>
    </w:sdtPr>
    <w:sdtContent>
      <w:p>
        <w:pPr>
          <w:pStyle w:val="1026"/>
          <w:jc w:val="right"/>
        </w:pPr>
        <w:r>
          <w:fldChar w:fldCharType="begin"/>
        </w:r>
        <w:r>
          <w:instrText xml:space="preserve">PAGE   \* MERGEFORMAT</w:instrText>
        </w:r>
        <w:r>
          <w:fldChar w:fldCharType="separate"/>
        </w:r>
        <w:r>
          <w:t xml:space="preserve">10</w:t>
        </w:r>
        <w:r>
          <w:fldChar w:fldCharType="end"/>
        </w:r>
        <w:r/>
      </w:p>
    </w:sdtContent>
  </w:sdt>
  <w:p>
    <w:pPr>
      <w:pStyle w:val="102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6"/>
      <w:rPr>
        <w:rStyle w:val="1038"/>
      </w:rPr>
      <w:framePr w:wrap="around" w:vAnchor="text" w:hAnchor="margin" w:xAlign="right" w:y="1"/>
    </w:pPr>
    <w:r>
      <w:rPr>
        <w:rStyle w:val="1038"/>
      </w:rPr>
      <w:fldChar w:fldCharType="begin"/>
    </w:r>
    <w:r>
      <w:rPr>
        <w:rStyle w:val="1038"/>
      </w:rPr>
      <w:instrText xml:space="preserve">PAGE  </w:instrText>
    </w:r>
    <w:r>
      <w:rPr>
        <w:rStyle w:val="1038"/>
      </w:rPr>
      <w:fldChar w:fldCharType="end"/>
    </w:r>
    <w:r>
      <w:rPr>
        <w:rStyle w:val="1038"/>
      </w:rPr>
    </w:r>
    <w:r>
      <w:rPr>
        <w:rStyle w:val="1038"/>
      </w:rPr>
    </w:r>
  </w:p>
  <w:p>
    <w:pPr>
      <w:pStyle w:val="1026"/>
      <w:ind w:right="360"/>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jc w:val="right"/>
      <w:rPr>
        <w:i/>
      </w:rPr>
    </w:pPr>
    <w:r>
      <w:rPr>
        <w:i/>
      </w:rPr>
      <w:t xml:space="preserve">Приложение закупочной сессии</w:t>
    </w:r>
    <w:r>
      <w:rPr>
        <w:i/>
      </w:rPr>
    </w:r>
    <w:r>
      <w:rPr>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rPr>
        <w:rStyle w:val="1038"/>
      </w:rPr>
      <w:framePr w:wrap="around" w:vAnchor="text" w:hAnchor="margin" w:xAlign="center" w:y="1"/>
    </w:pPr>
    <w:r>
      <w:rPr>
        <w:rStyle w:val="1038"/>
      </w:rPr>
      <w:fldChar w:fldCharType="begin"/>
    </w:r>
    <w:r>
      <w:rPr>
        <w:rStyle w:val="1038"/>
      </w:rPr>
      <w:instrText xml:space="preserve">PAGE  </w:instrText>
    </w:r>
    <w:r>
      <w:rPr>
        <w:rStyle w:val="1038"/>
      </w:rPr>
      <w:fldChar w:fldCharType="end"/>
    </w:r>
    <w:r>
      <w:rPr>
        <w:rStyle w:val="1038"/>
      </w:rPr>
    </w:r>
    <w:r>
      <w:rPr>
        <w:rStyle w:val="1038"/>
      </w:rPr>
    </w:r>
  </w:p>
  <w:p>
    <w:pPr>
      <w:pStyle w:val="1024"/>
    </w:pPr>
    <w: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jc w:val="right"/>
      <w:rPr>
        <w:i/>
      </w:rPr>
    </w:pPr>
    <w:r>
      <w:rPr>
        <w:i/>
      </w:rPr>
      <w:t xml:space="preserve">Приложение Заказчика к объявлению закупочной сессии</w:t>
    </w:r>
    <w:r>
      <w:rPr>
        <w:i/>
      </w:rPr>
    </w:r>
    <w:r>
      <w:rPr>
        <w: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86" w:hanging="360"/>
        <w:tabs>
          <w:tab w:val="num" w:pos="786" w:leader="none"/>
        </w:tabs>
      </w:pPr>
      <w:rPr>
        <w:rFonts w:hint="default"/>
      </w:rPr>
    </w:lvl>
    <w:lvl w:ilvl="1">
      <w:start w:val="1"/>
      <w:numFmt w:val="upperRoman"/>
      <w:isLgl w:val="false"/>
      <w:suff w:val="tab"/>
      <w:lvlText w:val="%2."/>
      <w:lvlJc w:val="left"/>
      <w:pPr>
        <w:ind w:left="1800" w:hanging="720"/>
        <w:tabs>
          <w:tab w:val="num" w:pos="1800" w:leader="none"/>
        </w:tabs>
      </w:pPr>
      <w:rPr>
        <w:rFonts w:hint="default"/>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decimal"/>
      <w:isLgl w:val="false"/>
      <w:suff w:val="tab"/>
      <w:lvlText w:val="%1."/>
      <w:lvlJc w:val="left"/>
      <w:pPr>
        <w:ind w:left="8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1070" w:hanging="360"/>
      </w:pPr>
      <w:rPr>
        <w:i w:val="0"/>
        <w:color w:val="auto"/>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7">
    <w:multiLevelType w:val="hybridMultilevel"/>
    <w:lvl w:ilvl="0">
      <w:start w:val="1"/>
      <w:numFmt w:val="decimal"/>
      <w:isLgl w:val="false"/>
      <w:suff w:val="tab"/>
      <w:lvlText w:val="%1."/>
      <w:lvlJc w:val="left"/>
      <w:pPr>
        <w:ind w:left="765" w:hanging="4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rPr>
        <w:rFonts w:ascii="Calibri" w:hAnsi="Calibri" w:eastAsia="Calibri" w:cs="Calibri"/>
        <w:b w:val="0"/>
        <w:bCs w:val="0"/>
        <w:i w:val="0"/>
        <w:iCs w:val="0"/>
        <w:smallCaps w:val="0"/>
        <w:strike w:val="0"/>
        <w:color w:val="000000"/>
        <w:spacing w:val="0"/>
        <w:position w:val="0"/>
        <w:sz w:val="18"/>
        <w:szCs w:val="18"/>
        <w:u w:val="none"/>
        <w:shd w:val="clear" w:color="auto" w:fill="auto"/>
        <w:lang w:val="ru-RU" w:eastAsia="ru-RU" w:bidi="ru-RU"/>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pPr>
      <w:rPr>
        <w:rFonts w:hint="default"/>
        <w:b/>
        <w:bCs/>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b w:val="0"/>
        <w:color w:val="00000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4">
    <w:multiLevelType w:val="hybridMultilevel"/>
    <w:lvl w:ilvl="0">
      <w:start w:val="4"/>
      <w:numFmt w:val="decimal"/>
      <w:isLgl w:val="false"/>
      <w:suff w:val="tab"/>
      <w:lvlText w:val="%1."/>
      <w:lvlJc w:val="left"/>
      <w:pPr>
        <w:ind w:left="720" w:hanging="360"/>
      </w:pPr>
      <w:rPr>
        <w:rFonts w:hint="default"/>
      </w:rPr>
    </w:lvl>
    <w:lvl w:ilvl="1">
      <w:start w:val="10"/>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5">
    <w:multiLevelType w:val="hybridMultilevel"/>
    <w:lvl w:ilvl="0">
      <w:start w:val="2"/>
      <w:numFmt w:val="decimal"/>
      <w:isLgl w:val="false"/>
      <w:suff w:val="tab"/>
      <w:lvlText w:val="6.1.%1."/>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18">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Agency FB" w:hAnsi="Agency F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upperRoman"/>
      <w:isLgl w:val="false"/>
      <w:suff w:val="tab"/>
      <w:lvlText w:val="%1."/>
      <w:lvlJc w:val="left"/>
      <w:pPr>
        <w:ind w:left="1260" w:hanging="720"/>
        <w:tabs>
          <w:tab w:val="num" w:pos="1260" w:leader="none"/>
        </w:tabs>
      </w:pPr>
      <w:rPr>
        <w:rFonts w:hint="default"/>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23">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260" w:hanging="360"/>
      </w:pPr>
      <w:rPr>
        <w:rFonts w:hint="default"/>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1.%2."/>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
    <w:multiLevelType w:val="hybridMultilevel"/>
    <w:lvl w:ilvl="0">
      <w:start w:val="1"/>
      <w:numFmt w:val="decimal"/>
      <w:isLgl w:val="false"/>
      <w:suff w:val="tab"/>
      <w:lvlText w:val="%1)"/>
      <w:lvlJc w:val="left"/>
      <w:pPr>
        <w:ind w:left="820" w:hanging="360"/>
      </w:pPr>
      <w:rPr>
        <w:rFonts w:hint="default"/>
        <w:b/>
      </w:rPr>
    </w:lvl>
    <w:lvl w:ilvl="1">
      <w:start w:val="1"/>
      <w:numFmt w:val="lowerLetter"/>
      <w:isLgl w:val="false"/>
      <w:suff w:val="tab"/>
      <w:lvlText w:val="%2."/>
      <w:lvlJc w:val="left"/>
      <w:pPr>
        <w:ind w:left="1540" w:hanging="360"/>
      </w:pPr>
    </w:lvl>
    <w:lvl w:ilvl="2">
      <w:start w:val="1"/>
      <w:numFmt w:val="lowerRoman"/>
      <w:isLgl w:val="false"/>
      <w:suff w:val="tab"/>
      <w:lvlText w:val="%3."/>
      <w:lvlJc w:val="right"/>
      <w:pPr>
        <w:ind w:left="2260" w:hanging="180"/>
      </w:pPr>
    </w:lvl>
    <w:lvl w:ilvl="3">
      <w:start w:val="1"/>
      <w:numFmt w:val="decimal"/>
      <w:isLgl w:val="false"/>
      <w:suff w:val="tab"/>
      <w:lvlText w:val="%4."/>
      <w:lvlJc w:val="left"/>
      <w:pPr>
        <w:ind w:left="2980" w:hanging="360"/>
      </w:pPr>
    </w:lvl>
    <w:lvl w:ilvl="4">
      <w:start w:val="1"/>
      <w:numFmt w:val="lowerLetter"/>
      <w:isLgl w:val="false"/>
      <w:suff w:val="tab"/>
      <w:lvlText w:val="%5."/>
      <w:lvlJc w:val="left"/>
      <w:pPr>
        <w:ind w:left="3700" w:hanging="360"/>
      </w:pPr>
    </w:lvl>
    <w:lvl w:ilvl="5">
      <w:start w:val="1"/>
      <w:numFmt w:val="lowerRoman"/>
      <w:isLgl w:val="false"/>
      <w:suff w:val="tab"/>
      <w:lvlText w:val="%6."/>
      <w:lvlJc w:val="right"/>
      <w:pPr>
        <w:ind w:left="4420" w:hanging="180"/>
      </w:pPr>
    </w:lvl>
    <w:lvl w:ilvl="6">
      <w:start w:val="1"/>
      <w:numFmt w:val="decimal"/>
      <w:isLgl w:val="false"/>
      <w:suff w:val="tab"/>
      <w:lvlText w:val="%7."/>
      <w:lvlJc w:val="left"/>
      <w:pPr>
        <w:ind w:left="5140" w:hanging="360"/>
      </w:pPr>
    </w:lvl>
    <w:lvl w:ilvl="7">
      <w:start w:val="1"/>
      <w:numFmt w:val="lowerLetter"/>
      <w:isLgl w:val="false"/>
      <w:suff w:val="tab"/>
      <w:lvlText w:val="%8."/>
      <w:lvlJc w:val="left"/>
      <w:pPr>
        <w:ind w:left="5860" w:hanging="360"/>
      </w:pPr>
    </w:lvl>
    <w:lvl w:ilvl="8">
      <w:start w:val="1"/>
      <w:numFmt w:val="lowerRoman"/>
      <w:isLgl w:val="false"/>
      <w:suff w:val="tab"/>
      <w:lvlText w:val="%9."/>
      <w:lvlJc w:val="right"/>
      <w:pPr>
        <w:ind w:left="65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left"/>
      <w:pPr>
        <w:ind w:left="360" w:hanging="360"/>
      </w:pPr>
      <w:rPr>
        <w:rFonts w:hint="default" w:cs="Times New Roman"/>
      </w:rPr>
    </w:lvl>
    <w:lvl w:ilvl="1">
      <w:start w:val="1"/>
      <w:numFmt w:val="bullet"/>
      <w:isLgl w:val="false"/>
      <w:suff w:val="tab"/>
      <w:lvlText w:val="-"/>
      <w:lvlJc w:val="left"/>
      <w:pPr>
        <w:ind w:left="360" w:hanging="360"/>
        <w:tabs>
          <w:tab w:val="num" w:pos="360" w:leader="none"/>
        </w:tabs>
      </w:pPr>
      <w:rPr>
        <w:rFonts w:hint="default" w:ascii="Arial" w:hAnsi="Arial" w:eastAsia="Courier New" w:cs="Arial"/>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bullet"/>
      <w:isLgl w:val="false"/>
      <w:suff w:val="tab"/>
      <w:lvlText w:val=""/>
      <w:lvlJc w:val="left"/>
      <w:pPr>
        <w:ind w:left="1800" w:hanging="360"/>
        <w:tabs>
          <w:tab w:val="num" w:pos="1800" w:leader="none"/>
        </w:tabs>
      </w:pPr>
      <w:rPr>
        <w:rFonts w:hint="default" w:ascii="Symbol" w:hAnsi="Symbol"/>
      </w:rPr>
    </w:lvl>
    <w:lvl w:ilvl="4">
      <w:start w:val="1"/>
      <w:numFmt w:val="bullet"/>
      <w:isLgl w:val="false"/>
      <w:suff w:val="tab"/>
      <w:lvlText w:val="o"/>
      <w:lvlJc w:val="left"/>
      <w:pPr>
        <w:ind w:left="2520" w:hanging="360"/>
        <w:tabs>
          <w:tab w:val="num" w:pos="2520" w:leader="none"/>
        </w:tabs>
      </w:pPr>
      <w:rPr>
        <w:rFonts w:hint="default" w:ascii="Courier New" w:hAnsi="Courier New"/>
      </w:rPr>
    </w:lvl>
    <w:lvl w:ilvl="5">
      <w:start w:val="1"/>
      <w:numFmt w:val="bullet"/>
      <w:isLgl w:val="false"/>
      <w:suff w:val="tab"/>
      <w:lvlText w:val=""/>
      <w:lvlJc w:val="left"/>
      <w:pPr>
        <w:ind w:left="3240" w:hanging="360"/>
        <w:tabs>
          <w:tab w:val="num" w:pos="3240" w:leader="none"/>
        </w:tabs>
      </w:pPr>
      <w:rPr>
        <w:rFonts w:hint="default" w:ascii="Wingdings" w:hAnsi="Wingdings"/>
      </w:rPr>
    </w:lvl>
    <w:lvl w:ilvl="6">
      <w:start w:val="1"/>
      <w:numFmt w:val="bullet"/>
      <w:isLgl w:val="false"/>
      <w:suff w:val="tab"/>
      <w:lvlText w:val=""/>
      <w:lvlJc w:val="left"/>
      <w:pPr>
        <w:ind w:left="3960" w:hanging="360"/>
        <w:tabs>
          <w:tab w:val="num" w:pos="3960" w:leader="none"/>
        </w:tabs>
      </w:pPr>
      <w:rPr>
        <w:rFonts w:hint="default" w:ascii="Symbol" w:hAnsi="Symbol"/>
      </w:rPr>
    </w:lvl>
    <w:lvl w:ilvl="7">
      <w:start w:val="1"/>
      <w:numFmt w:val="bullet"/>
      <w:isLgl w:val="false"/>
      <w:suff w:val="tab"/>
      <w:lvlText w:val="o"/>
      <w:lvlJc w:val="left"/>
      <w:pPr>
        <w:ind w:left="4680" w:hanging="360"/>
        <w:tabs>
          <w:tab w:val="num" w:pos="4680" w:leader="none"/>
        </w:tabs>
      </w:pPr>
      <w:rPr>
        <w:rFonts w:hint="default" w:ascii="Courier New" w:hAnsi="Courier New"/>
      </w:rPr>
    </w:lvl>
    <w:lvl w:ilvl="8">
      <w:start w:val="1"/>
      <w:numFmt w:val="bullet"/>
      <w:isLgl w:val="false"/>
      <w:suff w:val="tab"/>
      <w:lvlText w:val=""/>
      <w:lvlJc w:val="left"/>
      <w:pPr>
        <w:ind w:left="5400" w:hanging="360"/>
        <w:tabs>
          <w:tab w:val="num" w:pos="5400" w:leader="none"/>
        </w:tabs>
      </w:pPr>
      <w:rPr>
        <w:rFonts w:hint="default"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5">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1800" w:hanging="360"/>
      </w:pPr>
      <w:rPr>
        <w:rFonts w:hint="default"/>
      </w:rPr>
    </w:lvl>
    <w:lvl w:ilvl="1">
      <w:start w:val="1"/>
      <w:numFmt w:val="bullet"/>
      <w:isLgl w:val="false"/>
      <w:suff w:val="tab"/>
      <w:lvlText w:val="o"/>
      <w:lvlJc w:val="left"/>
      <w:pPr>
        <w:ind w:left="2520" w:hanging="360"/>
      </w:pPr>
      <w:rPr>
        <w:rFonts w:hint="default" w:ascii="Courier New" w:hAnsi="Courier New" w:cs="Courier New"/>
      </w:rPr>
    </w:lvl>
    <w:lvl w:ilvl="2">
      <w:start w:val="1"/>
      <w:numFmt w:val="bullet"/>
      <w:isLgl w:val="false"/>
      <w:suff w:val="tab"/>
      <w:lvlText w:val=""/>
      <w:lvlJc w:val="left"/>
      <w:pPr>
        <w:ind w:left="3240" w:hanging="360"/>
      </w:pPr>
      <w:rPr>
        <w:rFonts w:hint="default" w:ascii="Wingdings" w:hAnsi="Wingdings"/>
      </w:rPr>
    </w:lvl>
    <w:lvl w:ilvl="3">
      <w:start w:val="1"/>
      <w:numFmt w:val="bullet"/>
      <w:isLgl w:val="false"/>
      <w:suff w:val="tab"/>
      <w:lvlText w:val=""/>
      <w:lvlJc w:val="left"/>
      <w:pPr>
        <w:ind w:left="3960" w:hanging="360"/>
      </w:pPr>
      <w:rPr>
        <w:rFonts w:hint="default" w:ascii="Symbol" w:hAnsi="Symbol"/>
      </w:rPr>
    </w:lvl>
    <w:lvl w:ilvl="4">
      <w:start w:val="1"/>
      <w:numFmt w:val="bullet"/>
      <w:isLgl w:val="false"/>
      <w:suff w:val="tab"/>
      <w:lvlText w:val="o"/>
      <w:lvlJc w:val="left"/>
      <w:pPr>
        <w:ind w:left="4680" w:hanging="360"/>
      </w:pPr>
      <w:rPr>
        <w:rFonts w:hint="default" w:ascii="Courier New" w:hAnsi="Courier New" w:cs="Courier New"/>
      </w:rPr>
    </w:lvl>
    <w:lvl w:ilvl="5">
      <w:start w:val="1"/>
      <w:numFmt w:val="bullet"/>
      <w:isLgl w:val="false"/>
      <w:suff w:val="tab"/>
      <w:lvlText w:val=""/>
      <w:lvlJc w:val="left"/>
      <w:pPr>
        <w:ind w:left="5400" w:hanging="360"/>
      </w:pPr>
      <w:rPr>
        <w:rFonts w:hint="default" w:ascii="Wingdings" w:hAnsi="Wingdings"/>
      </w:rPr>
    </w:lvl>
    <w:lvl w:ilvl="6">
      <w:start w:val="1"/>
      <w:numFmt w:val="bullet"/>
      <w:isLgl w:val="false"/>
      <w:suff w:val="tab"/>
      <w:lvlText w:val=""/>
      <w:lvlJc w:val="left"/>
      <w:pPr>
        <w:ind w:left="6120" w:hanging="360"/>
      </w:pPr>
      <w:rPr>
        <w:rFonts w:hint="default" w:ascii="Symbol" w:hAnsi="Symbol"/>
      </w:rPr>
    </w:lvl>
    <w:lvl w:ilvl="7">
      <w:start w:val="1"/>
      <w:numFmt w:val="bullet"/>
      <w:isLgl w:val="false"/>
      <w:suff w:val="tab"/>
      <w:lvlText w:val="o"/>
      <w:lvlJc w:val="left"/>
      <w:pPr>
        <w:ind w:left="6840" w:hanging="360"/>
      </w:pPr>
      <w:rPr>
        <w:rFonts w:hint="default" w:ascii="Courier New" w:hAnsi="Courier New" w:cs="Courier New"/>
      </w:rPr>
    </w:lvl>
    <w:lvl w:ilvl="8">
      <w:start w:val="1"/>
      <w:numFmt w:val="bullet"/>
      <w:isLgl w:val="false"/>
      <w:suff w:val="tab"/>
      <w:lvlText w:val=""/>
      <w:lvlJc w:val="left"/>
      <w:pPr>
        <w:ind w:left="756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360" w:hanging="360"/>
      </w:pPr>
      <w:rPr>
        <w:rFonts w:cs="Times New Roman"/>
      </w:rPr>
    </w:lvl>
    <w:lvl w:ilvl="1">
      <w:start w:val="1"/>
      <w:numFmt w:val="bullet"/>
      <w:isLgl w:val="false"/>
      <w:suff w:val="tab"/>
      <w:lvlText w:val="-"/>
      <w:lvlJc w:val="left"/>
      <w:pPr>
        <w:ind w:left="360" w:hanging="360"/>
        <w:tabs>
          <w:tab w:val="num" w:pos="360" w:leader="none"/>
        </w:tabs>
      </w:pPr>
      <w:rPr>
        <w:rFonts w:hint="default" w:ascii="Arial" w:hAnsi="Arial" w:eastAsia="Courier New" w:cs="Arial"/>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bullet"/>
      <w:isLgl w:val="false"/>
      <w:suff w:val="tab"/>
      <w:lvlText w:val=""/>
      <w:lvlJc w:val="left"/>
      <w:pPr>
        <w:ind w:left="1800" w:hanging="360"/>
        <w:tabs>
          <w:tab w:val="num" w:pos="1800" w:leader="none"/>
        </w:tabs>
      </w:pPr>
      <w:rPr>
        <w:rFonts w:hint="default" w:ascii="Symbol" w:hAnsi="Symbol"/>
      </w:rPr>
    </w:lvl>
    <w:lvl w:ilvl="4">
      <w:start w:val="1"/>
      <w:numFmt w:val="bullet"/>
      <w:isLgl w:val="false"/>
      <w:suff w:val="tab"/>
      <w:lvlText w:val="o"/>
      <w:lvlJc w:val="left"/>
      <w:pPr>
        <w:ind w:left="2520" w:hanging="360"/>
        <w:tabs>
          <w:tab w:val="num" w:pos="2520" w:leader="none"/>
        </w:tabs>
      </w:pPr>
      <w:rPr>
        <w:rFonts w:hint="default" w:ascii="Courier New" w:hAnsi="Courier New" w:cs="Times New Roman"/>
      </w:rPr>
    </w:lvl>
    <w:lvl w:ilvl="5">
      <w:start w:val="1"/>
      <w:numFmt w:val="bullet"/>
      <w:isLgl w:val="false"/>
      <w:suff w:val="tab"/>
      <w:lvlText w:val=""/>
      <w:lvlJc w:val="left"/>
      <w:pPr>
        <w:ind w:left="3240" w:hanging="360"/>
        <w:tabs>
          <w:tab w:val="num" w:pos="3240" w:leader="none"/>
        </w:tabs>
      </w:pPr>
      <w:rPr>
        <w:rFonts w:hint="default" w:ascii="Wingdings" w:hAnsi="Wingdings"/>
      </w:rPr>
    </w:lvl>
    <w:lvl w:ilvl="6">
      <w:start w:val="1"/>
      <w:numFmt w:val="bullet"/>
      <w:isLgl w:val="false"/>
      <w:suff w:val="tab"/>
      <w:lvlText w:val=""/>
      <w:lvlJc w:val="left"/>
      <w:pPr>
        <w:ind w:left="3960" w:hanging="360"/>
        <w:tabs>
          <w:tab w:val="num" w:pos="3960" w:leader="none"/>
        </w:tabs>
      </w:pPr>
      <w:rPr>
        <w:rFonts w:hint="default" w:ascii="Symbol" w:hAnsi="Symbol"/>
      </w:rPr>
    </w:lvl>
    <w:lvl w:ilvl="7">
      <w:start w:val="1"/>
      <w:numFmt w:val="bullet"/>
      <w:isLgl w:val="false"/>
      <w:suff w:val="tab"/>
      <w:lvlText w:val="o"/>
      <w:lvlJc w:val="left"/>
      <w:pPr>
        <w:ind w:left="4680" w:hanging="360"/>
        <w:tabs>
          <w:tab w:val="num" w:pos="4680" w:leader="none"/>
        </w:tabs>
      </w:pPr>
      <w:rPr>
        <w:rFonts w:hint="default" w:ascii="Courier New" w:hAnsi="Courier New" w:cs="Times New Roman"/>
      </w:rPr>
    </w:lvl>
    <w:lvl w:ilvl="8">
      <w:start w:val="1"/>
      <w:numFmt w:val="bullet"/>
      <w:isLgl w:val="false"/>
      <w:suff w:val="tab"/>
      <w:lvlText w:val=""/>
      <w:lvlJc w:val="left"/>
      <w:pPr>
        <w:ind w:left="5400" w:hanging="360"/>
        <w:tabs>
          <w:tab w:val="num" w:pos="5400" w:leader="none"/>
        </w:tabs>
      </w:pPr>
      <w:rPr>
        <w:rFonts w:hint="default" w:ascii="Wingdings" w:hAnsi="Wingdings"/>
      </w:rPr>
    </w:lvl>
  </w:abstractNum>
  <w:abstractNum w:abstractNumId="3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upperRoman"/>
      <w:isLgl w:val="false"/>
      <w:suff w:val="tab"/>
      <w:lvlText w:val="%1."/>
      <w:lvlJc w:val="left"/>
      <w:pPr>
        <w:ind w:left="1440" w:hanging="72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2"/>
  </w:num>
  <w:num w:numId="5">
    <w:abstractNumId w:val="28"/>
  </w:num>
  <w:num w:numId="6">
    <w:abstractNumId w:val="16"/>
  </w:num>
  <w:num w:numId="7">
    <w:abstractNumId w:val="31"/>
  </w:num>
  <w:num w:numId="8">
    <w:abstractNumId w:val="36"/>
  </w:num>
  <w:num w:numId="9">
    <w:abstractNumId w:val="1"/>
  </w:num>
  <w:num w:numId="10">
    <w:abstractNumId w:val="23"/>
  </w:num>
  <w:num w:numId="11">
    <w:abstractNumId w:val="37"/>
  </w:num>
  <w:num w:numId="12">
    <w:abstractNumId w:val="11"/>
  </w:num>
  <w:num w:numId="13">
    <w:abstractNumId w:val="19"/>
  </w:num>
  <w:num w:numId="14">
    <w:abstractNumId w:val="30"/>
  </w:num>
  <w:num w:numId="15">
    <w:abstractNumId w:val="33"/>
  </w:num>
  <w:num w:numId="16">
    <w:abstractNumId w:val="35"/>
  </w:num>
  <w:num w:numId="17">
    <w:abstractNumId w:val="26"/>
  </w:num>
  <w:num w:numId="18">
    <w:abstractNumId w:val="25"/>
  </w:num>
  <w:num w:numId="19">
    <w:abstractNumId w:val="24"/>
  </w:num>
  <w:num w:numId="20">
    <w:abstractNumId w:val="40"/>
  </w:num>
  <w:num w:numId="21">
    <w:abstractNumId w:val="4"/>
  </w:num>
  <w:num w:numId="22">
    <w:abstractNumId w:val="9"/>
  </w:num>
  <w:num w:numId="23">
    <w:abstractNumId w:val="7"/>
  </w:num>
  <w:num w:numId="24">
    <w:abstractNumId w:val="34"/>
  </w:num>
  <w:num w:numId="25">
    <w:abstractNumId w:val="14"/>
  </w:num>
  <w:num w:numId="26">
    <w:abstractNumId w:val="21"/>
  </w:num>
  <w:num w:numId="27">
    <w:abstractNumId w:val="21"/>
  </w:num>
  <w:num w:numId="28">
    <w:abstractNumId w:val="0"/>
  </w:num>
  <w:num w:numId="29">
    <w:abstractNumId w:val="29"/>
  </w:num>
  <w:num w:numId="30">
    <w:abstractNumId w:val="15"/>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0"/>
  </w:num>
  <w:num w:numId="36">
    <w:abstractNumId w:val="13"/>
  </w:num>
  <w:num w:numId="37">
    <w:abstractNumId w:val="12"/>
  </w:num>
  <w:num w:numId="38">
    <w:abstractNumId w:val="18"/>
  </w:num>
  <w:num w:numId="39">
    <w:abstractNumId w:val="39"/>
  </w:num>
  <w:num w:numId="40">
    <w:abstractNumId w:val="17"/>
  </w:num>
  <w:num w:numId="41">
    <w:abstractNumId w:val="32"/>
  </w:num>
  <w:num w:numId="42">
    <w:abstractNumId w:val="27"/>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1">
    <w:name w:val="Heading 2 Char"/>
    <w:basedOn w:val="853"/>
    <w:link w:val="845"/>
    <w:uiPriority w:val="9"/>
    <w:rPr>
      <w:rFonts w:ascii="Arial" w:hAnsi="Arial" w:eastAsia="Arial" w:cs="Arial"/>
      <w:sz w:val="34"/>
    </w:rPr>
  </w:style>
  <w:style w:type="character" w:styleId="832">
    <w:name w:val="Heading 4 Char"/>
    <w:basedOn w:val="853"/>
    <w:link w:val="847"/>
    <w:uiPriority w:val="9"/>
    <w:rPr>
      <w:rFonts w:ascii="Arial" w:hAnsi="Arial" w:eastAsia="Arial" w:cs="Arial"/>
      <w:b/>
      <w:bCs/>
      <w:sz w:val="26"/>
      <w:szCs w:val="26"/>
    </w:rPr>
  </w:style>
  <w:style w:type="character" w:styleId="833">
    <w:name w:val="Heading 5 Char"/>
    <w:basedOn w:val="853"/>
    <w:link w:val="848"/>
    <w:uiPriority w:val="9"/>
    <w:rPr>
      <w:rFonts w:ascii="Arial" w:hAnsi="Arial" w:eastAsia="Arial" w:cs="Arial"/>
      <w:b/>
      <w:bCs/>
      <w:sz w:val="24"/>
      <w:szCs w:val="24"/>
    </w:rPr>
  </w:style>
  <w:style w:type="character" w:styleId="834">
    <w:name w:val="Heading 6 Char"/>
    <w:basedOn w:val="853"/>
    <w:link w:val="849"/>
    <w:uiPriority w:val="9"/>
    <w:rPr>
      <w:rFonts w:ascii="Arial" w:hAnsi="Arial" w:eastAsia="Arial" w:cs="Arial"/>
      <w:b/>
      <w:bCs/>
      <w:sz w:val="22"/>
      <w:szCs w:val="22"/>
    </w:rPr>
  </w:style>
  <w:style w:type="character" w:styleId="835">
    <w:name w:val="Heading 7 Char"/>
    <w:basedOn w:val="853"/>
    <w:link w:val="850"/>
    <w:uiPriority w:val="9"/>
    <w:rPr>
      <w:rFonts w:ascii="Arial" w:hAnsi="Arial" w:eastAsia="Arial" w:cs="Arial"/>
      <w:b/>
      <w:bCs/>
      <w:i/>
      <w:iCs/>
      <w:sz w:val="22"/>
      <w:szCs w:val="22"/>
    </w:rPr>
  </w:style>
  <w:style w:type="character" w:styleId="836">
    <w:name w:val="Heading 8 Char"/>
    <w:basedOn w:val="853"/>
    <w:link w:val="851"/>
    <w:uiPriority w:val="9"/>
    <w:rPr>
      <w:rFonts w:ascii="Arial" w:hAnsi="Arial" w:eastAsia="Arial" w:cs="Arial"/>
      <w:i/>
      <w:iCs/>
      <w:sz w:val="22"/>
      <w:szCs w:val="22"/>
    </w:rPr>
  </w:style>
  <w:style w:type="character" w:styleId="837">
    <w:name w:val="Heading 9 Char"/>
    <w:basedOn w:val="853"/>
    <w:link w:val="852"/>
    <w:uiPriority w:val="9"/>
    <w:rPr>
      <w:rFonts w:ascii="Arial" w:hAnsi="Arial" w:eastAsia="Arial" w:cs="Arial"/>
      <w:i/>
      <w:iCs/>
      <w:sz w:val="21"/>
      <w:szCs w:val="21"/>
    </w:rPr>
  </w:style>
  <w:style w:type="character" w:styleId="838">
    <w:name w:val="Subtitle Char"/>
    <w:basedOn w:val="853"/>
    <w:link w:val="867"/>
    <w:uiPriority w:val="11"/>
    <w:rPr>
      <w:sz w:val="24"/>
      <w:szCs w:val="24"/>
    </w:rPr>
  </w:style>
  <w:style w:type="character" w:styleId="839">
    <w:name w:val="Quote Char"/>
    <w:link w:val="869"/>
    <w:uiPriority w:val="29"/>
    <w:rPr>
      <w:i/>
    </w:rPr>
  </w:style>
  <w:style w:type="character" w:styleId="840">
    <w:name w:val="Intense Quote Char"/>
    <w:link w:val="871"/>
    <w:uiPriority w:val="30"/>
    <w:rPr>
      <w:i/>
    </w:rPr>
  </w:style>
  <w:style w:type="character" w:styleId="841">
    <w:name w:val="Caption Char"/>
    <w:basedOn w:val="853"/>
    <w:link w:val="875"/>
    <w:uiPriority w:val="35"/>
    <w:rPr>
      <w:b/>
      <w:bCs/>
      <w:color w:val="4f81bd" w:themeColor="accent1"/>
      <w:sz w:val="18"/>
      <w:szCs w:val="18"/>
    </w:rPr>
  </w:style>
  <w:style w:type="character" w:styleId="842">
    <w:name w:val="Endnote Text Char"/>
    <w:link w:val="1003"/>
    <w:uiPriority w:val="99"/>
    <w:rPr>
      <w:sz w:val="20"/>
    </w:rPr>
  </w:style>
  <w:style w:type="paragraph" w:styleId="843" w:default="1">
    <w:name w:val="Normal"/>
    <w:qFormat/>
    <w:rPr>
      <w:sz w:val="24"/>
      <w:szCs w:val="24"/>
    </w:rPr>
  </w:style>
  <w:style w:type="paragraph" w:styleId="844">
    <w:name w:val="Heading 1"/>
    <w:basedOn w:val="843"/>
    <w:next w:val="843"/>
    <w:link w:val="1060"/>
    <w:qFormat/>
    <w:pPr>
      <w:keepNext/>
      <w:spacing w:before="240" w:after="60"/>
      <w:outlineLvl w:val="0"/>
    </w:pPr>
    <w:rPr>
      <w:rFonts w:ascii="Calibri Light" w:hAnsi="Calibri Light"/>
      <w:b/>
      <w:bCs/>
      <w:sz w:val="32"/>
      <w:szCs w:val="32"/>
    </w:rPr>
  </w:style>
  <w:style w:type="paragraph" w:styleId="845">
    <w:name w:val="Heading 2"/>
    <w:basedOn w:val="843"/>
    <w:next w:val="843"/>
    <w:link w:val="857"/>
    <w:uiPriority w:val="9"/>
    <w:unhideWhenUsed/>
    <w:qFormat/>
    <w:pPr>
      <w:keepLines/>
      <w:keepNext/>
      <w:spacing w:before="360" w:after="200"/>
      <w:outlineLvl w:val="1"/>
    </w:pPr>
    <w:rPr>
      <w:rFonts w:ascii="Arial" w:hAnsi="Arial" w:eastAsia="Arial" w:cs="Arial"/>
      <w:sz w:val="34"/>
    </w:rPr>
  </w:style>
  <w:style w:type="paragraph" w:styleId="846">
    <w:name w:val="Heading 3"/>
    <w:basedOn w:val="843"/>
    <w:next w:val="843"/>
    <w:link w:val="1029"/>
    <w:qFormat/>
    <w:pPr>
      <w:keepNext/>
      <w:spacing w:before="240" w:after="60"/>
      <w:outlineLvl w:val="2"/>
    </w:pPr>
    <w:rPr>
      <w:rFonts w:ascii="Arial" w:hAnsi="Arial" w:eastAsia="Arial Unicode MS"/>
      <w:b/>
      <w:bCs/>
      <w:sz w:val="26"/>
      <w:szCs w:val="26"/>
    </w:rPr>
  </w:style>
  <w:style w:type="paragraph" w:styleId="847">
    <w:name w:val="Heading 4"/>
    <w:basedOn w:val="843"/>
    <w:next w:val="843"/>
    <w:link w:val="859"/>
    <w:uiPriority w:val="9"/>
    <w:unhideWhenUsed/>
    <w:qFormat/>
    <w:pPr>
      <w:keepLines/>
      <w:keepNext/>
      <w:spacing w:before="320" w:after="200"/>
      <w:outlineLvl w:val="3"/>
    </w:pPr>
    <w:rPr>
      <w:rFonts w:ascii="Arial" w:hAnsi="Arial" w:eastAsia="Arial" w:cs="Arial"/>
      <w:b/>
      <w:bCs/>
      <w:sz w:val="26"/>
      <w:szCs w:val="26"/>
    </w:rPr>
  </w:style>
  <w:style w:type="paragraph" w:styleId="848">
    <w:name w:val="Heading 5"/>
    <w:basedOn w:val="843"/>
    <w:next w:val="843"/>
    <w:link w:val="860"/>
    <w:uiPriority w:val="9"/>
    <w:unhideWhenUsed/>
    <w:qFormat/>
    <w:pPr>
      <w:keepLines/>
      <w:keepNext/>
      <w:spacing w:before="320" w:after="200"/>
      <w:outlineLvl w:val="4"/>
    </w:pPr>
    <w:rPr>
      <w:rFonts w:ascii="Arial" w:hAnsi="Arial" w:eastAsia="Arial" w:cs="Arial"/>
      <w:b/>
      <w:bCs/>
    </w:rPr>
  </w:style>
  <w:style w:type="paragraph" w:styleId="849">
    <w:name w:val="Heading 6"/>
    <w:basedOn w:val="843"/>
    <w:next w:val="843"/>
    <w:link w:val="861"/>
    <w:uiPriority w:val="9"/>
    <w:unhideWhenUsed/>
    <w:qFormat/>
    <w:pPr>
      <w:keepLines/>
      <w:keepNext/>
      <w:spacing w:before="320" w:after="200"/>
      <w:outlineLvl w:val="5"/>
    </w:pPr>
    <w:rPr>
      <w:rFonts w:ascii="Arial" w:hAnsi="Arial" w:eastAsia="Arial" w:cs="Arial"/>
      <w:b/>
      <w:bCs/>
      <w:sz w:val="22"/>
      <w:szCs w:val="22"/>
    </w:rPr>
  </w:style>
  <w:style w:type="paragraph" w:styleId="850">
    <w:name w:val="Heading 7"/>
    <w:basedOn w:val="843"/>
    <w:next w:val="843"/>
    <w:link w:val="862"/>
    <w:uiPriority w:val="9"/>
    <w:unhideWhenUsed/>
    <w:qFormat/>
    <w:pPr>
      <w:keepLines/>
      <w:keepNext/>
      <w:spacing w:before="320" w:after="200"/>
      <w:outlineLvl w:val="6"/>
    </w:pPr>
    <w:rPr>
      <w:rFonts w:ascii="Arial" w:hAnsi="Arial" w:eastAsia="Arial" w:cs="Arial"/>
      <w:b/>
      <w:bCs/>
      <w:i/>
      <w:iCs/>
      <w:sz w:val="22"/>
      <w:szCs w:val="22"/>
    </w:rPr>
  </w:style>
  <w:style w:type="paragraph" w:styleId="851">
    <w:name w:val="Heading 8"/>
    <w:basedOn w:val="843"/>
    <w:next w:val="843"/>
    <w:link w:val="863"/>
    <w:uiPriority w:val="9"/>
    <w:unhideWhenUsed/>
    <w:qFormat/>
    <w:pPr>
      <w:keepLines/>
      <w:keepNext/>
      <w:spacing w:before="320" w:after="200"/>
      <w:outlineLvl w:val="7"/>
    </w:pPr>
    <w:rPr>
      <w:rFonts w:ascii="Arial" w:hAnsi="Arial" w:eastAsia="Arial" w:cs="Arial"/>
      <w:i/>
      <w:iCs/>
      <w:sz w:val="22"/>
      <w:szCs w:val="22"/>
    </w:rPr>
  </w:style>
  <w:style w:type="paragraph" w:styleId="852">
    <w:name w:val="Heading 9"/>
    <w:basedOn w:val="843"/>
    <w:next w:val="843"/>
    <w:link w:val="864"/>
    <w:uiPriority w:val="9"/>
    <w:unhideWhenUsed/>
    <w:qFormat/>
    <w:pPr>
      <w:keepLines/>
      <w:keepNext/>
      <w:spacing w:before="320" w:after="200"/>
      <w:outlineLvl w:val="8"/>
    </w:pPr>
    <w:rPr>
      <w:rFonts w:ascii="Arial" w:hAnsi="Arial" w:eastAsia="Arial" w:cs="Arial"/>
      <w:i/>
      <w:iCs/>
      <w:sz w:val="21"/>
      <w:szCs w:val="21"/>
    </w:rPr>
  </w:style>
  <w:style w:type="character" w:styleId="853" w:default="1">
    <w:name w:val="Default Paragraph Font"/>
    <w:uiPriority w:val="1"/>
    <w:semiHidden/>
    <w:unhideWhenUsed/>
  </w:style>
  <w:style w:type="table" w:styleId="854" w:default="1">
    <w:name w:val="Normal Table"/>
    <w:uiPriority w:val="99"/>
    <w:semiHidden/>
    <w:unhideWhenUsed/>
    <w:tblPr>
      <w:tblInd w:w="0" w:type="dxa"/>
      <w:tblCellMar>
        <w:left w:w="108" w:type="dxa"/>
        <w:top w:w="0" w:type="dxa"/>
        <w:right w:w="108" w:type="dxa"/>
        <w:bottom w:w="0" w:type="dxa"/>
      </w:tblCellMar>
    </w:tblPr>
  </w:style>
  <w:style w:type="numbering" w:styleId="855" w:default="1">
    <w:name w:val="No List"/>
    <w:uiPriority w:val="99"/>
    <w:semiHidden/>
    <w:unhideWhenUsed/>
  </w:style>
  <w:style w:type="character" w:styleId="856" w:customStyle="1">
    <w:name w:val="Heading 1 Char"/>
    <w:basedOn w:val="853"/>
    <w:uiPriority w:val="9"/>
    <w:rPr>
      <w:rFonts w:ascii="Arial" w:hAnsi="Arial" w:eastAsia="Arial" w:cs="Arial"/>
      <w:sz w:val="40"/>
      <w:szCs w:val="40"/>
    </w:rPr>
  </w:style>
  <w:style w:type="character" w:styleId="857" w:customStyle="1">
    <w:name w:val="Заголовок 2 Знак"/>
    <w:basedOn w:val="853"/>
    <w:link w:val="845"/>
    <w:uiPriority w:val="9"/>
    <w:rPr>
      <w:rFonts w:ascii="Arial" w:hAnsi="Arial" w:eastAsia="Arial" w:cs="Arial"/>
      <w:sz w:val="34"/>
    </w:rPr>
  </w:style>
  <w:style w:type="character" w:styleId="858" w:customStyle="1">
    <w:name w:val="Heading 3 Char"/>
    <w:basedOn w:val="853"/>
    <w:uiPriority w:val="9"/>
    <w:rPr>
      <w:rFonts w:ascii="Arial" w:hAnsi="Arial" w:eastAsia="Arial" w:cs="Arial"/>
      <w:sz w:val="30"/>
      <w:szCs w:val="30"/>
    </w:rPr>
  </w:style>
  <w:style w:type="character" w:styleId="859" w:customStyle="1">
    <w:name w:val="Заголовок 4 Знак"/>
    <w:basedOn w:val="853"/>
    <w:link w:val="847"/>
    <w:uiPriority w:val="9"/>
    <w:rPr>
      <w:rFonts w:ascii="Arial" w:hAnsi="Arial" w:eastAsia="Arial" w:cs="Arial"/>
      <w:b/>
      <w:bCs/>
      <w:sz w:val="26"/>
      <w:szCs w:val="26"/>
    </w:rPr>
  </w:style>
  <w:style w:type="character" w:styleId="860" w:customStyle="1">
    <w:name w:val="Заголовок 5 Знак"/>
    <w:basedOn w:val="853"/>
    <w:link w:val="848"/>
    <w:uiPriority w:val="9"/>
    <w:rPr>
      <w:rFonts w:ascii="Arial" w:hAnsi="Arial" w:eastAsia="Arial" w:cs="Arial"/>
      <w:b/>
      <w:bCs/>
      <w:sz w:val="24"/>
      <w:szCs w:val="24"/>
    </w:rPr>
  </w:style>
  <w:style w:type="character" w:styleId="861" w:customStyle="1">
    <w:name w:val="Заголовок 6 Знак"/>
    <w:basedOn w:val="853"/>
    <w:link w:val="849"/>
    <w:uiPriority w:val="9"/>
    <w:rPr>
      <w:rFonts w:ascii="Arial" w:hAnsi="Arial" w:eastAsia="Arial" w:cs="Arial"/>
      <w:b/>
      <w:bCs/>
      <w:sz w:val="22"/>
      <w:szCs w:val="22"/>
    </w:rPr>
  </w:style>
  <w:style w:type="character" w:styleId="862" w:customStyle="1">
    <w:name w:val="Заголовок 7 Знак"/>
    <w:basedOn w:val="853"/>
    <w:link w:val="850"/>
    <w:uiPriority w:val="9"/>
    <w:rPr>
      <w:rFonts w:ascii="Arial" w:hAnsi="Arial" w:eastAsia="Arial" w:cs="Arial"/>
      <w:b/>
      <w:bCs/>
      <w:i/>
      <w:iCs/>
      <w:sz w:val="22"/>
      <w:szCs w:val="22"/>
    </w:rPr>
  </w:style>
  <w:style w:type="character" w:styleId="863" w:customStyle="1">
    <w:name w:val="Заголовок 8 Знак"/>
    <w:basedOn w:val="853"/>
    <w:link w:val="851"/>
    <w:uiPriority w:val="9"/>
    <w:rPr>
      <w:rFonts w:ascii="Arial" w:hAnsi="Arial" w:eastAsia="Arial" w:cs="Arial"/>
      <w:i/>
      <w:iCs/>
      <w:sz w:val="22"/>
      <w:szCs w:val="22"/>
    </w:rPr>
  </w:style>
  <w:style w:type="character" w:styleId="864" w:customStyle="1">
    <w:name w:val="Заголовок 9 Знак"/>
    <w:basedOn w:val="853"/>
    <w:link w:val="852"/>
    <w:uiPriority w:val="9"/>
    <w:rPr>
      <w:rFonts w:ascii="Arial" w:hAnsi="Arial" w:eastAsia="Arial" w:cs="Arial"/>
      <w:i/>
      <w:iCs/>
      <w:sz w:val="21"/>
      <w:szCs w:val="21"/>
    </w:rPr>
  </w:style>
  <w:style w:type="paragraph" w:styleId="865">
    <w:name w:val="No Spacing"/>
    <w:uiPriority w:val="1"/>
    <w:qFormat/>
  </w:style>
  <w:style w:type="character" w:styleId="866" w:customStyle="1">
    <w:name w:val="Title Char"/>
    <w:basedOn w:val="853"/>
    <w:uiPriority w:val="10"/>
    <w:rPr>
      <w:sz w:val="48"/>
      <w:szCs w:val="48"/>
    </w:rPr>
  </w:style>
  <w:style w:type="paragraph" w:styleId="867">
    <w:name w:val="Subtitle"/>
    <w:basedOn w:val="843"/>
    <w:next w:val="843"/>
    <w:link w:val="868"/>
    <w:uiPriority w:val="11"/>
    <w:qFormat/>
    <w:pPr>
      <w:spacing w:before="200" w:after="200"/>
    </w:pPr>
  </w:style>
  <w:style w:type="character" w:styleId="868" w:customStyle="1">
    <w:name w:val="Подзаголовок Знак"/>
    <w:basedOn w:val="853"/>
    <w:link w:val="867"/>
    <w:uiPriority w:val="11"/>
    <w:rPr>
      <w:sz w:val="24"/>
      <w:szCs w:val="24"/>
    </w:rPr>
  </w:style>
  <w:style w:type="paragraph" w:styleId="869">
    <w:name w:val="Quote"/>
    <w:basedOn w:val="843"/>
    <w:next w:val="843"/>
    <w:link w:val="870"/>
    <w:uiPriority w:val="29"/>
    <w:qFormat/>
    <w:pPr>
      <w:ind w:left="720" w:right="720"/>
    </w:pPr>
    <w:rPr>
      <w:i/>
    </w:rPr>
  </w:style>
  <w:style w:type="character" w:styleId="870" w:customStyle="1">
    <w:name w:val="Цитата 2 Знак"/>
    <w:link w:val="869"/>
    <w:uiPriority w:val="29"/>
    <w:rPr>
      <w:i/>
    </w:rPr>
  </w:style>
  <w:style w:type="paragraph" w:styleId="871">
    <w:name w:val="Intense Quote"/>
    <w:basedOn w:val="843"/>
    <w:next w:val="843"/>
    <w:link w:val="87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72" w:customStyle="1">
    <w:name w:val="Выделенная цитата Знак"/>
    <w:link w:val="871"/>
    <w:uiPriority w:val="30"/>
    <w:rPr>
      <w:i/>
    </w:rPr>
  </w:style>
  <w:style w:type="character" w:styleId="873" w:customStyle="1">
    <w:name w:val="Header Char"/>
    <w:basedOn w:val="853"/>
    <w:uiPriority w:val="99"/>
  </w:style>
  <w:style w:type="character" w:styleId="874" w:customStyle="1">
    <w:name w:val="Footer Char"/>
    <w:basedOn w:val="853"/>
    <w:uiPriority w:val="99"/>
  </w:style>
  <w:style w:type="paragraph" w:styleId="875">
    <w:name w:val="Caption"/>
    <w:basedOn w:val="843"/>
    <w:next w:val="843"/>
    <w:link w:val="876"/>
    <w:uiPriority w:val="35"/>
    <w:semiHidden/>
    <w:unhideWhenUsed/>
    <w:qFormat/>
    <w:pPr>
      <w:spacing w:line="276" w:lineRule="auto"/>
    </w:pPr>
    <w:rPr>
      <w:b/>
      <w:bCs/>
      <w:color w:val="4f81bd" w:themeColor="accent1"/>
      <w:sz w:val="18"/>
      <w:szCs w:val="18"/>
    </w:rPr>
  </w:style>
  <w:style w:type="character" w:styleId="876" w:customStyle="1">
    <w:name w:val="Название объекта Знак"/>
    <w:basedOn w:val="853"/>
    <w:link w:val="875"/>
    <w:uiPriority w:val="35"/>
    <w:rPr>
      <w:b/>
      <w:bCs/>
      <w:color w:val="4f81bd" w:themeColor="accent1"/>
      <w:sz w:val="18"/>
      <w:szCs w:val="18"/>
    </w:rPr>
  </w:style>
  <w:style w:type="table" w:styleId="877" w:customStyle="1">
    <w:name w:val="Table Grid Light"/>
    <w:basedOn w:val="85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78">
    <w:name w:val="Plain Table 1"/>
    <w:basedOn w:val="85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9">
    <w:name w:val="Plain Table 2"/>
    <w:basedOn w:val="85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80">
    <w:name w:val="Plain Table 3"/>
    <w:basedOn w:val="85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81">
    <w:name w:val="Plain Table 4"/>
    <w:basedOn w:val="85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2">
    <w:name w:val="Plain Table 5"/>
    <w:basedOn w:val="854"/>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83">
    <w:name w:val="Grid Table 1 Light"/>
    <w:basedOn w:val="854"/>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84" w:customStyle="1">
    <w:name w:val="Grid Table 1 Light - Accent 1"/>
    <w:basedOn w:val="854"/>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85" w:customStyle="1">
    <w:name w:val="Grid Table 1 Light - Accent 2"/>
    <w:basedOn w:val="854"/>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86" w:customStyle="1">
    <w:name w:val="Grid Table 1 Light - Accent 3"/>
    <w:basedOn w:val="854"/>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87" w:customStyle="1">
    <w:name w:val="Grid Table 1 Light - Accent 4"/>
    <w:basedOn w:val="85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88" w:customStyle="1">
    <w:name w:val="Grid Table 1 Light - Accent 5"/>
    <w:basedOn w:val="854"/>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89" w:customStyle="1">
    <w:name w:val="Grid Table 1 Light - Accent 6"/>
    <w:basedOn w:val="854"/>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90">
    <w:name w:val="Grid Table 2"/>
    <w:basedOn w:val="85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91" w:customStyle="1">
    <w:name w:val="Grid Table 2 - Accent 1"/>
    <w:basedOn w:val="854"/>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92" w:customStyle="1">
    <w:name w:val="Grid Table 2 - Accent 2"/>
    <w:basedOn w:val="854"/>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93" w:customStyle="1">
    <w:name w:val="Grid Table 2 - Accent 3"/>
    <w:basedOn w:val="854"/>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94" w:customStyle="1">
    <w:name w:val="Grid Table 2 - Accent 4"/>
    <w:basedOn w:val="85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95" w:customStyle="1">
    <w:name w:val="Grid Table 2 - Accent 5"/>
    <w:basedOn w:val="854"/>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96" w:customStyle="1">
    <w:name w:val="Grid Table 2 - Accent 6"/>
    <w:basedOn w:val="854"/>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97">
    <w:name w:val="Grid Table 3"/>
    <w:basedOn w:val="85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8" w:customStyle="1">
    <w:name w:val="Grid Table 3 - Accent 1"/>
    <w:basedOn w:val="854"/>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9" w:customStyle="1">
    <w:name w:val="Grid Table 3 - Accent 2"/>
    <w:basedOn w:val="854"/>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0" w:customStyle="1">
    <w:name w:val="Grid Table 3 - Accent 3"/>
    <w:basedOn w:val="854"/>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1" w:customStyle="1">
    <w:name w:val="Grid Table 3 - Accent 4"/>
    <w:basedOn w:val="85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2" w:customStyle="1">
    <w:name w:val="Grid Table 3 - Accent 5"/>
    <w:basedOn w:val="854"/>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3" w:customStyle="1">
    <w:name w:val="Grid Table 3 - Accent 6"/>
    <w:basedOn w:val="854"/>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4">
    <w:name w:val="Grid Table 4"/>
    <w:basedOn w:val="85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5" w:customStyle="1">
    <w:name w:val="Grid Table 4 - Accent 1"/>
    <w:basedOn w:val="854"/>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06" w:customStyle="1">
    <w:name w:val="Grid Table 4 - Accent 2"/>
    <w:basedOn w:val="854"/>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07" w:customStyle="1">
    <w:name w:val="Grid Table 4 - Accent 3"/>
    <w:basedOn w:val="854"/>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08" w:customStyle="1">
    <w:name w:val="Grid Table 4 - Accent 4"/>
    <w:basedOn w:val="85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09" w:customStyle="1">
    <w:name w:val="Grid Table 4 - Accent 5"/>
    <w:basedOn w:val="854"/>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10" w:customStyle="1">
    <w:name w:val="Grid Table 4 - Accent 6"/>
    <w:basedOn w:val="854"/>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11">
    <w:name w:val="Grid Table 5 Dark"/>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12" w:customStyle="1">
    <w:name w:val="Grid Table 5 Dark- Accent 1"/>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13" w:customStyle="1">
    <w:name w:val="Grid Table 5 Dark - Accent 2"/>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14" w:customStyle="1">
    <w:name w:val="Grid Table 5 Dark - Accent 3"/>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15" w:customStyle="1">
    <w:name w:val="Grid Table 5 Dark- Accent 4"/>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16" w:customStyle="1">
    <w:name w:val="Grid Table 5 Dark - Accent 5"/>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17" w:customStyle="1">
    <w:name w:val="Grid Table 5 Dark - Accent 6"/>
    <w:basedOn w:val="85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18">
    <w:name w:val="Grid Table 6 Colorful"/>
    <w:basedOn w:val="854"/>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19" w:customStyle="1">
    <w:name w:val="Grid Table 6 Colorful - Accent 1"/>
    <w:basedOn w:val="854"/>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20" w:customStyle="1">
    <w:name w:val="Grid Table 6 Colorful - Accent 2"/>
    <w:basedOn w:val="854"/>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21" w:customStyle="1">
    <w:name w:val="Grid Table 6 Colorful - Accent 3"/>
    <w:basedOn w:val="854"/>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22" w:customStyle="1">
    <w:name w:val="Grid Table 6 Colorful - Accent 4"/>
    <w:basedOn w:val="85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23" w:customStyle="1">
    <w:name w:val="Grid Table 6 Colorful - Accent 5"/>
    <w:basedOn w:val="854"/>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24" w:customStyle="1">
    <w:name w:val="Grid Table 6 Colorful - Accent 6"/>
    <w:basedOn w:val="854"/>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25">
    <w:name w:val="Grid Table 7 Colorful"/>
    <w:basedOn w:val="854"/>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26" w:customStyle="1">
    <w:name w:val="Grid Table 7 Colorful - Accent 1"/>
    <w:basedOn w:val="854"/>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927" w:customStyle="1">
    <w:name w:val="Grid Table 7 Colorful - Accent 2"/>
    <w:basedOn w:val="854"/>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28" w:customStyle="1">
    <w:name w:val="Grid Table 7 Colorful - Accent 3"/>
    <w:basedOn w:val="854"/>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929" w:customStyle="1">
    <w:name w:val="Grid Table 7 Colorful - Accent 4"/>
    <w:basedOn w:val="85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30" w:customStyle="1">
    <w:name w:val="Grid Table 7 Colorful - Accent 5"/>
    <w:basedOn w:val="854"/>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931" w:customStyle="1">
    <w:name w:val="Grid Table 7 Colorful - Accent 6"/>
    <w:basedOn w:val="854"/>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932">
    <w:name w:val="List Table 1 Light"/>
    <w:basedOn w:val="854"/>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33" w:customStyle="1">
    <w:name w:val="List Table 1 Light - Accent 1"/>
    <w:basedOn w:val="854"/>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34" w:customStyle="1">
    <w:name w:val="List Table 1 Light - Accent 2"/>
    <w:basedOn w:val="854"/>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35" w:customStyle="1">
    <w:name w:val="List Table 1 Light - Accent 3"/>
    <w:basedOn w:val="854"/>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36" w:customStyle="1">
    <w:name w:val="List Table 1 Light - Accent 4"/>
    <w:basedOn w:val="854"/>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37" w:customStyle="1">
    <w:name w:val="List Table 1 Light - Accent 5"/>
    <w:basedOn w:val="854"/>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38" w:customStyle="1">
    <w:name w:val="List Table 1 Light - Accent 6"/>
    <w:basedOn w:val="854"/>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39">
    <w:name w:val="List Table 2"/>
    <w:basedOn w:val="854"/>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40" w:customStyle="1">
    <w:name w:val="List Table 2 - Accent 1"/>
    <w:basedOn w:val="854"/>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41" w:customStyle="1">
    <w:name w:val="List Table 2 - Accent 2"/>
    <w:basedOn w:val="854"/>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42" w:customStyle="1">
    <w:name w:val="List Table 2 - Accent 3"/>
    <w:basedOn w:val="854"/>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43" w:customStyle="1">
    <w:name w:val="List Table 2 - Accent 4"/>
    <w:basedOn w:val="85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44" w:customStyle="1">
    <w:name w:val="List Table 2 - Accent 5"/>
    <w:basedOn w:val="854"/>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45" w:customStyle="1">
    <w:name w:val="List Table 2 - Accent 6"/>
    <w:basedOn w:val="854"/>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46">
    <w:name w:val="List Table 3"/>
    <w:basedOn w:val="85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47" w:customStyle="1">
    <w:name w:val="List Table 3 - Accent 1"/>
    <w:basedOn w:val="854"/>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48" w:customStyle="1">
    <w:name w:val="List Table 3 - Accent 2"/>
    <w:basedOn w:val="854"/>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49" w:customStyle="1">
    <w:name w:val="List Table 3 - Accent 3"/>
    <w:basedOn w:val="854"/>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50" w:customStyle="1">
    <w:name w:val="List Table 3 - Accent 4"/>
    <w:basedOn w:val="85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51" w:customStyle="1">
    <w:name w:val="List Table 3 - Accent 5"/>
    <w:basedOn w:val="854"/>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52" w:customStyle="1">
    <w:name w:val="List Table 3 - Accent 6"/>
    <w:basedOn w:val="854"/>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53">
    <w:name w:val="List Table 4"/>
    <w:basedOn w:val="85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54" w:customStyle="1">
    <w:name w:val="List Table 4 - Accent 1"/>
    <w:basedOn w:val="854"/>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55" w:customStyle="1">
    <w:name w:val="List Table 4 - Accent 2"/>
    <w:basedOn w:val="854"/>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56" w:customStyle="1">
    <w:name w:val="List Table 4 - Accent 3"/>
    <w:basedOn w:val="854"/>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57" w:customStyle="1">
    <w:name w:val="List Table 4 - Accent 4"/>
    <w:basedOn w:val="85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58" w:customStyle="1">
    <w:name w:val="List Table 4 - Accent 5"/>
    <w:basedOn w:val="854"/>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59" w:customStyle="1">
    <w:name w:val="List Table 4 - Accent 6"/>
    <w:basedOn w:val="854"/>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60">
    <w:name w:val="List Table 5 Dark"/>
    <w:basedOn w:val="854"/>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61" w:customStyle="1">
    <w:name w:val="List Table 5 Dark - Accent 1"/>
    <w:basedOn w:val="854"/>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62" w:customStyle="1">
    <w:name w:val="List Table 5 Dark - Accent 2"/>
    <w:basedOn w:val="854"/>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63" w:customStyle="1">
    <w:name w:val="List Table 5 Dark - Accent 3"/>
    <w:basedOn w:val="854"/>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64" w:customStyle="1">
    <w:name w:val="List Table 5 Dark - Accent 4"/>
    <w:basedOn w:val="85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65" w:customStyle="1">
    <w:name w:val="List Table 5 Dark - Accent 5"/>
    <w:basedOn w:val="854"/>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66" w:customStyle="1">
    <w:name w:val="List Table 5 Dark - Accent 6"/>
    <w:basedOn w:val="854"/>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67">
    <w:name w:val="List Table 6 Colorful"/>
    <w:basedOn w:val="854"/>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68" w:customStyle="1">
    <w:name w:val="List Table 6 Colorful - Accent 1"/>
    <w:basedOn w:val="854"/>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69" w:customStyle="1">
    <w:name w:val="List Table 6 Colorful - Accent 2"/>
    <w:basedOn w:val="854"/>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70" w:customStyle="1">
    <w:name w:val="List Table 6 Colorful - Accent 3"/>
    <w:basedOn w:val="854"/>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71" w:customStyle="1">
    <w:name w:val="List Table 6 Colorful - Accent 4"/>
    <w:basedOn w:val="854"/>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72" w:customStyle="1">
    <w:name w:val="List Table 6 Colorful - Accent 5"/>
    <w:basedOn w:val="854"/>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73" w:customStyle="1">
    <w:name w:val="List Table 6 Colorful - Accent 6"/>
    <w:basedOn w:val="854"/>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74">
    <w:name w:val="List Table 7 Colorful"/>
    <w:basedOn w:val="854"/>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75" w:customStyle="1">
    <w:name w:val="List Table 7 Colorful - Accent 1"/>
    <w:basedOn w:val="854"/>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76" w:customStyle="1">
    <w:name w:val="List Table 7 Colorful - Accent 2"/>
    <w:basedOn w:val="854"/>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77" w:customStyle="1">
    <w:name w:val="List Table 7 Colorful - Accent 3"/>
    <w:basedOn w:val="854"/>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78" w:customStyle="1">
    <w:name w:val="List Table 7 Colorful - Accent 4"/>
    <w:basedOn w:val="854"/>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79" w:customStyle="1">
    <w:name w:val="List Table 7 Colorful - Accent 5"/>
    <w:basedOn w:val="854"/>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80" w:customStyle="1">
    <w:name w:val="List Table 7 Colorful - Accent 6"/>
    <w:basedOn w:val="854"/>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81" w:customStyle="1">
    <w:name w:val="Lined - Accent"/>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2" w:customStyle="1">
    <w:name w:val="Lined - Accent 1"/>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83" w:customStyle="1">
    <w:name w:val="Lined - Accent 2"/>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84" w:customStyle="1">
    <w:name w:val="Lined - Accent 3"/>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85" w:customStyle="1">
    <w:name w:val="Lined - Accent 4"/>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86" w:customStyle="1">
    <w:name w:val="Lined - Accent 5"/>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87" w:customStyle="1">
    <w:name w:val="Lined - Accent 6"/>
    <w:basedOn w:val="854"/>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88" w:customStyle="1">
    <w:name w:val="Bordered &amp; Lined - Accent"/>
    <w:basedOn w:val="854"/>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9" w:customStyle="1">
    <w:name w:val="Bordered &amp; Lined - Accent 1"/>
    <w:basedOn w:val="854"/>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90" w:customStyle="1">
    <w:name w:val="Bordered &amp; Lined - Accent 2"/>
    <w:basedOn w:val="854"/>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91" w:customStyle="1">
    <w:name w:val="Bordered &amp; Lined - Accent 3"/>
    <w:basedOn w:val="854"/>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92" w:customStyle="1">
    <w:name w:val="Bordered &amp; Lined - Accent 4"/>
    <w:basedOn w:val="854"/>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93" w:customStyle="1">
    <w:name w:val="Bordered &amp; Lined - Accent 5"/>
    <w:basedOn w:val="854"/>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94" w:customStyle="1">
    <w:name w:val="Bordered &amp; Lined - Accent 6"/>
    <w:basedOn w:val="854"/>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95" w:customStyle="1">
    <w:name w:val="Bordered"/>
    <w:basedOn w:val="854"/>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96" w:customStyle="1">
    <w:name w:val="Bordered - Accent 1"/>
    <w:basedOn w:val="854"/>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97" w:customStyle="1">
    <w:name w:val="Bordered - Accent 2"/>
    <w:basedOn w:val="854"/>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98" w:customStyle="1">
    <w:name w:val="Bordered - Accent 3"/>
    <w:basedOn w:val="854"/>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99" w:customStyle="1">
    <w:name w:val="Bordered - Accent 4"/>
    <w:basedOn w:val="85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00" w:customStyle="1">
    <w:name w:val="Bordered - Accent 5"/>
    <w:basedOn w:val="854"/>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01" w:customStyle="1">
    <w:name w:val="Bordered - Accent 6"/>
    <w:basedOn w:val="854"/>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02" w:customStyle="1">
    <w:name w:val="Footnote Text Char"/>
    <w:uiPriority w:val="99"/>
    <w:rPr>
      <w:sz w:val="18"/>
    </w:rPr>
  </w:style>
  <w:style w:type="paragraph" w:styleId="1003">
    <w:name w:val="endnote text"/>
    <w:basedOn w:val="843"/>
    <w:link w:val="1004"/>
    <w:uiPriority w:val="99"/>
    <w:semiHidden/>
    <w:unhideWhenUsed/>
    <w:rPr>
      <w:sz w:val="20"/>
    </w:rPr>
  </w:style>
  <w:style w:type="character" w:styleId="1004" w:customStyle="1">
    <w:name w:val="Текст концевой сноски Знак"/>
    <w:link w:val="1003"/>
    <w:uiPriority w:val="99"/>
    <w:rPr>
      <w:sz w:val="20"/>
    </w:rPr>
  </w:style>
  <w:style w:type="character" w:styleId="1005">
    <w:name w:val="endnote reference"/>
    <w:basedOn w:val="853"/>
    <w:uiPriority w:val="99"/>
    <w:semiHidden/>
    <w:unhideWhenUsed/>
    <w:rPr>
      <w:vertAlign w:val="superscript"/>
    </w:rPr>
  </w:style>
  <w:style w:type="paragraph" w:styleId="1006">
    <w:name w:val="toc 1"/>
    <w:basedOn w:val="843"/>
    <w:next w:val="843"/>
    <w:uiPriority w:val="39"/>
    <w:unhideWhenUsed/>
    <w:pPr>
      <w:spacing w:after="57"/>
    </w:pPr>
  </w:style>
  <w:style w:type="paragraph" w:styleId="1007">
    <w:name w:val="toc 2"/>
    <w:basedOn w:val="843"/>
    <w:next w:val="843"/>
    <w:uiPriority w:val="39"/>
    <w:unhideWhenUsed/>
    <w:pPr>
      <w:ind w:left="283"/>
      <w:spacing w:after="57"/>
    </w:pPr>
  </w:style>
  <w:style w:type="paragraph" w:styleId="1008">
    <w:name w:val="toc 3"/>
    <w:basedOn w:val="843"/>
    <w:next w:val="843"/>
    <w:uiPriority w:val="39"/>
    <w:unhideWhenUsed/>
    <w:pPr>
      <w:ind w:left="567"/>
      <w:spacing w:after="57"/>
    </w:pPr>
  </w:style>
  <w:style w:type="paragraph" w:styleId="1009">
    <w:name w:val="toc 4"/>
    <w:basedOn w:val="843"/>
    <w:next w:val="843"/>
    <w:uiPriority w:val="39"/>
    <w:unhideWhenUsed/>
    <w:pPr>
      <w:ind w:left="850"/>
      <w:spacing w:after="57"/>
    </w:pPr>
  </w:style>
  <w:style w:type="paragraph" w:styleId="1010">
    <w:name w:val="toc 5"/>
    <w:basedOn w:val="843"/>
    <w:next w:val="843"/>
    <w:uiPriority w:val="39"/>
    <w:unhideWhenUsed/>
    <w:pPr>
      <w:ind w:left="1134"/>
      <w:spacing w:after="57"/>
    </w:pPr>
  </w:style>
  <w:style w:type="paragraph" w:styleId="1011">
    <w:name w:val="toc 6"/>
    <w:basedOn w:val="843"/>
    <w:next w:val="843"/>
    <w:uiPriority w:val="39"/>
    <w:unhideWhenUsed/>
    <w:pPr>
      <w:ind w:left="1417"/>
      <w:spacing w:after="57"/>
    </w:pPr>
  </w:style>
  <w:style w:type="paragraph" w:styleId="1012">
    <w:name w:val="toc 7"/>
    <w:basedOn w:val="843"/>
    <w:next w:val="843"/>
    <w:uiPriority w:val="39"/>
    <w:unhideWhenUsed/>
    <w:pPr>
      <w:ind w:left="1701"/>
      <w:spacing w:after="57"/>
    </w:pPr>
  </w:style>
  <w:style w:type="paragraph" w:styleId="1013">
    <w:name w:val="toc 8"/>
    <w:basedOn w:val="843"/>
    <w:next w:val="843"/>
    <w:uiPriority w:val="39"/>
    <w:unhideWhenUsed/>
    <w:pPr>
      <w:ind w:left="1984"/>
      <w:spacing w:after="57"/>
    </w:pPr>
  </w:style>
  <w:style w:type="paragraph" w:styleId="1014">
    <w:name w:val="toc 9"/>
    <w:basedOn w:val="843"/>
    <w:next w:val="843"/>
    <w:uiPriority w:val="39"/>
    <w:unhideWhenUsed/>
    <w:pPr>
      <w:ind w:left="2268"/>
      <w:spacing w:after="57"/>
    </w:pPr>
  </w:style>
  <w:style w:type="paragraph" w:styleId="1015">
    <w:name w:val="TOC Heading"/>
    <w:uiPriority w:val="39"/>
    <w:unhideWhenUsed/>
  </w:style>
  <w:style w:type="paragraph" w:styleId="1016">
    <w:name w:val="table of figures"/>
    <w:basedOn w:val="843"/>
    <w:next w:val="843"/>
    <w:uiPriority w:val="99"/>
    <w:unhideWhenUsed/>
  </w:style>
  <w:style w:type="paragraph" w:styleId="1017" w:customStyle="1">
    <w:name w:val="ConsPlusNonformat"/>
    <w:uiPriority w:val="99"/>
    <w:rPr>
      <w:rFonts w:ascii="Courier New" w:hAnsi="Courier New" w:cs="Courier New"/>
    </w:rPr>
  </w:style>
  <w:style w:type="paragraph" w:styleId="1018" w:customStyle="1">
    <w:name w:val="ConsPlusTitle"/>
    <w:uiPriority w:val="99"/>
    <w:rPr>
      <w:b/>
      <w:bCs/>
      <w:sz w:val="28"/>
      <w:szCs w:val="28"/>
    </w:rPr>
  </w:style>
  <w:style w:type="paragraph" w:styleId="1019" w:customStyle="1">
    <w:name w:val="ConsPlusCell"/>
    <w:uiPriority w:val="99"/>
    <w:rPr>
      <w:rFonts w:ascii="Courier New" w:hAnsi="Courier New" w:cs="Courier New"/>
    </w:rPr>
  </w:style>
  <w:style w:type="paragraph" w:styleId="1020" w:customStyle="1">
    <w:name w:val="ConsPlusNormal"/>
    <w:link w:val="1044"/>
    <w:pPr>
      <w:widowControl w:val="off"/>
    </w:pPr>
    <w:rPr>
      <w:sz w:val="24"/>
      <w:szCs w:val="24"/>
    </w:rPr>
  </w:style>
  <w:style w:type="paragraph" w:styleId="1021">
    <w:name w:val="Body Text 3"/>
    <w:basedOn w:val="843"/>
    <w:link w:val="1022"/>
    <w:pPr>
      <w:jc w:val="both"/>
    </w:pPr>
    <w:rPr>
      <w:szCs w:val="20"/>
    </w:rPr>
  </w:style>
  <w:style w:type="character" w:styleId="1022" w:customStyle="1">
    <w:name w:val="Основной текст 3 Знак"/>
    <w:link w:val="1021"/>
    <w:rPr>
      <w:sz w:val="24"/>
      <w:lang w:val="ru-RU" w:eastAsia="ru-RU" w:bidi="ar-SA"/>
    </w:rPr>
  </w:style>
  <w:style w:type="paragraph" w:styleId="1023" w:customStyle="1">
    <w:name w:val="Готовый"/>
    <w:basedOn w:val="843"/>
    <w:pPr>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024">
    <w:name w:val="Header"/>
    <w:basedOn w:val="843"/>
    <w:link w:val="1025"/>
    <w:uiPriority w:val="99"/>
    <w:pPr>
      <w:tabs>
        <w:tab w:val="center" w:pos="4677" w:leader="none"/>
        <w:tab w:val="right" w:pos="9355" w:leader="none"/>
      </w:tabs>
    </w:pPr>
  </w:style>
  <w:style w:type="character" w:styleId="1025" w:customStyle="1">
    <w:name w:val="Верхний колонтитул Знак"/>
    <w:link w:val="1024"/>
    <w:uiPriority w:val="99"/>
    <w:rPr>
      <w:sz w:val="24"/>
      <w:szCs w:val="24"/>
    </w:rPr>
  </w:style>
  <w:style w:type="paragraph" w:styleId="1026">
    <w:name w:val="Footer"/>
    <w:basedOn w:val="843"/>
    <w:link w:val="1027"/>
    <w:uiPriority w:val="99"/>
    <w:pPr>
      <w:tabs>
        <w:tab w:val="center" w:pos="4677" w:leader="none"/>
        <w:tab w:val="right" w:pos="9355" w:leader="none"/>
      </w:tabs>
    </w:pPr>
  </w:style>
  <w:style w:type="character" w:styleId="1027" w:customStyle="1">
    <w:name w:val="Нижний колонтитул Знак"/>
    <w:link w:val="1026"/>
    <w:uiPriority w:val="99"/>
    <w:rPr>
      <w:sz w:val="24"/>
      <w:szCs w:val="24"/>
    </w:rPr>
  </w:style>
  <w:style w:type="paragraph" w:styleId="1028">
    <w:name w:val="Balloon Text"/>
    <w:basedOn w:val="843"/>
    <w:semiHidden/>
    <w:rPr>
      <w:rFonts w:ascii="Tahoma" w:hAnsi="Tahoma" w:cs="Tahoma"/>
      <w:sz w:val="16"/>
      <w:szCs w:val="16"/>
    </w:rPr>
  </w:style>
  <w:style w:type="character" w:styleId="1029" w:customStyle="1">
    <w:name w:val="Заголовок 3 Знак"/>
    <w:link w:val="846"/>
    <w:rPr>
      <w:rFonts w:ascii="Arial" w:hAnsi="Arial" w:eastAsia="Arial Unicode MS" w:cs="Arial"/>
      <w:b/>
      <w:bCs/>
      <w:sz w:val="26"/>
      <w:szCs w:val="26"/>
    </w:rPr>
  </w:style>
  <w:style w:type="paragraph" w:styleId="1030" w:customStyle="1">
    <w:name w:val="Table Paragraph"/>
    <w:basedOn w:val="843"/>
    <w:uiPriority w:val="1"/>
    <w:qFormat/>
    <w:pPr>
      <w:widowControl w:val="off"/>
    </w:pPr>
    <w:rPr>
      <w:rFonts w:ascii="Calibri" w:hAnsi="Calibri" w:eastAsia="Calibri"/>
      <w:sz w:val="22"/>
      <w:szCs w:val="22"/>
      <w:lang w:val="en-US" w:eastAsia="en-US"/>
    </w:rPr>
  </w:style>
  <w:style w:type="paragraph" w:styleId="1031">
    <w:name w:val="Plain Text"/>
    <w:basedOn w:val="843"/>
    <w:link w:val="1033"/>
    <w:uiPriority w:val="99"/>
    <w:pPr>
      <w:jc w:val="both"/>
    </w:pPr>
    <w:rPr>
      <w:rFonts w:ascii="Courier New" w:hAnsi="Courier New"/>
      <w:sz w:val="20"/>
      <w:szCs w:val="20"/>
    </w:rPr>
  </w:style>
  <w:style w:type="character" w:styleId="1032" w:customStyle="1">
    <w:name w:val="Текст Знак"/>
    <w:rPr>
      <w:rFonts w:ascii="Courier New" w:hAnsi="Courier New" w:cs="Courier New"/>
    </w:rPr>
  </w:style>
  <w:style w:type="character" w:styleId="1033" w:customStyle="1">
    <w:name w:val="Текст Знак1"/>
    <w:link w:val="1031"/>
    <w:uiPriority w:val="99"/>
    <w:rPr>
      <w:rFonts w:ascii="Courier New" w:hAnsi="Courier New" w:cs="Courier New"/>
    </w:rPr>
  </w:style>
  <w:style w:type="paragraph" w:styleId="1034">
    <w:name w:val="Body Text Indent"/>
    <w:basedOn w:val="843"/>
    <w:link w:val="1035"/>
    <w:pPr>
      <w:ind w:left="283"/>
      <w:spacing w:after="120"/>
    </w:pPr>
  </w:style>
  <w:style w:type="character" w:styleId="1035" w:customStyle="1">
    <w:name w:val="Основной текст с отступом Знак"/>
    <w:link w:val="1034"/>
    <w:rPr>
      <w:sz w:val="24"/>
      <w:szCs w:val="24"/>
    </w:rPr>
  </w:style>
  <w:style w:type="paragraph" w:styleId="1036">
    <w:name w:val="Title"/>
    <w:basedOn w:val="843"/>
    <w:link w:val="1037"/>
    <w:qFormat/>
    <w:pPr>
      <w:jc w:val="center"/>
    </w:pPr>
    <w:rPr>
      <w:b/>
      <w:sz w:val="28"/>
      <w:szCs w:val="20"/>
    </w:rPr>
  </w:style>
  <w:style w:type="character" w:styleId="1037" w:customStyle="1">
    <w:name w:val="Заголовок Знак"/>
    <w:link w:val="1036"/>
    <w:rPr>
      <w:b/>
      <w:sz w:val="28"/>
    </w:rPr>
  </w:style>
  <w:style w:type="character" w:styleId="1038">
    <w:name w:val="page number"/>
  </w:style>
  <w:style w:type="table" w:styleId="1039">
    <w:name w:val="Table Grid"/>
    <w:basedOn w:val="854"/>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40">
    <w:name w:val="List Paragraph"/>
    <w:basedOn w:val="843"/>
    <w:uiPriority w:val="34"/>
    <w:qFormat/>
    <w:pPr>
      <w:contextualSpacing/>
      <w:ind w:left="720"/>
      <w:spacing w:after="200" w:line="276" w:lineRule="auto"/>
    </w:pPr>
    <w:rPr>
      <w:rFonts w:ascii="Calibri" w:hAnsi="Calibri" w:eastAsia="Calibri"/>
      <w:sz w:val="22"/>
      <w:szCs w:val="22"/>
      <w:lang w:eastAsia="en-US"/>
    </w:rPr>
  </w:style>
  <w:style w:type="paragraph" w:styleId="1041">
    <w:name w:val="Body Text Indent 2"/>
    <w:basedOn w:val="843"/>
    <w:link w:val="1042"/>
    <w:pPr>
      <w:ind w:left="283"/>
      <w:jc w:val="both"/>
      <w:spacing w:after="120" w:line="480" w:lineRule="auto"/>
    </w:pPr>
  </w:style>
  <w:style w:type="character" w:styleId="1042" w:customStyle="1">
    <w:name w:val="Основной текст с отступом 2 Знак"/>
    <w:link w:val="1041"/>
    <w:rPr>
      <w:sz w:val="24"/>
      <w:szCs w:val="24"/>
    </w:rPr>
  </w:style>
  <w:style w:type="character" w:styleId="1043" w:customStyle="1">
    <w:name w:val="apple-converted-space"/>
  </w:style>
  <w:style w:type="character" w:styleId="1044" w:customStyle="1">
    <w:name w:val="ConsPlusNormal Знак"/>
    <w:link w:val="1020"/>
    <w:rPr>
      <w:sz w:val="24"/>
      <w:szCs w:val="24"/>
      <w:lang w:bidi="ar-SA"/>
    </w:rPr>
  </w:style>
  <w:style w:type="character" w:styleId="1045">
    <w:name w:val="Hyperlink"/>
    <w:uiPriority w:val="99"/>
    <w:unhideWhenUsed/>
    <w:rPr>
      <w:color w:val="0000ff"/>
      <w:u w:val="single"/>
    </w:rPr>
  </w:style>
  <w:style w:type="character" w:styleId="1046" w:customStyle="1">
    <w:name w:val="Font Style16"/>
    <w:rPr>
      <w:rFonts w:ascii="Times New Roman" w:hAnsi="Times New Roman" w:eastAsia="Times New Roman" w:cs="Times New Roman"/>
      <w:sz w:val="20"/>
      <w:szCs w:val="20"/>
    </w:rPr>
  </w:style>
  <w:style w:type="table" w:styleId="1047" w:customStyle="1">
    <w:name w:val="Сетка таблицы1"/>
    <w:basedOn w:val="854"/>
    <w:next w:val="103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48" w:customStyle="1">
    <w:name w:val="OTR11"/>
    <w:basedOn w:val="854"/>
    <w:next w:val="103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49" w:customStyle="1">
    <w:name w:val="OTR111"/>
    <w:basedOn w:val="854"/>
    <w:next w:val="103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0">
    <w:name w:val="annotation reference"/>
    <w:rPr>
      <w:sz w:val="16"/>
      <w:szCs w:val="16"/>
    </w:rPr>
  </w:style>
  <w:style w:type="paragraph" w:styleId="1051">
    <w:name w:val="annotation text"/>
    <w:basedOn w:val="843"/>
    <w:link w:val="1052"/>
    <w:rPr>
      <w:sz w:val="20"/>
      <w:szCs w:val="20"/>
    </w:rPr>
  </w:style>
  <w:style w:type="character" w:styleId="1052" w:customStyle="1">
    <w:name w:val="Текст примечания Знак"/>
    <w:basedOn w:val="853"/>
    <w:link w:val="1051"/>
  </w:style>
  <w:style w:type="paragraph" w:styleId="1053">
    <w:name w:val="annotation subject"/>
    <w:basedOn w:val="1051"/>
    <w:next w:val="1051"/>
    <w:link w:val="1054"/>
    <w:rPr>
      <w:b/>
      <w:bCs/>
    </w:rPr>
  </w:style>
  <w:style w:type="character" w:styleId="1054" w:customStyle="1">
    <w:name w:val="Тема примечания Знак"/>
    <w:link w:val="1053"/>
    <w:rPr>
      <w:b/>
      <w:bCs/>
    </w:rPr>
  </w:style>
  <w:style w:type="paragraph" w:styleId="1055">
    <w:name w:val="Normal (Web)"/>
    <w:basedOn w:val="843"/>
    <w:uiPriority w:val="99"/>
    <w:unhideWhenUsed/>
    <w:pPr>
      <w:spacing w:before="100" w:beforeAutospacing="1" w:after="100" w:afterAutospacing="1"/>
    </w:pPr>
  </w:style>
  <w:style w:type="paragraph" w:styleId="1056">
    <w:name w:val="footnote text"/>
    <w:basedOn w:val="843"/>
    <w:link w:val="1057"/>
    <w:uiPriority w:val="99"/>
    <w:unhideWhenUsed/>
    <w:rPr>
      <w:rFonts w:ascii="Calibri" w:hAnsi="Calibri" w:eastAsia="Calibri"/>
      <w:sz w:val="20"/>
      <w:szCs w:val="20"/>
      <w:lang w:eastAsia="en-US"/>
    </w:rPr>
  </w:style>
  <w:style w:type="character" w:styleId="1057" w:customStyle="1">
    <w:name w:val="Текст сноски Знак"/>
    <w:link w:val="1056"/>
    <w:uiPriority w:val="99"/>
    <w:rPr>
      <w:rFonts w:ascii="Calibri" w:hAnsi="Calibri" w:eastAsia="Calibri"/>
      <w:lang w:eastAsia="en-US"/>
    </w:rPr>
  </w:style>
  <w:style w:type="character" w:styleId="1058">
    <w:name w:val="footnote reference"/>
    <w:uiPriority w:val="99"/>
    <w:unhideWhenUsed/>
    <w:rPr>
      <w:vertAlign w:val="superscript"/>
    </w:rPr>
  </w:style>
  <w:style w:type="paragraph" w:styleId="1059">
    <w:name w:val="Revision"/>
    <w:hidden/>
    <w:uiPriority w:val="99"/>
    <w:semiHidden/>
    <w:rPr>
      <w:sz w:val="24"/>
      <w:szCs w:val="24"/>
    </w:rPr>
  </w:style>
  <w:style w:type="character" w:styleId="1060" w:customStyle="1">
    <w:name w:val="Заголовок 1 Знак"/>
    <w:link w:val="844"/>
    <w:rPr>
      <w:rFonts w:ascii="Calibri Light" w:hAnsi="Calibri Light" w:eastAsia="Times New Roman" w:cs="Times New Roman"/>
      <w:b/>
      <w:bCs/>
      <w:sz w:val="32"/>
      <w:szCs w:val="32"/>
    </w:rPr>
  </w:style>
  <w:style w:type="paragraph" w:styleId="1061" w:customStyle="1">
    <w:name w:val="Абзац списка1"/>
    <w:basedOn w:val="843"/>
    <w:pPr>
      <w:contextualSpacing/>
      <w:ind w:left="720"/>
    </w:pPr>
    <w:rPr>
      <w:rFonts w:eastAsia="Calibri"/>
      <w:lang w:eastAsia="ar-SA"/>
    </w:rPr>
  </w:style>
  <w:style w:type="table" w:styleId="1062" w:customStyle="1">
    <w:name w:val="Сетка таблицы2"/>
    <w:basedOn w:val="854"/>
    <w:next w:val="1039"/>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63" w:customStyle="1">
    <w:name w:val="Сетка таблицы3"/>
    <w:basedOn w:val="854"/>
    <w:next w:val="103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64" w:customStyle="1">
    <w:name w:val="ВыдМал Знак"/>
    <w:link w:val="1065"/>
    <w:rPr>
      <w:rFonts w:ascii="Calibri" w:hAnsi="Calibri" w:eastAsia="Calibri" w:cs="Calibri"/>
      <w:b/>
    </w:rPr>
  </w:style>
  <w:style w:type="paragraph" w:styleId="1065" w:customStyle="1">
    <w:name w:val="ВыдМал"/>
    <w:basedOn w:val="843"/>
    <w:link w:val="1064"/>
    <w:rPr>
      <w:rFonts w:ascii="Calibri" w:hAnsi="Calibri" w:eastAsia="Calibri" w:cs="Calibri"/>
      <w:b/>
      <w:sz w:val="20"/>
      <w:szCs w:val="20"/>
    </w:rPr>
  </w:style>
  <w:style w:type="character" w:styleId="1066" w:customStyle="1">
    <w:name w:val="Заголовок №3_"/>
    <w:basedOn w:val="853"/>
    <w:link w:val="1067"/>
    <w:rPr>
      <w:b/>
      <w:bCs/>
      <w:sz w:val="28"/>
      <w:szCs w:val="28"/>
      <w:shd w:val="clear" w:color="auto" w:fill="ffffff"/>
    </w:rPr>
  </w:style>
  <w:style w:type="paragraph" w:styleId="1067" w:customStyle="1">
    <w:name w:val="Заголовок №3"/>
    <w:basedOn w:val="843"/>
    <w:link w:val="1066"/>
    <w:pPr>
      <w:jc w:val="center"/>
      <w:spacing w:after="20"/>
      <w:shd w:val="clear" w:color="auto" w:fill="ffffff"/>
      <w:widowControl w:val="off"/>
      <w:outlineLvl w:val="2"/>
    </w:pPr>
    <w:rPr>
      <w:b/>
      <w:bCs/>
      <w:sz w:val="28"/>
      <w:szCs w:val="28"/>
    </w:rPr>
  </w:style>
  <w:style w:type="character" w:styleId="1068" w:customStyle="1">
    <w:name w:val="Другое_"/>
    <w:basedOn w:val="853"/>
    <w:link w:val="1069"/>
    <w:rPr>
      <w:shd w:val="clear" w:color="auto" w:fill="ffffff"/>
    </w:rPr>
  </w:style>
  <w:style w:type="paragraph" w:styleId="1069" w:customStyle="1">
    <w:name w:val="Другое"/>
    <w:basedOn w:val="843"/>
    <w:link w:val="1068"/>
    <w:pPr>
      <w:shd w:val="clear" w:color="auto" w:fill="ffffff"/>
      <w:widowControl w:val="off"/>
    </w:pPr>
    <w:rPr>
      <w:sz w:val="20"/>
      <w:szCs w:val="20"/>
    </w:rPr>
  </w:style>
  <w:style w:type="paragraph" w:styleId="1070">
    <w:name w:val="Body Text 2"/>
    <w:basedOn w:val="843"/>
    <w:link w:val="1071"/>
    <w:uiPriority w:val="99"/>
    <w:pPr>
      <w:spacing w:after="120" w:line="480" w:lineRule="auto"/>
    </w:pPr>
    <w:rPr>
      <w:sz w:val="20"/>
      <w:szCs w:val="20"/>
    </w:rPr>
  </w:style>
  <w:style w:type="character" w:styleId="1071" w:customStyle="1">
    <w:name w:val="Основной текст 2 Знак"/>
    <w:basedOn w:val="853"/>
    <w:link w:val="1070"/>
    <w:uiPriority w:val="99"/>
  </w:style>
  <w:style w:type="character" w:styleId="1072" w:customStyle="1">
    <w:name w:val="Заголовок №1_"/>
    <w:basedOn w:val="853"/>
    <w:link w:val="1074"/>
    <w:rPr>
      <w:rFonts w:ascii="Arial" w:hAnsi="Arial" w:eastAsia="Arial" w:cs="Arial"/>
      <w:b/>
      <w:bCs/>
      <w:shd w:val="clear" w:color="auto" w:fill="ffffff"/>
    </w:rPr>
  </w:style>
  <w:style w:type="character" w:styleId="1073" w:customStyle="1">
    <w:name w:val="Основной текст_"/>
    <w:basedOn w:val="853"/>
    <w:link w:val="1075"/>
    <w:rPr>
      <w:rFonts w:ascii="Arial" w:hAnsi="Arial" w:eastAsia="Arial" w:cs="Arial"/>
      <w:shd w:val="clear" w:color="auto" w:fill="ffffff"/>
    </w:rPr>
  </w:style>
  <w:style w:type="paragraph" w:styleId="1074" w:customStyle="1">
    <w:name w:val="Заголовок №1"/>
    <w:basedOn w:val="843"/>
    <w:link w:val="1072"/>
    <w:pPr>
      <w:ind w:left="280" w:firstLine="20"/>
      <w:spacing w:after="240"/>
      <w:shd w:val="clear" w:color="auto" w:fill="ffffff"/>
      <w:widowControl w:val="off"/>
      <w:outlineLvl w:val="0"/>
    </w:pPr>
    <w:rPr>
      <w:rFonts w:ascii="Arial" w:hAnsi="Arial" w:eastAsia="Arial" w:cs="Arial"/>
      <w:b/>
      <w:bCs/>
      <w:sz w:val="20"/>
      <w:szCs w:val="20"/>
    </w:rPr>
  </w:style>
  <w:style w:type="paragraph" w:styleId="1075" w:customStyle="1">
    <w:name w:val="Основной текст1"/>
    <w:basedOn w:val="843"/>
    <w:link w:val="1073"/>
    <w:pPr>
      <w:ind w:firstLine="400"/>
      <w:spacing w:after="240" w:line="252" w:lineRule="auto"/>
      <w:shd w:val="clear" w:color="auto" w:fill="ffffff"/>
      <w:widowControl w:val="off"/>
    </w:pPr>
    <w:rPr>
      <w:rFonts w:ascii="Arial" w:hAnsi="Arial" w:eastAsia="Arial" w:cs="Arial"/>
      <w:sz w:val="20"/>
      <w:szCs w:val="20"/>
    </w:rPr>
  </w:style>
  <w:style w:type="character" w:styleId="1076" w:customStyle="1">
    <w:name w:val="Подпись к таблице_"/>
    <w:basedOn w:val="853"/>
    <w:link w:val="1077"/>
    <w:rPr>
      <w:rFonts w:ascii="Arial" w:hAnsi="Arial" w:eastAsia="Arial" w:cs="Arial"/>
      <w:shd w:val="clear" w:color="auto" w:fill="ffffff"/>
    </w:rPr>
  </w:style>
  <w:style w:type="paragraph" w:styleId="1077" w:customStyle="1">
    <w:name w:val="Подпись к таблице"/>
    <w:basedOn w:val="843"/>
    <w:link w:val="1076"/>
    <w:pPr>
      <w:jc w:val="right"/>
      <w:spacing w:line="252" w:lineRule="auto"/>
      <w:shd w:val="clear" w:color="auto" w:fill="ffffff"/>
      <w:widowControl w:val="off"/>
    </w:pPr>
    <w:rPr>
      <w:rFonts w:ascii="Arial" w:hAnsi="Arial" w:eastAsia="Arial" w:cs="Arial"/>
      <w:sz w:val="20"/>
      <w:szCs w:val="20"/>
    </w:rPr>
  </w:style>
  <w:style w:type="character" w:styleId="1078">
    <w:name w:val="Unresolved Mention"/>
    <w:basedOn w:val="853"/>
    <w:uiPriority w:val="99"/>
    <w:semiHidden/>
    <w:unhideWhenUsed/>
    <w:rPr>
      <w:color w:val="605e5c"/>
      <w:shd w:val="clear" w:color="auto" w:fill="e1dfdd"/>
    </w:rPr>
  </w:style>
  <w:style w:type="table" w:styleId="1079" w:customStyle="1">
    <w:name w:val="Table Normal"/>
    <w:uiPriority w:val="2"/>
    <w:semiHidden/>
    <w:unhideWhenUsed/>
    <w:qFormat/>
    <w:pPr>
      <w:widowControl w:val="off"/>
    </w:pPr>
    <w:rPr>
      <w:rFonts w:ascii="Calibri" w:hAnsi="Calibri" w:eastAsia="Calibri"/>
      <w:sz w:val="22"/>
      <w:szCs w:val="22"/>
      <w:lang w:val="en-US" w:eastAsia="en-US"/>
    </w:rPr>
    <w:tblPr>
      <w:tblInd w:w="0" w:type="dxa"/>
      <w:tblCellMar>
        <w:left w:w="0" w:type="dxa"/>
        <w:top w:w="0" w:type="dxa"/>
        <w:right w:w="0" w:type="dxa"/>
        <w:bottom w:w="0" w:type="dxa"/>
      </w:tblCellMar>
    </w:tblPr>
  </w:style>
  <w:style w:type="table" w:styleId="1080" w:customStyle="1">
    <w:name w:val="Сетка таблицы4"/>
    <w:basedOn w:val="854"/>
    <w:next w:val="103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81" w:customStyle="1">
    <w:name w:val="Основной текст (2)"/>
    <w:pPr>
      <w:ind w:left="3880"/>
      <w:spacing w:after="190"/>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eastAsia="Arial" w:cs="Arial"/>
      <w:color w:val="000000"/>
      <w:sz w:val="12"/>
      <w:szCs w:val="12"/>
      <w:lang w:bidi="ru-RU"/>
    </w:rPr>
  </w:style>
  <w:style w:type="paragraph" w:styleId="1082" w:customStyle="1">
    <w:name w:val="Основной текст2"/>
    <w:pPr>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Calibri" w:hAnsi="Calibri" w:eastAsia="Calibri" w:cs="Calibri"/>
      <w:color w:val="000000"/>
      <w:sz w:val="18"/>
      <w:szCs w:val="18"/>
      <w:lang w:bidi="ru-RU"/>
    </w:rPr>
  </w:style>
  <w:style w:type="character" w:styleId="1083" w:customStyle="1">
    <w:name w:val="wmi-callto"/>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ilyushina.a.yu</cp:lastModifiedBy>
  <cp:revision>13</cp:revision>
  <dcterms:created xsi:type="dcterms:W3CDTF">2026-01-21T11:26:00Z</dcterms:created>
  <dcterms:modified xsi:type="dcterms:W3CDTF">2026-03-24T07:04:19Z</dcterms:modified>
</cp:coreProperties>
</file>