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88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487"/>
        <w:gridCol w:w="951"/>
        <w:gridCol w:w="943"/>
        <w:gridCol w:w="947"/>
        <w:gridCol w:w="943"/>
        <w:gridCol w:w="947"/>
        <w:gridCol w:w="738"/>
        <w:gridCol w:w="943"/>
        <w:gridCol w:w="948"/>
        <w:gridCol w:w="1087"/>
        <w:gridCol w:w="1556"/>
        <w:gridCol w:w="390"/>
      </w:tblGrid>
      <w:tr>
        <w:trPr>
          <w:trHeight w:val="426"/>
        </w:trPr>
        <w:tc>
          <w:tcPr>
            <w:gridSpan w:val="12"/>
            <w:shd w:val="clear" w:color="FFFFFF" w:fill="auto"/>
            <w:tcW w:w="10881" w:type="dxa"/>
            <w:vAlign w:val="bottom"/>
            <w:textDirection w:val="lrTb"/>
            <w:noWrap w:val="false"/>
          </w:tcPr>
          <w:p>
            <w:pPr>
              <w:pStyle w:val="639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 xml:space="preserve">Контракт</w:t>
            </w:r>
            <w:r/>
          </w:p>
        </w:tc>
      </w:tr>
      <w:tr>
        <w:trPr>
          <w:trHeight w:val="60"/>
        </w:trPr>
        <w:tc>
          <w:tcPr>
            <w:gridSpan w:val="12"/>
            <w:shd w:val="clear" w:color="FFFFFF" w:fill="auto"/>
            <w:tcW w:w="10881" w:type="dxa"/>
            <w:vAlign w:val="bottom"/>
            <w:textDirection w:val="lrTb"/>
            <w:noWrap w:val="false"/>
          </w:tcPr>
          <w:p>
            <w:pPr>
              <w:pStyle w:val="639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 xml:space="preserve">оказания медицинских услуг № </w:t>
            </w:r>
            <w:r/>
          </w:p>
        </w:tc>
      </w:tr>
      <w:tr>
        <w:trPr>
          <w:trHeight w:val="60"/>
        </w:trPr>
        <w:tc>
          <w:tcPr>
            <w:shd w:val="clear" w:color="FFFFFF" w:fill="auto"/>
            <w:tcW w:w="48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951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943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94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943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94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738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943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948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108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1556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</w:pPr>
            <w:r/>
            <w:r/>
          </w:p>
        </w:tc>
      </w:tr>
      <w:tr>
        <w:trPr>
          <w:trHeight w:val="60"/>
        </w:trPr>
        <w:tc>
          <w:tcPr>
            <w:gridSpan w:val="2"/>
            <w:shd w:val="clear" w:color="FFFFFF" w:fill="auto"/>
            <w:tcW w:w="1438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г. Киров</w:t>
            </w:r>
            <w:r/>
          </w:p>
        </w:tc>
        <w:tc>
          <w:tcPr>
            <w:shd w:val="clear" w:color="FFFFFF" w:fill="auto"/>
            <w:tcW w:w="943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94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943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94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738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gridSpan w:val="4"/>
            <w:shd w:val="clear" w:color="FFFFFF" w:fill="auto"/>
            <w:tcW w:w="4534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                                 </w:t>
            </w:r>
            <w:r>
              <w:rPr>
                <w:sz w:val="20"/>
                <w:szCs w:val="20"/>
                <w:lang w:val="ru-RU" w:eastAsia="ru-RU"/>
              </w:rPr>
              <w:t xml:space="preserve">«___ »    2026 г.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</w:pPr>
            <w:r/>
            <w:r/>
          </w:p>
        </w:tc>
      </w:tr>
      <w:tr>
        <w:trPr>
          <w:trHeight w:val="60"/>
        </w:trPr>
        <w:tc>
          <w:tcPr>
            <w:shd w:val="clear" w:color="FFFFFF" w:fill="auto"/>
            <w:tcW w:w="48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951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943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94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943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94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738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943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948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108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shd w:val="clear" w:color="FFFFFF" w:fill="auto"/>
            <w:tcW w:w="1556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</w:pPr>
            <w:r/>
            <w:r/>
          </w:p>
        </w:tc>
      </w:tr>
      <w:tr>
        <w:trPr>
          <w:trHeight w:val="230"/>
        </w:trPr>
        <w:tc>
          <w:tcPr>
            <w:gridSpan w:val="11"/>
            <w:shd w:val="clear" w:color="FFFFFF" w:fill="auto"/>
            <w:tcW w:w="10491" w:type="dxa"/>
            <w:vAlign w:val="bottom"/>
            <w:vMerge w:val="restart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Общество с ограниченной ответственностью «ЦЕНТРАЛИЗОВАННАЯ КЛИНИКО-ДИАГНОСТИЧЕСКАЯ ЛАБОРАТОРИЯ», </w:t>
            </w:r>
            <w:r>
              <w:rPr>
                <w:sz w:val="20"/>
                <w:szCs w:val="20"/>
                <w:lang w:val="ru-RU" w:eastAsia="ru-RU"/>
              </w:rPr>
              <w:t xml:space="preserve">именуемое в дальнейшем «Исполнитель», в лице Генерального директора Пищика Артема Александровича, действующего на основании устава, с одной стороны, и</w:t>
            </w:r>
            <w:r/>
          </w:p>
          <w:p>
            <w:pPr>
              <w:pStyle w:val="639"/>
              <w:jc w:val="both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ФГБУН КНИИГ и ПК ФМБА России, </w:t>
            </w:r>
            <w:r>
              <w:rPr>
                <w:bCs/>
                <w:sz w:val="20"/>
                <w:szCs w:val="20"/>
                <w:lang w:val="ru-RU" w:eastAsia="ru-RU"/>
              </w:rPr>
              <w:t xml:space="preserve">именуемое в дальнейшем «Заказчик» в лице Директора Парамонова Игоря Владимировича, действующего на основании Устава</w:t>
            </w:r>
            <w:r>
              <w:rPr>
                <w:sz w:val="20"/>
                <w:szCs w:val="20"/>
                <w:lang w:val="ru-RU" w:eastAsia="ru-RU"/>
              </w:rPr>
              <w:t xml:space="preserve">, с другой стороны, в соответствии с пунктом 5 части 1 статьи 93 Феде</w:t>
            </w:r>
            <w:r>
              <w:rPr>
                <w:sz w:val="20"/>
                <w:szCs w:val="20"/>
                <w:lang w:val="ru-RU" w:eastAsia="ru-RU"/>
              </w:rPr>
              <w:t xml:space="preserve">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заключили настоящий контракт о нижеследующем: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230"/>
        </w:trPr>
        <w:tc>
          <w:tcPr>
            <w:gridSpan w:val="11"/>
            <w:shd w:val="clear" w:color="FFFFFF" w:fill="auto"/>
            <w:tcW w:w="10491" w:type="dxa"/>
            <w:vAlign w:val="bottom"/>
            <w:vMerge w:val="continue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704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Предмет контракта</w:t>
            </w:r>
            <w:r/>
          </w:p>
          <w:p>
            <w:pPr>
              <w:pStyle w:val="639"/>
              <w:ind w:left="36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</w:pPr>
            <w:r/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1.1. Исполнитель обязуется оказать услуги для Заказчика по проведению лабораторных исследований в лабораториях Исполнителя образцов биологических материалов, забираемых Заказчиком у своих пациентов в соответствии с условиями настоящего контракта.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1.2. Число проводимых исследований определяется на основании заполненного унифицированного направления с печатью и подписью направляющего врача или заявки в соответствии со Спецификацией (Приложение № 1)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1.3. «Заказчик» обязуется оплатить медицинские услуги в порядке и сроки, установленные настоящим контрактом.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1.4. Оказание услуг, указанных в п. 1.1. Контракта, осуществляется Исполнителем в соответствии с лицензией на медицинскую деятельность Л041-01160-43/00589029 от 29.05.2019 г.</w:t>
            </w:r>
            <w:r/>
          </w:p>
          <w:p>
            <w:pPr>
              <w:pStyle w:val="639"/>
              <w:jc w:val="both"/>
              <w:spacing w:lineRule="atLeast" w:line="240"/>
              <w:widowControl w:val="off"/>
              <w:tabs>
                <w:tab w:val="left" w:pos="0" w:leader="none"/>
                <w:tab w:val="clear" w:pos="708" w:leader="none"/>
              </w:tabs>
              <w:rPr>
                <w:rFonts w:eastAsia="Arial"/>
                <w:color w:val="000000"/>
                <w:sz w:val="20"/>
                <w:szCs w:val="20"/>
                <w:lang w:val="ru-RU" w:bidi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1.5. </w:t>
            </w:r>
            <w:r>
              <w:rPr>
                <w:rFonts w:eastAsia="Arial"/>
                <w:color w:val="000000"/>
                <w:sz w:val="20"/>
                <w:szCs w:val="20"/>
                <w:lang w:val="ru-RU" w:bidi="ru-RU" w:eastAsia="ru-RU"/>
              </w:rPr>
              <w:t xml:space="preserve">Услуги оказываются по месту нахождения Исполнителя: 610040, Киров г, Павла Корчагина ул, дом № 227 (Централизованная клинико-диагностическая лаборатория Исполнителя).</w:t>
            </w:r>
            <w:r/>
          </w:p>
          <w:p>
            <w:pPr>
              <w:pStyle w:val="639"/>
              <w:jc w:val="both"/>
              <w:spacing w:lineRule="atLeast" w:line="240"/>
              <w:widowControl w:val="off"/>
              <w:tabs>
                <w:tab w:val="left" w:pos="0" w:leader="none"/>
                <w:tab w:val="clear" w:pos="708" w:leader="none"/>
              </w:tabs>
              <w:rPr>
                <w:sz w:val="20"/>
                <w:szCs w:val="20"/>
                <w:lang w:val="ru-RU" w:eastAsia="ru-RU"/>
              </w:rPr>
            </w:pPr>
            <w:r>
              <w:rPr>
                <w:rFonts w:eastAsia="Arial"/>
                <w:sz w:val="20"/>
                <w:szCs w:val="20"/>
                <w:lang w:val="ru-RU" w:bidi="ru-RU" w:eastAsia="ru-RU"/>
              </w:rPr>
              <w:t xml:space="preserve">ИКЗ  </w:t>
            </w:r>
            <w:r>
              <w:rPr>
                <w:b/>
                <w:color w:val="000000"/>
                <w:sz w:val="22"/>
                <w:szCs w:val="22"/>
              </w:rPr>
              <w:t xml:space="preserve">261434600765643450100100</w:t>
            </w:r>
            <w:r>
              <w:rPr>
                <w:b/>
                <w:color w:val="000000"/>
                <w:sz w:val="22"/>
                <w:szCs w:val="22"/>
                <w:lang w:val="ru-RU"/>
              </w:rPr>
              <w:t xml:space="preserve">30</w:t>
            </w:r>
            <w:r>
              <w:rPr>
                <w:b/>
                <w:color w:val="000000"/>
                <w:sz w:val="22"/>
                <w:szCs w:val="22"/>
              </w:rPr>
              <w:t xml:space="preserve">0000000244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</w:pPr>
            <w:r/>
            <w:r/>
          </w:p>
        </w:tc>
      </w:tr>
      <w:tr>
        <w:trPr>
          <w:trHeight w:val="8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</w:pPr>
            <w:r/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2. Цена контракта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</w:pPr>
            <w:r/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2.1. Стоимость услуг по настоящему </w:t>
            </w:r>
            <w:r>
              <w:rPr>
                <w:sz w:val="20"/>
                <w:szCs w:val="20"/>
                <w:highlight w:val="yellow"/>
                <w:lang w:val="ru-RU" w:eastAsia="ru-RU"/>
              </w:rPr>
              <w:t xml:space="preserve">контракту составляет50 000,00  </w:t>
            </w:r>
            <w:r>
              <w:rPr>
                <w:sz w:val="20"/>
                <w:szCs w:val="20"/>
                <w:highlight w:val="yellow"/>
                <w:u w:val="single"/>
                <w:lang w:val="ru-RU" w:eastAsia="ru-RU"/>
              </w:rPr>
              <w:t xml:space="preserve">(пятьдесят тысяч)</w:t>
            </w:r>
            <w:r>
              <w:rPr>
                <w:sz w:val="20"/>
                <w:szCs w:val="20"/>
                <w:highlight w:val="yellow"/>
                <w:lang w:val="ru-RU" w:eastAsia="ru-RU"/>
              </w:rPr>
              <w:t xml:space="preserve"> рублей 00 копеек</w:t>
            </w:r>
            <w:r>
              <w:rPr>
                <w:sz w:val="20"/>
                <w:szCs w:val="20"/>
                <w:lang w:val="ru-RU" w:eastAsia="ru-RU"/>
              </w:rPr>
              <w:t xml:space="preserve">.</w:t>
            </w:r>
            <w:r/>
          </w:p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2.2. Цена за единицу исследования указана в Спецификации (Приложение № 1 к контракту). </w:t>
            </w:r>
            <w:r/>
          </w:p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2.3. Оплата услуг осуществляется Заказчиком в безналичной форме путем перечисления денежных средств на расчетный счет Исполнителя за фактически оказанные услуги </w:t>
            </w:r>
            <w:r>
              <w:rPr>
                <w:sz w:val="20"/>
                <w:szCs w:val="20"/>
                <w:lang w:val="ru-RU" w:eastAsia="ar-SA"/>
              </w:rPr>
              <w:t xml:space="preserve">в течение 7 (семи) рабочих дней </w:t>
            </w:r>
            <w:r>
              <w:rPr>
                <w:sz w:val="20"/>
                <w:szCs w:val="20"/>
                <w:lang w:val="ru-RU" w:eastAsia="ru-RU"/>
              </w:rPr>
              <w:t xml:space="preserve">с момента подписания акта приемки оказанных услуг, на основании счета – фактуры либо счета.</w:t>
            </w:r>
            <w:r/>
          </w:p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2.4. Оплата оказанных услуг осуществляется по цене единицы услуги исходя из объема фактически оказанных услуг, но в размере, не превышающем цены контракта.</w:t>
            </w:r>
            <w:r/>
          </w:p>
          <w:p>
            <w:pPr>
              <w:pStyle w:val="639"/>
              <w:jc w:val="both"/>
              <w:rPr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2.5.</w:t>
            </w:r>
            <w:r>
              <w:rPr>
                <w:sz w:val="20"/>
                <w:szCs w:val="28"/>
                <w:lang w:val="ru-RU"/>
              </w:rPr>
              <w:t xml:space="preserve">При приемке товаров, работ, услуг по контрактам, информация о </w:t>
            </w:r>
            <w:r>
              <w:rPr>
                <w:sz w:val="20"/>
                <w:szCs w:val="28"/>
                <w:lang w:val="ru-RU"/>
              </w:rPr>
              <w:t xml:space="preserve">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осн</w:t>
            </w:r>
            <w:r>
              <w:rPr>
                <w:sz w:val="20"/>
                <w:szCs w:val="28"/>
                <w:lang w:val="ru-RU"/>
              </w:rPr>
              <w:t xml:space="preserve">овании  документов подтверждающих отгрузку товаров, работ, услуг (УПД, товарные накладные, акты выполненных работ, акты сдачи-приемки оказанных услуг, и т. п.). Вторая сторона обязана обеспечить подписание Акта приемки своим  уполномоченным представителем.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3. Обязательства сторон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</w:pPr>
            <w:r/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3.1. Исполнитель обязан: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</w:pPr>
            <w:r/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3.1.1. Оказать услуги лично, без привлечения соисполнителей.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3.1.2. Осуществлять проведение лабораторных исследований при наличии соответствующих направлений выданных Заказчиком.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3.1.3. Осуществлять проведение лабораторных исследований в соответствии с методами, определенными в настоящем контракте, в соответствии с требованиями действующих норм, правил</w:t>
            </w:r>
            <w:r>
              <w:rPr>
                <w:sz w:val="20"/>
                <w:szCs w:val="20"/>
                <w:lang w:val="ru-RU" w:eastAsia="ru-RU"/>
              </w:rPr>
              <w:t xml:space="preserve">, стандартов (ГОСТ Р 53133.4-2008, ГОСТ Р 53079.1-4-2008, ГОСТ Р ИСО 15189-2024), а также в соответствии с технологией, применяемой для данного вида услуг, с надлежащим качеством и предоставлять заключения о результатах лабораторных исследований Заказчику.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3.1.4. Осуществлять проведение лабораторных исследований: основные рутинные тесты в течение 24 часов с момента доставки биологического материала в лабораторию Исполнителя, специфические тесты в течение 12 календарных дней с</w:t>
            </w:r>
            <w:r>
              <w:rPr>
                <w:sz w:val="20"/>
                <w:szCs w:val="20"/>
                <w:lang w:val="ru-RU" w:eastAsia="ru-RU"/>
              </w:rPr>
              <w:t xml:space="preserve"> момента доставки биологического материала в лабораторию Исполнителя. Срок подготовки заключения о результатах лабораторных исследований и предоставление заключения о результатах лабораторных исследований входит в срок проведения лабораторных исследований.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3.1.5. Фиксировать при проведении лабораторных исследований данные о проведенных лабораторных исследованиях, </w:t>
            </w:r>
            <w:r>
              <w:rPr>
                <w:sz w:val="20"/>
                <w:szCs w:val="20"/>
                <w:lang w:val="ru-RU" w:eastAsia="ru-RU"/>
              </w:rPr>
              <w:t xml:space="preserve">вести учет видов, объемов лабораторных исследований, архив проб биологического материала (в течение не менее трех дней, в зависимости от вида биологического материала) и выдавать Заказчику соответствующее заключение о результатах лабораторных исследований.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3.1.6. Гарантировать сохранность и конфиденциальность результатов исследований в с</w:t>
            </w:r>
            <w:r>
              <w:rPr>
                <w:sz w:val="20"/>
                <w:szCs w:val="20"/>
                <w:lang w:val="ru-RU" w:eastAsia="ru-RU"/>
              </w:rPr>
              <w:t xml:space="preserve">оответствии с условиями, определенными действующим законодательством РФ. Выдавать Заказчику результаты лабораторных исследований с соблюдением норм Федерального закона «О персональных данных» от 27.06.2006г. № 152-ФЗ, в электронном формате посредством ЛИС.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3.1.7. Еженедельно направлять «Заказчику» документы: счет-фактуру, Акт сдачи-приемки услуг, отражающие стоимость и фактический объем оказанных услуг за неделю (с помощью почтовой связи, факса или электронной почты (e-mail).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В случае не подписания акта сдачи-приемки услуг Заказчиком в течение </w:t>
            </w:r>
            <w:r>
              <w:rPr>
                <w:sz w:val="20"/>
                <w:szCs w:val="20"/>
                <w:shd w:val="clear" w:fill="FFEA00" w:color="auto"/>
                <w:lang w:val="ru-RU" w:eastAsia="ru-RU"/>
              </w:rPr>
              <w:t xml:space="preserve">10 рабочих д</w:t>
            </w:r>
            <w:r>
              <w:rPr>
                <w:sz w:val="20"/>
                <w:szCs w:val="20"/>
                <w:shd w:val="clear" w:fill="FFEA00" w:color="auto"/>
                <w:lang w:val="ru-RU" w:eastAsia="ru-RU"/>
              </w:rPr>
              <w:t xml:space="preserve">ней</w:t>
            </w:r>
            <w:r>
              <w:rPr>
                <w:sz w:val="20"/>
                <w:szCs w:val="20"/>
                <w:lang w:val="ru-RU" w:eastAsia="ru-RU"/>
              </w:rPr>
              <w:t xml:space="preserve"> с даты направления Исполнителем оригинала акта и отсутствия письменного отказа Заказчика от подписания акта, акт считается подписанным, а Услуги оказанными в полном объеме и надлежащим качеством.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3.2. Заказчик обязан: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</w:pPr>
            <w:r/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3.2.1.  Осуществлять собственным транспортом доставку биологических материалов, подлежащих исследованию, оп</w:t>
            </w:r>
            <w:r>
              <w:rPr>
                <w:sz w:val="20"/>
                <w:szCs w:val="20"/>
                <w:lang w:val="ru-RU" w:eastAsia="ru-RU"/>
              </w:rPr>
              <w:t xml:space="preserve">ределять в заявках объем и виды проводимых исследований, соблюдать правила и условия забора и транспортировки биологических материалов (осуществлять доставку биологического материала в термоконтейнерах), установленные нормами действующего законодательства.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3.2.2. Взятие и транспортировку биологического материала Заказчик осуществлять в соответств</w:t>
            </w:r>
            <w:r>
              <w:rPr>
                <w:sz w:val="20"/>
                <w:szCs w:val="20"/>
                <w:lang w:val="ru-RU" w:eastAsia="ru-RU"/>
              </w:rPr>
              <w:t xml:space="preserve">ии с требованиями Постановления Главного государственного санитарного врача РФ от 28.01.2021 N 4 (ред. от 25.05.2022) "Об утверждении санитарных правил и норм СанПиН 3.3686-21 "Санитарно-эпидемиологические требования по профилактике инфекционных болезней".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3.2.3. Осуществлять первичную сортировку и регистрацию биологического материла, а именно штрих-кодирование, отбраковку материала по месту своего нахождения.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3.2.4. Определять в заявках объем и виды проводимых исследований, обеспечить своевременную передачу Исполнителю биологического материала.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3.2.5. Оплачивает «Исполнителю» стоимость оказанных медицинских услуг в течение </w:t>
            </w:r>
            <w:r>
              <w:rPr>
                <w:sz w:val="20"/>
                <w:szCs w:val="20"/>
                <w:shd w:val="clear" w:fill="FFEA00" w:color="auto"/>
                <w:lang w:val="ru-RU" w:eastAsia="ru-RU"/>
              </w:rPr>
              <w:t xml:space="preserve">7</w:t>
            </w:r>
            <w:r>
              <w:rPr>
                <w:sz w:val="20"/>
                <w:szCs w:val="20"/>
                <w:shd w:val="clear" w:fill="FFEA00" w:color="auto"/>
                <w:lang w:val="ru-RU" w:eastAsia="ru-RU"/>
              </w:rPr>
              <w:t xml:space="preserve"> (</w:t>
            </w:r>
            <w:r>
              <w:rPr>
                <w:sz w:val="20"/>
                <w:szCs w:val="20"/>
                <w:shd w:val="clear" w:fill="FFEA00" w:color="auto"/>
                <w:lang w:val="ru-RU" w:eastAsia="ru-RU"/>
              </w:rPr>
              <w:t xml:space="preserve">семи</w:t>
            </w:r>
            <w:r>
              <w:rPr>
                <w:sz w:val="20"/>
                <w:szCs w:val="20"/>
                <w:shd w:val="clear" w:fill="FFEA00" w:color="auto"/>
                <w:lang w:val="ru-RU" w:eastAsia="ru-RU"/>
              </w:rPr>
              <w:t xml:space="preserve">) рабочих</w:t>
            </w:r>
            <w:r>
              <w:rPr>
                <w:sz w:val="20"/>
                <w:szCs w:val="20"/>
                <w:lang w:val="ru-RU" w:eastAsia="ru-RU"/>
              </w:rPr>
              <w:t xml:space="preserve"> дней с  даты подписания акта сдачи-приемки услуг, путем перечисления денежных средств на расчетный счет Исполнителя.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4. Ответственность сторон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</w:pPr>
            <w:r/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4.1. В случае несоблюдения Заказчиком условий оказания услуги, Исполнитель не несет ответственности за качество оказываемых услуг.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4.2. Заказчик несет ответственность за достоверность предоставленных Исполнителю сведений о лице, непосредственно которому оказана или будет оказана медицинская услуга.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4.3. В слу</w:t>
            </w:r>
            <w:r>
              <w:rPr>
                <w:sz w:val="20"/>
                <w:szCs w:val="20"/>
                <w:lang w:val="ru-RU" w:eastAsia="ru-RU"/>
              </w:rPr>
              <w:t xml:space="preserve">чае просрочки исполнения Заказчиком условий оплаты, Исполнитель вправе потребовать уплаты неустоек (пеней, штрафов). Пеня начисляется за каждый день просрочки исполнения обязательства, предусмотренного контрактом, начиная со дня, следующего после дня исчис</w:t>
            </w:r>
            <w:r>
              <w:rPr>
                <w:sz w:val="20"/>
                <w:szCs w:val="20"/>
                <w:lang w:val="ru-RU" w:eastAsia="ru-RU"/>
              </w:rPr>
              <w:t xml:space="preserve">ления установленного контрактом срока исполнения обязательства. Такая пеня устанавливается контрактом  в размере 1/300 (одной трёхсотой) действующей на дату уплаты пеней ключевой ставки Центрального банка Российской Федерации от не уплаченной в срок суммы.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4.4. За каждый факт неисполнения Заказчиком обязательств, предусмотренных контрактом, за ис</w:t>
            </w:r>
            <w:r>
              <w:rPr>
                <w:sz w:val="20"/>
                <w:szCs w:val="20"/>
                <w:lang w:val="ru-RU" w:eastAsia="ru-RU"/>
              </w:rPr>
              <w:t xml:space="preserve">ключением просрочки исполнения обязательств, предусмотренных контрактом, размер штрафа устанавливается в виде фиксированной суммы, в соответствии с постановлением Правительства Российской Федерации от 30 августа 2017 г. № 1042, что составляет  1000 рублей.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4.5. Общая сумма начисленного штрафа за ненадлежащее исполнение Заказчиком обязательств, предусмотренных контрактом, не может превышать цену контракта.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4.6. В случае просрочки исп</w:t>
            </w:r>
            <w:r>
              <w:rPr>
                <w:sz w:val="20"/>
                <w:szCs w:val="20"/>
                <w:lang w:val="ru-RU" w:eastAsia="ru-RU"/>
              </w:rPr>
              <w:t xml:space="preserve">олнения Исполнителем обязательств, предусмотренных Контрактом, Заказчик направляет Исполнителю требование об уплате неустойки (пени). Пеня начисляется за каждый день просрочки исполнения  Исполнителем обязательства, предусмотренного Контрактом, в размере 1</w:t>
            </w:r>
            <w:r>
              <w:rPr>
                <w:sz w:val="20"/>
                <w:szCs w:val="20"/>
                <w:lang w:val="ru-RU" w:eastAsia="ru-RU"/>
              </w:rPr>
              <w:t xml:space="preserve">/300 (одной трехсотой)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 и фактически исполненных Исполнителем.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4.7. За каждый факт неисполнения или ненадлежащего исполнения Исполнителем обязат</w:t>
            </w:r>
            <w:r>
              <w:rPr>
                <w:sz w:val="20"/>
                <w:szCs w:val="20"/>
                <w:lang w:val="ru-RU" w:eastAsia="ru-RU"/>
              </w:rPr>
              <w:t xml:space="preserve">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что составляет 10 процентов цены Контракта.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4.8. Общая сумма исполнение предусмотренных цену контракта». изложить в следующей редакции: начисленного штрафа за ненадлежащее Исполнением обязательств, контрактом, не может превышать цену контракта.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4.9. Стороны освобождаются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неопредолимой силы.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4.10. Исполнитель не позднее 20 дней с момента возникновения права требования оплаты неустойки</w:t>
            </w:r>
            <w:r>
              <w:rPr>
                <w:sz w:val="20"/>
                <w:szCs w:val="20"/>
                <w:lang w:val="ru-RU" w:eastAsia="ru-RU"/>
              </w:rPr>
              <w:t xml:space="preserve"> (штрафа, пени) от Заказчика направляет Заказчику  претензионное письмо с требованием оплаты в течение 7 дней с даты получения претензионного письма неустойки (штрафа, пени), рассчитанной в соответствии с положениями законодательства и условиями контракта.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4.11. Стороны примут все меры к </w:t>
            </w:r>
            <w:r>
              <w:rPr>
                <w:sz w:val="20"/>
                <w:szCs w:val="20"/>
                <w:lang w:val="ru-RU" w:eastAsia="ru-RU"/>
              </w:rPr>
              <w:t xml:space="preserve">разрешению споров и разногласий, которые могут возникнуть из настоящего Контракта или в связи с ним, путем переговоров. В случае если стороны не могут прийти к соглашению, то все споры и разногласия подлежат разрешению в Арбитражном суде Кировской области.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5. Срок действия контракта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</w:pPr>
            <w:r/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5.1. Настоящий контракт вступает в силу с момента подписания и действует по «31» декабря 2026г., а по оплате до полного исполнения сторонами своих обязательств по контракту. 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6. Обстоятельства непреодолимой силы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</w:pPr>
            <w:r/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6.1. Стороны освобождаются от ответственности за неисполнение обязательс</w:t>
            </w:r>
            <w:r>
              <w:rPr>
                <w:sz w:val="20"/>
                <w:szCs w:val="20"/>
                <w:lang w:val="ru-RU" w:eastAsia="ru-RU"/>
              </w:rPr>
              <w:t xml:space="preserve">тв, в случае, если это неисполнение явилось следствием возникновения обстоятельств непреодолимой силы, возникших после подписания настоящего контракта, в результате событий чрезвычайного характера и препятствующих исполнению сторонами взятых на себя обязат</w:t>
            </w:r>
            <w:r>
              <w:rPr>
                <w:sz w:val="20"/>
                <w:szCs w:val="20"/>
                <w:lang w:val="ru-RU" w:eastAsia="ru-RU"/>
              </w:rPr>
              <w:t xml:space="preserve">ельств, которые ни одна сторон не могла не предвидеть, не предотвратить разумными мерами, а именно:  стихийные бедствия,  землетрясения,  наводнения, пожары, взрывы, эпидемии, военные действия любого характера, блокады, забастовки, акты правительства и др.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7. Прочие условия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</w:pPr>
            <w:r/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7.1. В случае изменения у какой – либо из «Сторон» юридического статуса, адреса, и банковских реквизитов, она обязана в течение 5 календарных дней со дня возникновения изменений известить о них другую «Сторону».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</w:pPr>
            <w:r/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7.2. Изменения и дополнения Контракта  совершаются в письменной форме, подлежат подписанию всеми сторонами и являются неотъемлемыми частями настоящего контракта.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7.3. Во всем остальном, что не предусмотрено настоящим контрактом стороны руководствуются действующим законодательством РФ.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7.4. Настоящий контракт составлен в двух подлинных экземплярах, по одному для каждой из «Сторон».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7.5. Прекращение действия настоящего Контракта не освобождает Стороны от исполнения обязательств, возникших в период действия настоящего Контракта.</w:t>
            </w:r>
            <w:r/>
          </w:p>
          <w:p>
            <w:pPr>
              <w:pStyle w:val="639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7.6. </w:t>
            </w:r>
            <w:r>
              <w:rPr>
                <w:sz w:val="20"/>
                <w:szCs w:val="20"/>
                <w:lang w:val="ru-RU"/>
              </w:rPr>
              <w:t xml:space="preserve">Изменение существенных условий Контракта не допуска</w:t>
            </w:r>
            <w:r>
              <w:rPr>
                <w:sz w:val="20"/>
                <w:szCs w:val="20"/>
                <w:lang w:val="ru-RU"/>
              </w:rPr>
              <w:t xml:space="preserve">ется, за исключением их изменения по соглашению Сторон в случаях, установленных пунктом 1 статьи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      </w:r>
            <w:r/>
          </w:p>
          <w:p>
            <w:pPr>
              <w:pStyle w:val="639"/>
              <w:ind w:firstLine="567"/>
              <w:jc w:val="center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 xml:space="preserve">8. 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Антикоррупционная оговорка.</w:t>
            </w:r>
            <w:r/>
          </w:p>
          <w:p>
            <w:pPr>
              <w:pStyle w:val="639"/>
              <w:ind w:firstLine="567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8.1. При исполнении своих обязательств по настоящему Контракту, Стороны, их аффилированные лица, работники или посредники не выплачивают, не п</w:t>
            </w:r>
            <w:r>
              <w:rPr>
                <w:sz w:val="20"/>
                <w:szCs w:val="20"/>
                <w:lang w:val="ru-RU"/>
              </w:rPr>
              <w:t xml:space="preserve">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      </w:r>
            <w:r/>
          </w:p>
          <w:p>
            <w:pPr>
              <w:pStyle w:val="639"/>
              <w:ind w:firstLine="567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8.2.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</w:t>
            </w:r>
            <w:r>
              <w:rPr>
                <w:sz w:val="20"/>
                <w:szCs w:val="20"/>
                <w:lang w:val="ru-RU"/>
              </w:rPr>
              <w:t xml:space="preserve">оящего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      </w:r>
            <w:r/>
          </w:p>
          <w:p>
            <w:pPr>
              <w:pStyle w:val="639"/>
              <w:ind w:firstLine="567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8.3.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</w:t>
            </w:r>
            <w:r>
              <w:rPr>
                <w:sz w:val="20"/>
                <w:szCs w:val="20"/>
                <w:lang w:val="ru-RU"/>
              </w:rPr>
              <w:t xml:space="preserve">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</w:t>
            </w:r>
            <w:r>
              <w:rPr>
                <w:bCs/>
                <w:sz w:val="20"/>
                <w:szCs w:val="20"/>
                <w:lang w:val="ru-RU"/>
              </w:rPr>
              <w:t xml:space="preserve">Это подтверждение должно быть направлено в течение десяти рабочих дней с даты направления письменного уведомления.</w:t>
            </w:r>
            <w:r/>
          </w:p>
          <w:p>
            <w:pPr>
              <w:pStyle w:val="639"/>
              <w:ind w:firstLine="567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8.4. В письменном уведомлении Сторона обязана сослаться на факты или предостав</w:t>
            </w:r>
            <w:r>
              <w:rPr>
                <w:sz w:val="20"/>
                <w:szCs w:val="20"/>
                <w:lang w:val="ru-RU"/>
              </w:rPr>
              <w:t xml:space="preserve">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</w:t>
            </w:r>
            <w:r>
              <w:rPr>
                <w:sz w:val="20"/>
                <w:szCs w:val="20"/>
                <w:lang w:val="ru-RU"/>
              </w:rPr>
              <w:t xml:space="preserve">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      </w:r>
            <w:r/>
          </w:p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8.5. В случае нарушения одной Стороной обязательств в</w:t>
            </w:r>
            <w:r>
              <w:rPr>
                <w:sz w:val="20"/>
                <w:szCs w:val="20"/>
                <w:lang w:val="ru-RU" w:eastAsia="ru-RU"/>
              </w:rPr>
              <w:t xml:space="preserve">оздерживаться от запрещенных действий и/или неполучения другой Стороной в установленный законодательством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</w:t>
            </w:r>
            <w:r>
              <w:rPr>
                <w:sz w:val="20"/>
                <w:szCs w:val="20"/>
                <w:lang w:val="ru-RU" w:eastAsia="ru-RU"/>
              </w:rPr>
              <w:t xml:space="preserve">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настоящей статьи, вправе требовать возмещения реального ущерба, возникшего в результате такого расторжения.</w:t>
            </w:r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60"/>
        </w:trPr>
        <w:tc>
          <w:tcPr>
            <w:gridSpan w:val="11"/>
            <w:shd w:val="clear" w:color="FFFFFF" w:fill="auto"/>
            <w:tcW w:w="10491" w:type="dxa"/>
            <w:vAlign w:val="bottom"/>
            <w:textDirection w:val="lrTb"/>
            <w:noWrap w:val="false"/>
          </w:tcPr>
          <w:p>
            <w:pPr>
              <w:pStyle w:val="63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9. Адреса, реквизиты и подписи сторон</w:t>
            </w:r>
            <w:r>
              <w:rPr>
                <w:sz w:val="20"/>
              </w:rPr>
            </w:r>
          </w:p>
          <w:tbl>
            <w:tblPr>
              <w:tblW w:w="10263" w:type="dxa"/>
              <w:tblInd w:w="0" w:type="dxa"/>
              <w:tblLayout w:type="fixed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5131"/>
              <w:gridCol w:w="5131"/>
            </w:tblGrid>
            <w:tr>
              <w:trPr/>
              <w:tc>
                <w:tcPr>
                  <w:tcW w:w="5131" w:type="dxa"/>
                  <w:textDirection w:val="lrTb"/>
                  <w:noWrap w:val="false"/>
                </w:tcPr>
                <w:p>
                  <w:pPr>
                    <w:pStyle w:val="639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ru-RU" w:eastAsia="ru-RU"/>
                    </w:rPr>
                    <w:t xml:space="preserve">Исполнитель</w:t>
                  </w:r>
                  <w:r>
                    <w:rPr>
                      <w:sz w:val="20"/>
                    </w:rPr>
                  </w:r>
                </w:p>
              </w:tc>
              <w:tc>
                <w:tcPr>
                  <w:tcW w:w="5131" w:type="dxa"/>
                  <w:vAlign w:val="bottom"/>
                  <w:textDirection w:val="lrTb"/>
                  <w:noWrap w:val="false"/>
                </w:tcPr>
                <w:p>
                  <w:pPr>
                    <w:pStyle w:val="639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ru-RU" w:eastAsia="ru-RU"/>
                    </w:rPr>
                    <w:t xml:space="preserve">Заказчик</w:t>
                  </w:r>
                  <w:r>
                    <w:rPr>
                      <w:sz w:val="20"/>
                    </w:rPr>
                  </w:r>
                </w:p>
              </w:tc>
            </w:tr>
            <w:tr>
              <w:trPr/>
              <w:tc>
                <w:tcPr>
                  <w:tcW w:w="5131" w:type="dxa"/>
                  <w:textDirection w:val="lrTb"/>
                  <w:noWrap w:val="false"/>
                </w:tcPr>
                <w:p>
                  <w:pPr>
                    <w:pStyle w:val="639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  <w:lang w:val="ru-RU" w:eastAsia="ru-RU"/>
                    </w:rPr>
                    <w:t xml:space="preserve">Общество с ограниченной ответственностью "ЦЕНТРАЛИЗОВАННАЯ КЛИНИКО-ДИАГНОСТИЧЕСКАЯ ЛАБОРАТОРИЯ"</w:t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 w:eastAsia="ru-RU"/>
                    </w:rPr>
                    <w:t xml:space="preserve">610040, Кировская обл, Киров г, Павла Корчагина ул, дом № 227, оф.43</w:t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 w:eastAsia="ru-RU"/>
                    </w:rPr>
                    <w:t xml:space="preserve">Телефон: +7 (8332) 71-17-89</w:t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email</w:t>
                  </w:r>
                  <w:r>
                    <w:rPr>
                      <w:sz w:val="20"/>
                      <w:szCs w:val="20"/>
                      <w:lang w:val="ru-RU" w:eastAsia="ru-RU"/>
                    </w:rPr>
                    <w:t xml:space="preserve">: </w:t>
                  </w:r>
                  <w:r>
                    <w:rPr>
                      <w:sz w:val="20"/>
                      <w:szCs w:val="20"/>
                      <w:lang w:eastAsia="ru-RU"/>
                    </w:rPr>
                    <w:t xml:space="preserve">info</w:t>
                  </w:r>
                  <w:r>
                    <w:rPr>
                      <w:sz w:val="20"/>
                      <w:szCs w:val="20"/>
                      <w:lang w:val="ru-RU" w:eastAsia="ru-RU"/>
                    </w:rPr>
                    <w:t xml:space="preserve">@</w:t>
                  </w:r>
                  <w:r>
                    <w:rPr>
                      <w:sz w:val="20"/>
                      <w:szCs w:val="20"/>
                      <w:lang w:eastAsia="ru-RU"/>
                    </w:rPr>
                    <w:t xml:space="preserve">center</w:t>
                  </w:r>
                  <w:r>
                    <w:rPr>
                      <w:sz w:val="20"/>
                      <w:szCs w:val="20"/>
                      <w:lang w:val="ru-RU" w:eastAsia="ru-RU"/>
                    </w:rPr>
                    <w:t xml:space="preserve">-</w:t>
                  </w:r>
                  <w:r>
                    <w:rPr>
                      <w:sz w:val="20"/>
                      <w:szCs w:val="20"/>
                      <w:lang w:eastAsia="ru-RU"/>
                    </w:rPr>
                    <w:t xml:space="preserve">light</w:t>
                  </w:r>
                  <w:r>
                    <w:rPr>
                      <w:sz w:val="20"/>
                      <w:szCs w:val="20"/>
                      <w:lang w:val="ru-RU" w:eastAsia="ru-RU"/>
                    </w:rPr>
                    <w:t xml:space="preserve">.</w:t>
                  </w:r>
                  <w:r>
                    <w:rPr>
                      <w:sz w:val="20"/>
                      <w:szCs w:val="20"/>
                      <w:lang w:eastAsia="ru-RU"/>
                    </w:rPr>
                    <w:t xml:space="preserve">ru</w:t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 w:eastAsia="ru-RU"/>
                    </w:rPr>
                    <w:t xml:space="preserve">ИНН 4345118466 КПП 434501001</w:t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 w:eastAsia="ru-RU"/>
                    </w:rPr>
                    <w:t xml:space="preserve">ОГРН 1054316911912</w:t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 w:eastAsia="ru-RU"/>
                    </w:rPr>
                    <w:t xml:space="preserve">Банковские реквизиты:</w:t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 w:eastAsia="ru-RU"/>
                    </w:rPr>
                    <w:t xml:space="preserve">р/с 40702810427000002981</w:t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 w:eastAsia="ru-RU"/>
                    </w:rPr>
                    <w:t xml:space="preserve">КИРОВСКОЕ ОТДЕЛЕНИЕ </w:t>
                  </w:r>
                  <w:r>
                    <w:rPr>
                      <w:sz w:val="20"/>
                      <w:szCs w:val="20"/>
                      <w:lang w:eastAsia="ru-RU"/>
                    </w:rPr>
                    <w:t xml:space="preserve">N</w:t>
                  </w:r>
                  <w:r>
                    <w:rPr>
                      <w:sz w:val="20"/>
                      <w:szCs w:val="20"/>
                      <w:lang w:val="ru-RU" w:eastAsia="ru-RU"/>
                    </w:rPr>
                    <w:t xml:space="preserve">8612 ПАО СБЕРБАНК</w:t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 w:eastAsia="ru-RU"/>
                    </w:rPr>
                    <w:t xml:space="preserve">к/с 30101810500000000609</w:t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 w:eastAsia="ru-RU"/>
                    </w:rPr>
                    <w:t xml:space="preserve">БИК 043304609</w:t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 w:eastAsia="ru-RU"/>
                    </w:rPr>
                    <w:t xml:space="preserve">Генеральный директор_____________ Пищик А.А.</w:t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sz w:val="20"/>
                    </w:rPr>
                  </w:r>
                </w:p>
              </w:tc>
              <w:tc>
                <w:tcPr>
                  <w:tcW w:w="5131" w:type="dxa"/>
                  <w:textDirection w:val="lrTb"/>
                  <w:noWrap w:val="false"/>
                </w:tcPr>
                <w:p>
                  <w:pPr>
                    <w:pStyle w:val="639"/>
                    <w:rPr>
                      <w:rFonts w:eastAsia="Lucida Sans Unicode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Lucida Sans Unicode"/>
                      <w:b/>
                      <w:color w:val="000000"/>
                      <w:sz w:val="20"/>
                      <w:szCs w:val="20"/>
                      <w:lang w:val="ru-RU" w:eastAsia="zh-CN"/>
                    </w:rPr>
                    <w:t xml:space="preserve">                 </w:t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rPr>
                      <w:sz w:val="20"/>
                    </w:rPr>
                  </w:pPr>
                  <w:r>
                    <w:rPr>
                      <w:rFonts w:eastAsia="Arial Unicode MS"/>
                      <w:b/>
                      <w:sz w:val="20"/>
                      <w:szCs w:val="22"/>
                    </w:rPr>
      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ind w:right="889"/>
                    <w:jc w:val="both"/>
                    <w:tabs>
                      <w:tab w:val="left" w:pos="0" w:leader="none"/>
                      <w:tab w:val="clear" w:pos="708" w:leader="none"/>
                    </w:tabs>
                    <w:rPr>
                      <w:sz w:val="20"/>
                    </w:rPr>
                  </w:pPr>
                  <w:r>
                    <w:rPr>
                      <w:sz w:val="20"/>
                      <w:szCs w:val="22"/>
                    </w:rPr>
                    <w:t xml:space="preserve">Юридический адрес: 610027, г. Киров, ул. Красноармейская, 72</w:t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ind w:right="889"/>
                    <w:jc w:val="both"/>
                    <w:tabs>
                      <w:tab w:val="left" w:pos="0" w:leader="none"/>
                      <w:tab w:val="clear" w:pos="708" w:leader="none"/>
                    </w:tabs>
                    <w:rPr>
                      <w:sz w:val="20"/>
                    </w:rPr>
                  </w:pPr>
                  <w:r>
                    <w:rPr>
                      <w:sz w:val="20"/>
                      <w:szCs w:val="22"/>
                    </w:rPr>
                  </w:r>
                  <w:r>
                    <w:rPr>
                      <w:sz w:val="20"/>
                    </w:rPr>
                  </w:r>
                </w:p>
                <w:p>
                  <w:pPr>
                    <w:rPr>
                      <w:rFonts w:hint="eastAsia"/>
                      <w:sz w:val="20"/>
                    </w:rPr>
                  </w:pPr>
                  <w:r>
                    <w:rPr>
                      <w:sz w:val="20"/>
                      <w:szCs w:val="22"/>
                    </w:rPr>
                    <w:t xml:space="preserve">ИНН/КПП 4346007656/434501001</w:t>
                  </w:r>
                  <w:r>
                    <w:rPr>
                      <w:rFonts w:hint="eastAsia"/>
                      <w:sz w:val="20"/>
                      <w:szCs w:val="22"/>
                    </w:rPr>
                  </w:r>
                  <w:r>
                    <w:rPr>
                      <w:sz w:val="20"/>
                    </w:rPr>
                  </w:r>
                </w:p>
                <w:p>
                  <w:pPr>
                    <w:widowControl w:val="off"/>
                    <w:rPr>
                      <w:rFonts w:hint="eastAsia"/>
                      <w:sz w:val="20"/>
                    </w:rPr>
                  </w:pPr>
                  <w:r>
                    <w:rPr>
                      <w:sz w:val="20"/>
                      <w:szCs w:val="22"/>
                    </w:rPr>
                    <w:t xml:space="preserve">ОКПО 01966992</w:t>
                  </w:r>
                  <w:r>
                    <w:rPr>
                      <w:rFonts w:hint="eastAsia"/>
                      <w:sz w:val="20"/>
                      <w:szCs w:val="22"/>
                    </w:rPr>
                  </w:r>
                  <w:r>
                    <w:rPr>
                      <w:sz w:val="20"/>
                    </w:rPr>
                  </w:r>
                </w:p>
                <w:p>
                  <w:pPr>
                    <w:jc w:val="both"/>
                    <w:rPr>
                      <w:rFonts w:hint="eastAsia"/>
                      <w:sz w:val="20"/>
                    </w:rPr>
                  </w:pPr>
                  <w:r>
                    <w:rPr>
                      <w:sz w:val="20"/>
                      <w:szCs w:val="22"/>
                    </w:rPr>
                    <w:t xml:space="preserve">УФК по Нижегородской области (ФГБУН </w:t>
                  </w:r>
                  <w:r>
                    <w:rPr>
                      <w:sz w:val="20"/>
                      <w:szCs w:val="22"/>
                    </w:rPr>
                    <w:t xml:space="preserve">КН</w:t>
                  </w:r>
                  <w:r>
                    <w:rPr>
                      <w:sz w:val="20"/>
                      <w:szCs w:val="22"/>
                    </w:rPr>
                    <w:t xml:space="preserve">И</w:t>
                  </w:r>
                  <w:r>
                    <w:rPr>
                      <w:sz w:val="20"/>
                      <w:szCs w:val="22"/>
                    </w:rPr>
                    <w:t xml:space="preserve">ИГиПК</w:t>
                  </w:r>
                  <w:r>
                    <w:rPr>
                      <w:sz w:val="20"/>
                      <w:szCs w:val="22"/>
                    </w:rPr>
                    <w:t xml:space="preserve"> ФМБА России лицевой счет № 20406Ц17940, 21406Ц17940, 22406Ц17940)</w:t>
                  </w:r>
                  <w:r>
                    <w:rPr>
                      <w:rFonts w:hint="eastAsia"/>
                      <w:sz w:val="20"/>
                      <w:szCs w:val="22"/>
                    </w:rPr>
                  </w:r>
                  <w:r>
                    <w:rPr>
                      <w:sz w:val="20"/>
                    </w:rPr>
                  </w:r>
                </w:p>
                <w:p>
                  <w:pPr>
                    <w:jc w:val="both"/>
                    <w:rPr>
                      <w:rFonts w:hint="eastAsia"/>
                      <w:sz w:val="20"/>
                    </w:rPr>
                  </w:pPr>
                  <w:r>
                    <w:rPr>
                      <w:sz w:val="20"/>
                      <w:szCs w:val="22"/>
                    </w:rPr>
                    <w:t xml:space="preserve">р</w:t>
                  </w:r>
                  <w:r>
                    <w:rPr>
                      <w:sz w:val="20"/>
                      <w:szCs w:val="22"/>
                    </w:rPr>
                    <w:t xml:space="preserve">/</w:t>
                  </w:r>
                  <w:r>
                    <w:rPr>
                      <w:sz w:val="20"/>
                      <w:szCs w:val="22"/>
                    </w:rPr>
                    <w:t xml:space="preserve">сч</w:t>
                  </w:r>
                  <w:r>
                    <w:rPr>
                      <w:sz w:val="20"/>
                      <w:szCs w:val="22"/>
                    </w:rPr>
                    <w:t xml:space="preserve"> 03214643000000013246 в ОКЦ № 1 ВВГУ Банка России//УФК по Ниже</w:t>
                  </w:r>
                  <w:r>
                    <w:rPr>
                      <w:sz w:val="20"/>
                      <w:szCs w:val="22"/>
                    </w:rPr>
                    <w:t xml:space="preserve">городской области г. Нижний Новгород</w:t>
                  </w:r>
                  <w:r>
                    <w:rPr>
                      <w:rFonts w:hint="eastAsia"/>
                      <w:sz w:val="20"/>
                      <w:szCs w:val="22"/>
                    </w:rPr>
                  </w:r>
                  <w:r>
                    <w:rPr>
                      <w:sz w:val="20"/>
                    </w:rPr>
                  </w:r>
                </w:p>
                <w:p>
                  <w:pPr>
                    <w:jc w:val="both"/>
                    <w:rPr>
                      <w:rFonts w:hint="eastAsia"/>
                      <w:sz w:val="20"/>
                    </w:rPr>
                  </w:pPr>
                  <w:r>
                    <w:rPr>
                      <w:sz w:val="20"/>
                      <w:szCs w:val="22"/>
                    </w:rPr>
                    <w:t xml:space="preserve">кор</w:t>
                  </w:r>
                  <w:r>
                    <w:rPr>
                      <w:sz w:val="20"/>
                      <w:szCs w:val="22"/>
                    </w:rPr>
                    <w:t xml:space="preserve">/</w:t>
                  </w:r>
                  <w:r>
                    <w:rPr>
                      <w:sz w:val="20"/>
                      <w:szCs w:val="22"/>
                    </w:rPr>
                    <w:t xml:space="preserve">сч</w:t>
                  </w:r>
                  <w:r>
                    <w:rPr>
                      <w:sz w:val="20"/>
                      <w:szCs w:val="22"/>
                    </w:rPr>
                    <w:t xml:space="preserve">   40102810745370000024</w:t>
                  </w:r>
                  <w:r>
                    <w:rPr>
                      <w:rFonts w:hint="eastAsia"/>
                      <w:sz w:val="20"/>
                      <w:szCs w:val="22"/>
                    </w:rPr>
                  </w:r>
                  <w:r>
                    <w:rPr>
                      <w:sz w:val="20"/>
                    </w:rPr>
                  </w:r>
                </w:p>
                <w:p>
                  <w:pPr>
                    <w:jc w:val="both"/>
                    <w:rPr>
                      <w:rFonts w:hint="eastAsia"/>
                      <w:sz w:val="20"/>
                    </w:rPr>
                  </w:pPr>
                  <w:r>
                    <w:rPr>
                      <w:sz w:val="20"/>
                      <w:szCs w:val="22"/>
                    </w:rPr>
                    <w:t xml:space="preserve">БИК 012202102</w:t>
                  </w:r>
                  <w:r>
                    <w:rPr>
                      <w:rFonts w:hint="eastAsia"/>
                      <w:sz w:val="20"/>
                      <w:szCs w:val="22"/>
                    </w:rPr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</w:rPr>
                  </w:r>
                </w:p>
                <w:p>
                  <w:pPr>
                    <w:pStyle w:val="639"/>
                    <w:ind w:right="150"/>
                    <w:jc w:val="both"/>
                    <w:spacing w:lineRule="auto" w:line="276"/>
                    <w:widowControl w:val="off"/>
                    <w:rPr>
                      <w:b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 xml:space="preserve">Директор_______________ Парамонов И. В</w:t>
                  </w:r>
                  <w:r>
                    <w:rPr>
                      <w:sz w:val="20"/>
                    </w:rPr>
                  </w:r>
                </w:p>
              </w:tc>
            </w:tr>
          </w:tbl>
          <w:p>
            <w:pPr>
              <w:pStyle w:val="63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</w:rPr>
            </w:r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63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pStyle w:val="639"/>
        <w:rPr>
          <w:sz w:val="22"/>
          <w:szCs w:val="20"/>
          <w:lang w:val="ru-RU" w:eastAsia="ru-RU"/>
        </w:rPr>
      </w:pPr>
      <w:r>
        <w:rPr>
          <w:sz w:val="22"/>
          <w:szCs w:val="20"/>
          <w:lang w:val="ru-RU" w:eastAsia="ru-RU"/>
        </w:rPr>
      </w:r>
      <w:r/>
    </w:p>
    <w:p>
      <w:pPr>
        <w:pStyle w:val="639"/>
        <w:ind w:left="6804"/>
        <w:rPr>
          <w:sz w:val="22"/>
          <w:szCs w:val="20"/>
          <w:lang w:val="ru-RU" w:eastAsia="ru-RU"/>
        </w:rPr>
      </w:pPr>
      <w:r>
        <w:rPr>
          <w:sz w:val="22"/>
          <w:szCs w:val="20"/>
          <w:lang w:val="ru-RU" w:eastAsia="ru-RU"/>
        </w:rPr>
      </w:r>
      <w:r>
        <w:br w:type="page"/>
      </w:r>
      <w:r/>
    </w:p>
    <w:p>
      <w:pPr>
        <w:pStyle w:val="639"/>
        <w:ind w:left="6804"/>
        <w:spacing w:after="0" w:before="0"/>
        <w:rPr>
          <w:sz w:val="22"/>
          <w:szCs w:val="20"/>
          <w:lang w:val="ru-RU" w:eastAsia="ru-RU"/>
        </w:rPr>
      </w:pPr>
      <w:r>
        <w:rPr>
          <w:sz w:val="22"/>
          <w:szCs w:val="20"/>
          <w:lang w:val="ru-RU" w:eastAsia="ru-RU"/>
        </w:rPr>
        <w:t xml:space="preserve">Приложение № 1 к контракту </w:t>
      </w:r>
      <w:r/>
    </w:p>
    <w:p>
      <w:pPr>
        <w:pStyle w:val="639"/>
        <w:ind w:left="6804"/>
        <w:tabs>
          <w:tab w:val="clear" w:pos="708" w:leader="none"/>
          <w:tab w:val="left" w:pos="2367" w:leader="none"/>
        </w:tabs>
        <w:rPr>
          <w:b/>
          <w:bCs/>
          <w:sz w:val="22"/>
          <w:szCs w:val="20"/>
          <w:lang w:val="ru-RU" w:eastAsia="ru-RU"/>
        </w:rPr>
      </w:pPr>
      <w:r>
        <w:rPr>
          <w:sz w:val="22"/>
          <w:szCs w:val="20"/>
          <w:lang w:val="ru-RU" w:eastAsia="ru-RU"/>
        </w:rPr>
        <w:t xml:space="preserve">№ </w:t>
      </w:r>
      <w:r>
        <w:rPr>
          <w:sz w:val="22"/>
          <w:szCs w:val="20"/>
          <w:lang w:val="ru-RU" w:eastAsia="ru-RU"/>
        </w:rPr>
        <w:t xml:space="preserve">_____________ от _____.2026 г.</w:t>
      </w:r>
      <w:r/>
    </w:p>
    <w:p>
      <w:pPr>
        <w:pStyle w:val="639"/>
        <w:jc w:val="center"/>
        <w:tabs>
          <w:tab w:val="clear" w:pos="708" w:leader="none"/>
          <w:tab w:val="left" w:pos="2367" w:leader="none"/>
        </w:tabs>
        <w:rPr>
          <w:b/>
          <w:bCs/>
          <w:sz w:val="20"/>
          <w:szCs w:val="20"/>
          <w:lang w:val="ru-RU" w:eastAsia="ru-RU"/>
        </w:rPr>
      </w:pPr>
      <w:r>
        <w:rPr>
          <w:b/>
          <w:bCs/>
          <w:sz w:val="20"/>
          <w:szCs w:val="20"/>
          <w:lang w:val="ru-RU" w:eastAsia="ru-RU"/>
        </w:rPr>
      </w:r>
      <w:r/>
    </w:p>
    <w:p>
      <w:pPr>
        <w:pStyle w:val="639"/>
        <w:jc w:val="center"/>
        <w:spacing w:lineRule="auto" w:line="259" w:after="160" w:before="0"/>
        <w:tabs>
          <w:tab w:val="clear" w:pos="708" w:leader="none"/>
          <w:tab w:val="left" w:pos="2367" w:leader="none"/>
        </w:tabs>
        <w:rPr>
          <w:sz w:val="20"/>
          <w:szCs w:val="20"/>
          <w:lang w:val="ru-RU" w:eastAsia="ru-RU"/>
        </w:rPr>
      </w:pPr>
      <w:r>
        <w:rPr>
          <w:b/>
          <w:bCs/>
          <w:sz w:val="20"/>
          <w:szCs w:val="20"/>
          <w:lang w:val="ru-RU" w:eastAsia="ru-RU"/>
        </w:rPr>
        <w:t xml:space="preserve">СПЕЦИФИКАЦИЯ</w:t>
      </w:r>
      <w:r/>
    </w:p>
    <w:tbl>
      <w:tblPr>
        <w:tblW w:w="10704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5"/>
        <w:gridCol w:w="3167"/>
        <w:gridCol w:w="762"/>
        <w:gridCol w:w="1289"/>
        <w:gridCol w:w="1208"/>
        <w:gridCol w:w="2694"/>
        <w:gridCol w:w="1098"/>
      </w:tblGrid>
      <w:tr>
        <w:trPr>
          <w:trHeight w:val="20"/>
        </w:trPr>
        <w:tc>
          <w:tcPr>
            <w:shd w:val="clear" w:color="000000" w:fill="FFFF9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center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№ </w:t>
            </w: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п/п</w:t>
            </w:r>
            <w:r/>
          </w:p>
        </w:tc>
        <w:tc>
          <w:tcPr>
            <w:shd w:val="clear" w:color="000000" w:fill="FFFF99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67" w:type="dxa"/>
            <w:vAlign w:val="center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код ЛИС</w:t>
            </w:r>
            <w:r/>
          </w:p>
        </w:tc>
        <w:tc>
          <w:tcPr>
            <w:shd w:val="clear" w:color="000000" w:fill="FFFF99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2" w:type="dxa"/>
            <w:vAlign w:val="center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наименование ЛИС</w:t>
            </w:r>
            <w:r/>
          </w:p>
        </w:tc>
        <w:tc>
          <w:tcPr>
            <w:shd w:val="clear" w:color="000000" w:fill="FFFF99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89" w:type="dxa"/>
            <w:vAlign w:val="center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срок выполнения по ЛИС </w:t>
            </w:r>
            <w:r/>
          </w:p>
        </w:tc>
        <w:tc>
          <w:tcPr>
            <w:shd w:val="clear" w:color="000000" w:fill="FFFF99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08" w:type="dxa"/>
            <w:vAlign w:val="center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Код услуги </w:t>
            </w:r>
            <w:r/>
          </w:p>
        </w:tc>
        <w:tc>
          <w:tcPr>
            <w:shd w:val="clear" w:color="000000" w:fill="FFFF99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4" w:type="dxa"/>
            <w:vAlign w:val="center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Характеристика метода лабораторного исследования</w:t>
            </w:r>
            <w:r/>
          </w:p>
        </w:tc>
        <w:tc>
          <w:tcPr>
            <w:shd w:val="clear" w:color="000000" w:fill="FFFF99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цена за ед. 2026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аскаридам (Ascaris lumbricoides)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A26.06.121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568,00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общего иммуноглобулина E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A09.05.054.001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482,00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растительного, животного и химического происхождения в крови (микст - панель 16: разные  аллергены)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3 550,00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растительного, животного и химического происхождения в крови (микст - панель 16: респираторные аллергены)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3 550,00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растительного, животного и химического происхождения в крови (микст - панель 16: смесь экстрактов пищевых продуктов)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3 550,00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растительного, животного и химического происхождения в крови (микст - панель 16: педиатрическая)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3 550,00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IgG к антигенам пищевых продуктов (90 аллергенов)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850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11 611,00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полыни горькой (w5)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полыни обыкновенной (w6)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834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эозинофильного катионного белка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1 000,00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 IgE к антигенам Aspergillus fumigatus (m3)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5438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 IgE к антигенам Candida albicans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5470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 IgE к антигенам бычьего сывороточного альбумина (e101)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дуба белого (t7)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4077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 IgE к антигенам ивы белой (t12)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4079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киви (f84)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4053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клена ясенелистного (t1)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4072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крапивы двудомной (w20)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4084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кукурузы (f8)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4066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к антигенам смеси экстрактов микроорганизмов (Микст грибковый: Penic. not., Cladospor. herbar., Asperg. fumig., Alternaria altern., Candida albic., Helminthosp. hal.)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4059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ос полиста (i3)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4069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ясеня обыкновенного (t15)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4080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 IgE к антигенам авокадо (f96)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4841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 IgE к антигенам апельсина (f33)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3097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 IgE к антигенам дыни (f87)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4853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краба (f23)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4845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креветок (f24)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1840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лимона (f208)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4851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лосося (f41)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4846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ржи посевной (f5)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4065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сельдерея (f85)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4844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тунца (f40)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4847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 IgE к антигенам абрикоса (f237)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альфа-лактальбумина (f76)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4052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арахиса (f13)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 IgE к антигенам банана (f29)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1449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белой фасоли (f15)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4060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березы (t3)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854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бета-лактоглобулина (f77)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 IgE к антигенам глютена (f79)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говядины (f27)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 IgE к антигенам грецкого ореха (f256)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домашней пыли D.farinae (d2)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4036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домашней пыли D.pteronyssinus (d1)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4035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 IgE к антигенам дрожжей (f45)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1504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душистого колоска (g1)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ежи сборной (g3)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4061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 IgE к антигенам казеина (f78)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4038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какао (f93)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1421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картофеля (f35)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1473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коровьего молока (f2)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822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кофе (f221)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куриного яйца цельного (f252)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4058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курицы (f83)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1842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лебеды (w15)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833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лещины обыкновенной (орешника) (t4)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4076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молока кипяченого (f169)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3203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моркови (f31)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морской свинки (e6)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4074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мятлика лугового (g8)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4063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овальбумина (f67)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овомукоида (f68)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одуванчика (w8)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ольхи (t2)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853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плесневого гриба Alternaria tenuis (alternata) (m6)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4071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помета волнистого попугая (e77)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3145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пчелы домашней (i1)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1048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пшеничной муки (f4)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1427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 райграсса пастбищного (плевела) (g5)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ржаной муки (f5)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ромашки аптечной (w25)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3138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соевых бобов (f14)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тимофеевки луговой (g6)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4062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томата (f25)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829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трески (f3)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тыквы (f225)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шерсти кролика (e82)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4033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шерсти собаки (e2)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3144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шерсти хомяка (e84)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4034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шоколада (f52)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3054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эпителия кошки (e1)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эпителия лошади (e3)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4047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эпителия собаки (e5)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яблока (f49)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яичного белка (f1)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яичного желтка (f75)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825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 IgE к антигенам комара (i71)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1049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смеси домашней пыли (Микст-панель 2: D.farinae, D.pteronyssinus)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5282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870,00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риса (f9)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растительного, животного и химического происхождения в крови (микст - панель 8: педиатрическая)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(ИФА)-диапазон определения не менее 0.35-100 МЕ/мл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3 454,00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растительного, животного и химического происхождения в крови (микст - панель 8: луговые и злаковые травы)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4081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(ИФА)-диапазон определения не менее 0.35-100 МЕ/мл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3 454,00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растительного, животного и химического происхождения в крови (микст - панель 8: смесь экстрактов пищевых продуктов)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4044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(ИФА)-диапазон определения не менее 0.35-100 МЕ/мл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3 454,00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растительного, животного и химического происхождения в крови (микст - панель 8: респираторные аллергены)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4082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(ИФА)-диапазон определения не менее 0.35-100 МЕ/мл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3 454,00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свинины (f26)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4045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капусты белокачанной (f216)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4055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куриного пера (e85)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пшена (f55)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мятлика лугового (g8)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4063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кабачка цукини (f151)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клубники/земляники (f44)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4088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свеклы (f319)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соскоба с кожи на грибы (дрожжевые, плесневые, дерматомицеты)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2069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чешуек кожи.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292,00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ногтевых пластинок на грибы (дрожжевые, плесневые, дерматомицеты)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2271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A26.01.033.500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ногтевой пластины.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292,00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фекалий на возбудитель иерсиниоза (Yersinia enterocolitica)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A26.19.001.501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крови на возбудители брюшного тифа и паратифов (Salmonella typhi)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Антибиотикочувствительность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1 358,00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крови на стерильность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1084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бактериологический метод. Идентификациямикроорганизмов до рода и вида.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риккетсиям - возбудителям сыпного тиф (Rickettsia spp.)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A26.06.068.500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РНГА - сыпнотифозным диагностикумом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сальмонелле тифи (Salmonella typhi) в крови (возбудитель брюшного тифа)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2283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A26.06.074.500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Реакция Видаля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отделяемого ротоглотки на золотистый стафилококк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1169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A26.08.005.501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мочи на аэробные и факультативно-анаэробные условно-патогенные микроорганизмы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5052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A26.28.003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Бактериологическое исследование отделяемого из зева на стрептококк группы A (Streptococcus gr. A, S.pyogenes)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мазков со слизистой оболочки рото/носоглоткиглотки на золотистый стафилококк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5086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A26.08.005.501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Посев на бета-гемолитический стрептококк группы B (Streptococcus group В, S. agalactiae) с определением чувствительности к антибиотикам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4786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микробиоценоза кишечника (дисбактериоз) культуральными методами с определением чувствительности к бактериофагам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3150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количественный бактериологический метод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3 248,00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фекалий/ректального мазка на микроорганизмы рода шигелла (Shigella spp) и сальмонелла (Salmonella spp) (дизгруппа).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1222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кала на аэробные и факультативно-анаэробные микроорганизмы (УПФ) с определением чувствительности к антимикробным препаратам и бактериофагам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5260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A26.19.008.500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1 580,00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кала на аэробные и факультативно-анаэробные микроорганизмы (УПФ) с определением чувствительности к антимикробным препаратам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1071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1 580,00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118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кала на аэробные и факультативно-анаэробные микроорганизмы (УПФ) с определением чувствительности к бактериофагам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A26.19.008.500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1 580,00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кала на Staphylococcus aureus (золотистый стафилококк)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1072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A26.19.008.501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949,00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120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грудного молока на аэробные и факультативно-анаэробные условно-патогенные микроорганизмы (левая грудь)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1436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121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грудного молока на аэробные и факультативно-анаэробные условно-патогенные микроорганизмы (правая грудь)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122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отделяемого конъюнктивы на аэробные и факультативно-анаэробные условно-патогенные микроорганизмы 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1075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материала из десневых карманов на неспорообразующие анаэробные микроорганизмы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отделяемого носоглотки на аэробные и факультативно-анаэробные микроорганизмы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1077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отделяемого из уретры на аэробные и факультативно-анаэробные микроорганизмы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2234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отделяемого из ушей на аэробные и факультативно-анаэробные микроорганизмы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1078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127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отделяемого женских половых органов на аэробные и факультативно-анаэробные микроорганизмы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2233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кожи на аэробные и факультативно-анаэробные микроорганизмы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1079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129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раневого отделяемого на аэробные и факультативно-анаэробные микроорганизмы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1080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отделяемого носоглотки на золотистый стафилококк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2269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A26.08.005.501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чувствительности микроорганизмов к антимикробным препаратам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5033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отделяемого конъюнктивы на аэробные и факультативно-анаэробные условно-патогенные микроорганизмы с определением чувствительности к антибиотикам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2828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133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слизи с миндалин и задней стенки глотки на аэробные и факультативно-анаэробные микроорганизмы с определением чувствительности к антибиотикам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1076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134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отделяемого из околоносовых полостей на аэробные и факультативно-анаэробные микроорганизмы и определение чувствительности к антибиотикам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2825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135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отделяемого женских половых органов на аэробные и факультативно-анаэробные микроорганизмы с определением чувствительности к антибиотикам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2829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136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отделяемого из ушей на аэробные и факультативно-анаэробные микроорганизмы с определением чувствительности к антибиотикам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2827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отделяемого из уретры на уреаплазму и микоплазму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2247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A26.21.004.500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138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кала на аэробные и факультативно-анаэробные микроорганизмы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1945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1 580,00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желчи на аэробные и факультативно-анаэробные микроорганизмы с определением чувствительности к антибиотикам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A26.14.002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фекалий на микроорганизмы рода сальмонелла и возбудителя дизентерии (Shigella spp.)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5080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A26.19.001.501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кала на кишечную палочку (Escherichia coli)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5081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мочи на аэробные и факультативно-анаэробные условно-патогенные микроорганизмы с определением чувствительности к антимикробным препаратам и бактериофагам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5261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A26.28.003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мочи на аэробные и факультативно-анаэробные условно-патогенные микроорганизмы с определением чувствительности к бактериофагам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A26.28.003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144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мочи на аэробные и факультативно-анаэробные условно-патогенные микроорганизмы и определение чувствительности к антибиотикам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1082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A26.28.003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145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отделяемого из уретры на уреаплазму и микоплазму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2 500,00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крови и др. биоматериала на облигатные анаэробные микроорганизмы. (Определение чувствительности микроорганизмов к антибиотикам.)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2464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A26.05.007.500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1 733,00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147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</w:t>
            </w:r>
            <w:r>
              <w:rPr>
                <w:sz w:val="14"/>
                <w:szCs w:val="14"/>
                <w:lang w:val="ru-RU" w:eastAsia="ru-RU"/>
              </w:rPr>
              <w:t xml:space="preserve">культуральное) исследование гнойного отделяемого на аэробные и факультативно-анаэробные микроорганизмы. Посев на аэробную флору (кроме СМЖ, мочи, мокроты, желчи, зева) биологического материала. (Определение чувствительности микроорганизмов к антибиотикам.)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2372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148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на грибы (дрожжевые, плесневые)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2373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A26.01.010.501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149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слизи и пленок с миндалин на палочку дифтерии (Corinebacterium diphtheriae)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1083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мазков со слизистой оболочки рото/носоглоткиглотки на золотистый стафилококк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2248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A26.08.005.501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слизи с задней стенки глотки на менингококк (Neisseria meningitidis)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5085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фекалий/ректального мазка на микроорганизмы рода шигелла (Shigella spp) и сальмонелла (Salmonella spp) с определением чувствительности к антибактериальным препаратам (дизгруппа)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1070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A26.19.001.501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фекалий/ректального мазка на микроорганизмы рода сальмонелла (Salmonella spp.)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3673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на аэробные и факультативно-анаэробные микроорганизмы всех видов биологического материала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фекалий/ректального мазка на возбудителя дизентерии (Shigella spp.)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5452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мокроты на аэробные и факультативно-анаэробные микроорганизмы с определением чувствительности к антибиотикам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1081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A26.09.010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1 300,00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плевральной жидкости на аэробные и факультативно-анаэробные микроорганизмы с определением чувствительности к антибиотикам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2830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раневого отделяемого на аэробные и факультативно-анаэробные микроорганизмы с определением чувствительности к антибиотикам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2826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спинномозговой жидкости на аэробные и факультативно-анаэробные условно-патогенные микроорганизмы с определением чувствительности к антибиотикам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1944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A26.23.006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1 733,00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микробиоценоза кишечника (дисбактериоз) культуральными методами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1073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количественный бактериологический метод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3 248,00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Микробиологическое (культуральное) исследование крови на облигатные анаэробные микроорганизмы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4413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A26.05.007.500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Автоматический/полуавтоматический бактериологический метод. Идентификация микроорганизмов до рода и вида.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1 733,00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меди в суточной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5563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A09.28.078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Колориметрический, фотометрический, количественный метод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креатинина в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2724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A09.28.006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кинетический метод Количественное определение концентрации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суточной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2795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A09.28.011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суточной моче.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свинца в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1 - 7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Масс-спектрометрия с индуктивно-связанной плазмой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993,00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аланинаминотрансферазы в крови (АЛТ)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IFCC. Количественное определение активности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альбумина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метод: реакция с бромкрезоловым зеленым. Количественное определение 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альбумина в моче (Альбумин-креатининовое соотношение, Микроальбумин в разовой порции мочи)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4259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Расчетный метод определения отношения альбумина  к креатинину в моче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844,00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амилазы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A09.05.045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IFCC. Количественное определение  в сыворотке, плазме.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панкреатической амилазы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2362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A09.05.180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IFCC. Количественное определение активности в сыворотке, плазме и моче.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антистрептолизина-О в сыворотке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 биохимический иммунотурбидиметрический метод.  Количественное определение  в сыворотке и плазме.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аспартатаминотрансферазы в крови (АСТ)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IFCC. Количественное определение активности в сыворотке и плазме.                     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свободного и связанного билирубина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5317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общего билирубина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709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анализатор. Метод - с  DPD. Количественное определение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билирубина связанного (конъюгированного) в крови (Билирубин прямой)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A09.05.022.001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 фотометрический метод. Количественное определение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Биохимический комплекс 1 (АЛТ, АСТ, билирубин общий)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уровня витамина B12 (цианокобаламин)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A12.06.060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Электрохемилюминесцентный иммуноанализ-количественное определение NCCLS. 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423,00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25-OH витамина Д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A09.05.235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Электрохемилюминесцентный иммуноанализ-количественное определение NCCLS. 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1 083,00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гамма-глютамилтрансферазы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A09.05.044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IFCC.Количественное определение активности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гликированного гемоглобина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A09.05.083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метод IFCC. Количественное определение  в крови.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00:00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01:00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02:00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03:00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04:00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05:00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06:00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07:00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08:00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09:00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10:00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11:00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12:00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13:00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14:00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15:00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16:00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17:00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18:00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714-18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19:00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(2 порция)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1085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20:00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714-20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21:00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714-21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22:00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714-22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23:00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714-23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(3 порция)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1086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через 1 час после нагрузки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2137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крови через 2 часа после нагрузки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2141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гомоцистеина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метод. Количественное определение  в сыворотке и плазме.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1 014,00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железа сыворотки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727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метод. Количественное определение 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Индекс атерогенности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2361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A09.05.026.500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Расчетный метод, необходимо определение холестерина, триглицеридов, ЛПНП, ЛПВП сыворотки крови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мочевины в суточной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4009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- уреазный (ферментный). Количественное определение молярной скорости выведения с суточной мочой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кальция в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A09.28.012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- с арсеназо III. Количественное определение молярной скорости выведния с суточной мочой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ионизированного кальция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ионселективный, количественный тест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общего кальция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- с арсеназо III. Количественное определение.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креатинина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кинетический метод Количественное определение концентрации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уровня/активности изоферментов креатинкиназы в крови (Креатинкиназа - МВ)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1062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A09.05.177.500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ферментативный метод. Количественное определение  уровня/активности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креатинкиназы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IFCC. Количественное определение активности в сыворотке, плазме.                                                                                                                      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молочной кислоты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ферментный амперометрический метод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лактатдегидрогеназы в крови (ЛДГ)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IFCC. Количественное определение активности фермента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липазы в сыворотке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A09.05.173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ферментативный метод. Количественное определение активности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общего магния в сыворотке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A09.05.127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метод. Количественное определение  в сыворотке, плазме и моче.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Малый комплекс биохимических исследований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736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278,00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меди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1797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A09.05.273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Колориметрический, фотометрический, количественный метод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миоглобина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1794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 биохимический иммунотурбидиметрический метод.  Количественное определение  в сыворотке и плазме.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444,00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мочевой кислоты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A09.05.018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- ферментативный (уриказный). Количественное определение 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мочевой кислоты в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мочевины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- уреазный (ферментный). Количественное определение концентрации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железосвязывающей способности сыворотки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A12.05.011.500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иммунотурбидиметрический метод. Количественное определение  в сыворотке и плазме.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общей железосвязывающей способности сыворотки (ОЖСС)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иммунотурбидиметрический метод. Количественное определение  в сыворотке и плазме.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общего белка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колориметрический метод. Количественное определение 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233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основных групп крови по системе АВ0 и антигена D системы Резус (резус-фактор)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A12.05.005.500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Метод агглютинации, гелевый метод-качественная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424,00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234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насыщения трансферрина железом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2527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иммунотурбидиметрический метод. Количественное определение  в сыворотке и плазме.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282,00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235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Развернутый  комплекс биохимических исследований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508,00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236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ревматоидного фактора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 биохимический иммунотурбидиметрический метод. Количественное определение  в сыворотке и 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Скорость клубочковой фильтрации по формуле EPI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A12.28.002.500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Расчетный метод, необходимо определение креатинина сыворотки крови, указание роста и веса пациента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238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Скорость клубочковой фильтрации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С-реактивный белок (СРБ, количественный)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733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A09.05.009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 биохимический иммунотурбидиметрический метод. Количественное определение  в сыворотке и 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114,00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трансферрина сыворотки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 биохимический иммунотурбидиметрический метод. Количественное определение  в сыворотке и 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триглицеридов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721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ферментативный метод. Количественное определение  в сыворотке и плазме. 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тропонина T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994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A09.05.253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иммунохемилюминесцентный иммуноанализ – количественное определение. Иммунохроматографическое исследование – качественное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щелочной фосфатазы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IFCC.  Количественное определение активности в сыворотке и плазме.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неорганического фосфора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A09.05.033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метод. УФ-фотометрия. Количественное определение  в сыворотке, плазме и моче.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фосфора в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A09.28.026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метод. УФ-фотометрия. Количественное определение  в сыворотке, плазме и моче.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холестерина липопротеинов высокой плотности в крови (Х-ЛПВП)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720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ферментативный метод. Количественное определение 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холестерина липопротеинов низкой плотности (Х-ЛПНП)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1098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ферментативный метод. Количественное определение 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холестерина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ферментативный метод. Количественное определение 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холестерина липопротеинов низкой плотности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ферментативный метод. Количественное определение 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250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цинка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738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A09.05.274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Колориметрический, фотометрический, количественный метод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метанефринов в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A09.28.034.001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974,00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252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лекарственных препаратов в крови. Такролимус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A09.05.035.501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(ИХЛА), ВЭЖХ-количественное определение в крови.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1 620,00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253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антинуклеарных антител (Антинуклеарный фактор на клеточной линии HEp-2, АНФ)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5096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1 257,00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254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Анализ минерального состава мочевых камней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3177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3 939,00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255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апопротеина A1 в крови (АПО-А1)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722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A09.05.250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иммунотурбидиметрический метод.  Количественное определение  в сыворотке и плазме.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апопротеина B1 в крови (АПО-В)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иммунотурбидиметрический метод.   Количественное определение  в сыворотке и плазме.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257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гаптоглобина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A09.05.079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иммунотурбидиметрический метод. Количественное определение  в сыворотке и плазме.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258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желчных кислот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2 205,00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259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Кислая фосфатаза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1796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альфа-1-гликопротеина (орозомукоида) в крови)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752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854,00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прокальцитонина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1061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A09.05.209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иммунохемилюминесцентный иммуноанализ.  Количественное определение  в сыворотке и плазме.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1 200,00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C-реактивного белка в сыворотке крови (ультрачувствительный, hs-СРБ)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4283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114,00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холинэстеразы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A09.05.174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GSCC. Количественное определение активности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церулоплазмина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753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A09.05.077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 биохимический иммунотурбидиметрический метод. Количественное определение  в сыворотке и 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296,00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альфа-1-антитрипсина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750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A09.05.073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иммунотурбидиметрический метод. Количественное определение  в сыворотке и плазме.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1 095,00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уровня бетта-изомеризованного С-концевого телопептида коллагена 1 типа (Бета-cross laps)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1799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A09.05.297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Электрохемилюминесцентный иммуноанализ-количественное определение NCCLS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971,00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липопротеинов в крови. Липопротеин(а)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A09.05.027.502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иммунотурбидиметрический метод.  Количественное определение  в сыворотке и плазме.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753,00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оксалатов в суточной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3044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1 383,00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Скорость клубочковой фильтрации по цистатину С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4022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A09.05.230.500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Расчетный метод, необходимо определение концентрации цистатина С сыворотки крови, указание роста и веса пациента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676,00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270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фруктозамина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1798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фотометрический. Количественное определение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271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цистатина C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иммунотурбидиметрический метод. Количественное определение  в сыворотке и плазме.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412,00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272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ртути в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5455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6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273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уровня N-терминального пропептида проколлагена 1-го типа (P1NP)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A09.05.296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Электрохемилюминесцентный иммуноанализ-количественное определение NCCLS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274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соотношения белковых фракций методом электрофореза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754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 </w:t>
            </w:r>
            <w:r>
              <w:rPr>
                <w:sz w:val="14"/>
                <w:szCs w:val="14"/>
                <w:lang w:val="ru-RU" w:eastAsia="ru-RU"/>
              </w:rPr>
              <w:t xml:space="preserve">Метод электрофореза. Количественное соотношение фракций общего белка крови.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136,00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275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фракций лактатдегидрогеназы (ЛДГ1)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1795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A09.05.039.001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GSCC. Количественное определение активности в сыворотке,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276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лекарственных препаратов в крови. Леветирацетам (Кеппра)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4391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3 268,00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277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метанефринов, фракции – метанефрин, норметанефрин в суточной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5095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1 903,00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278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ртути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5150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1 000,00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279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селена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5151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1 000,00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280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серы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5152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1 000,00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281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Количественное определение карбогидрат-дефицитного трансферрина (CDT) в сыворотке крови методом капиллярного электрофореза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4258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3 157,00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282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уровня витамина А (ретинол)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4267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2 250,00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283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уровня витамина В1 (тиамин)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5448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2 250,00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284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уровня витамина В6 (пиридоксин)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5449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2 250,00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285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уровня витамина Е (токоферол)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5450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2 250,00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286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уровня витамина К (филлохинон)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1196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2 250,00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287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Омега-3 индекса (оценка риска внезапной сердечной смерти, инфаркта миокарда и других сердечно-сосудистых заболеваний)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3173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4 708,00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288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антитромбина III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1935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A09.05.047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хромогенный метод.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289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Коагулограмма, малый комплекс (Протромбиновое время, МНО, АПТВ, фибриноген)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5453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286,00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290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Коагулограмма, расширенный  комплекс (Протромбиновое время, МНО, АПТВ, фибриноген, тромбиновое время антитромбин III, D-димер)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5454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1 104,00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291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тромбинового времени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клоттинговый метод.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292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фибриногена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A09.05.050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метод по  Клаусу.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293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плазминогена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A09.05.048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иммунотурбидиметрический метод.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424,00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294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активности и свойств фактора Виллебранда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A09.05.285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иммунотурбидиметрическийметод. Диапазон измерения 3 - 100 %. Хук эффект до 800%.  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413,00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295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концентрации Д-димера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749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24 ч.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A09.05.051.001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иммунотурбидиметрический метод. Количественное определение активности в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559,00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296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Активированное частичное тромбопластиновое время (АЧТВ/АПТВ)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24 ч.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клоттинговый метод  NCCLS. 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297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международного нормализованного отношения (МНО) (Протромбиновое время)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24 ч.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A12.30.014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клоттинговый метод NCCLS. МИЧ (ISI), близкий 1.0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298</w:t>
            </w:r>
            <w:r/>
          </w:p>
        </w:tc>
        <w:tc>
          <w:tcPr>
            <w:shd w:val="clear" w:color="000000" w:fill="FFFF00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Тест с ядом гадюки Рассела (Волчаночный антикоагулянт)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A12.06.030.500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клоттинговый метод. Скрининговое отношение меньше или равно 1,2. Подтверждающее отношение больше 1,2.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299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продуктов паракоагуляции в крови. Продукты деградации фибрина, фибриногена (PDF)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744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A09.05.051.500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Метод латексной планшетной агглютинации.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494,00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альфа-2-антиплазмина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A09.05.287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 иммунотурбидиметрический метод.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400,00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фактора IX в 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A09.05.187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 </w:t>
            </w:r>
            <w:r>
              <w:rPr>
                <w:sz w:val="14"/>
                <w:szCs w:val="14"/>
                <w:lang w:val="ru-RU" w:eastAsia="ru-RU"/>
              </w:rPr>
              <w:t xml:space="preserve">Автоматический иммунотурбодиметрический метод. Диапазон измерения 3 - 100 %. Хук эффект до 800%.        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1 083,00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фактора VIII в сыворотке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2499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A09.05.188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 </w:t>
            </w:r>
            <w:r>
              <w:rPr>
                <w:sz w:val="14"/>
                <w:szCs w:val="14"/>
                <w:lang w:val="ru-RU" w:eastAsia="ru-RU"/>
              </w:rPr>
              <w:t xml:space="preserve">Автоматический иммунотурбидиметрический метод. Диапазон измерения 3 - 100 %. Хук эффект до 800%. 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1 083,00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растворимых фибринмономерных комплексов в крови (РФМК)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1938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A09.05.051.002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иммунотурбодиметрический  метод. Метод латексной планшетной агглютинации.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протеина S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клоттинговый/ иммунотурбодиметрический метод.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675,00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протеина C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1936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иммунотурбидиметрический метод.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838,00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мутации в гене гемохроматоза (HLA-H, HFE)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4555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2 967,00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полиморфизма гена UGT1A1 (Синдром Жильбера)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4248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A27.30.015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1 111,00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Молекулярно-генетическое исследование гена HLA B27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2732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A12.05.010.501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Микролимфоцитотоксический тест (МЛЦТТ)-качественная оценка  и/или молекулярно-генетический метод определения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931,00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309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Типирование генов гистосовместимости человека (HLA) II класса: DRB1, DQA1, DQB1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2598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A12.05.010.502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Молекулярно-генетический метод определения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7 840,00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Молекулярно-генетическое исследование мутации в генах системы гемостаза, минимальная панель (F2, F5)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1187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1 330,00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Молекулярно-генетическое исследование мутации в генах системы гемостаза, расширенная панель ( FGB,PAI-1,FV, FVII, FII, ITGB3, ITGA2,FXIII)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2726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A27.05.004.501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оценка: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3 099,00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Молекулярно-генетическое исследование микроделеций в Y хромосоме в крови. Делекции AZF-локуса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2727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2 294,00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Молекулярно-генетическое исследование мутаций в генах BRCA1 и BRCA2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2728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2 388,00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Молекулярно-генетическое исследование мутации в гене MCM6,  ассоциированного с гиполактатемией и резистентностью лактозы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3069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A27.05.060.500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949,00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Выявление генетических маркеров чувствительности к антикоагулянтам ряда Кумарина (Варфарин) (CYP2C9, CYP4F2, VKORC1)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1 330,00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Диагностика целиакии: Типирование HLA DQ2/DQ8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4394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9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5 579,00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уровня N-терминального фрагмента натрийуретического пропептида мозгового (NT-proBNP)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329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иммунохемилюминесцентный иммуноанализ.  Количественное определение  в сыворотке и плазме.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1 744,00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адренокортикотропного гормона в крови (АКТГ)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A09.05.067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 NCCLS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703,00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тиреоглобулину в сыворотке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(ИХЛА)-количественное определение NCCLS.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622,00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тиреопероксидазе в крови (анти-ТПО)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A12.06.045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(ИХЛА)-количественное определение NCCLS.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423,00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дегидроэпиандростерона сульфата в крови (ДГЭА-С)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A09.05.149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 NCCLS.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Комплекс исследований для диагностики сахарного диабета. Индекс инсулинорезистентности (HOMA-IR)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735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инсулина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 NCCLS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293,00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общего кортизола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A09.05.135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 NCCLS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лютеинизирующего гормона в сыворотке крови (ЛГ)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 NCCLS.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фракций пролактина в крови (Макропролактин)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2364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A09.05.210.500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(ИХЛА)-количественное определение NCCLS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паратиреоидного гормона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A09.05.058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 NCCLS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270,00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функции нефронов по клиренсу креатинина (проба Реберга)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2363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A12.28.002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Расчетный метод, необходимо определение креатинина сыворотки крови, креатинина в суточной моче, указание роста и веса пациента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391,00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прогестерона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A09.05.153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(ИХЛА).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пролактина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A09.05.087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 NCCLS.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глобулина, связывающего половые гормоны, в крови (Секс-стероид-связывающий глобулин)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A09.05.160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 NCCLS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C-пептида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 NCCLS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333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общего тестостерона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A09.05.078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(ИХЛА)-количественное определение NCCLS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334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свободного тестостерона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5785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A09.05.078.001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метод,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335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тиреотропного гормона (ТТГ)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A09.05.065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(ИХЛА)-количественное определение NCCLS.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336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общего тироксина (T4) сыворотки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A09.05.064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(ИХЛА)-количественное определение NCCLS.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свободного тироксина (СТ4) сыворотки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A09.05.063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 NCCLS.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338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тироксин-связывающего глобулина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1948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893,00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Трийодтиронин общий (ТТ3)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A09.05.060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 NCCLS.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Трийодтиронин свободный (FT3)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A09.05.061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 NCCLS.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ферритина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729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A09.05.076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 биохимический иммунотурбидиметрический метод. Количественное определение  в сыворотке и плазме.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309,00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фолиевой кислоты в сыворотке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A09.05.080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Электрохемилюминесцентный иммуноанализ-количественное определение NCCLS. 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639,00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фолликулостимулирующего гормона в сыворотке крови (ФСГ)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 NCCLS.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хорионического гонадотропина в крови (ХГЧ)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A09.05.090.500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 NCCLS.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общего эстрадиола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A09.05.154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 NCCLS.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кортизола в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5247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577,00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андростендиона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метод.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антимюллерова гормона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1738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(ИФА)-количественная оценка, 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1 186,00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гастрина сыворотки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4554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A09.05.057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(ИФА),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597,00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кальцитонина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Иммунохемилюминесцентный анализ (ИХЛА)- количественное определение..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858,00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остеокальцина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1736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Электрохемилюминесцентный иммуноанализ-количественное определение NCCLS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974,00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соматотропного гормона в крови (СТГ)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A09.05.066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метод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пепсиногена I , пепсиногена II. Соотношение пепсиноген I / пепсиноген II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4389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2 492,00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тиреоглобулина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473,00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эритропоэтина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A09.05.082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количественное определение в крови.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общего эстриола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2657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 NCCLS.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986,00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17-гидроксипрогестерона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метод,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альдостерона и ренина в крови (Альдостерон-рениновое соотношение)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4224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1 153,00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ренина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334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A09.05.121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метод,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антигенам спермальной жидкости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320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1 083,00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инсулиноподобного ростового фактора I в крови (ИФР-1)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метод,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873,00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связанного с беременностью плазменного протеина A (PAPP-A) в сыворотке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602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739,00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хорионического гонадотропина (свободная бета-субъединица) в сыворотке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601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A09.05.090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569,00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инсулину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метод,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класса G (IgG) к фосфолипидам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1486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класса M (IgM) к фосфолипидам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1487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рецептору тиреотропного гормона (анти-ТТГ)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333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(ИХЛА)-количественное определение NCCLS.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979,00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фосфолипидам в крови. Антитела суммарные к фосфолипидам  (кардиолипину, фосфатидилинозитолу, фосфатидилсерину, фосфатидиловой  кислоте и b2-гликопротеину)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321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A12.06.030.505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338,00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дигидротестостерона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1 311,00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ингибина B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322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(ИФА)-количественная оценка, 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1 549,00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уровня N-терминального пропептида проколлагена 1-го типа (P1NP)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A09.05.296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Электрохемилюминесцентный иммуноанализ-количественное определение NCCLS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плацентарного лактогена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A09.05.249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метод (ИФА).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альдостерона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A09.05.069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метод,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288,00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антигенам островков клеток поджелудочной железы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338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1 784,00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лептина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1734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825,00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иммунологического статуса при клеточном иммунодефиците (иммунограмма базовая)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5906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2 214,00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(IgG,M) бледной трепонеме (Treponema pallidum) в ликворе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4102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IgG, IgM к коронавирусу SARS-CoV-2 в крови иммунохроматографическим методом (экспресс-тест)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4535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A26.08.027.500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Иммунохроматографический экспресс-тест,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2 155,00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иммуноглобулинов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A09.05.054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583,00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380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интерлейкина 6 в сыворотке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5124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1 969,00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381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C3 фракции комплемента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A09.05.075.001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иммунотурбидиметрический метод. Количественное определение.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382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C4 фракции комплемента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A09.05.075.002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иммунотурбидиметрический метод. Количественное определение.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383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комплемента и его фракций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755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389,00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384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иммуноглобулина A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1976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A09.05.054.002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иммунотурбидиметрический метод. Количественное определение.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385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иммуноглобулина G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1977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A09.05.054.004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386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иммуноглобулина M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1978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A09.05.054.003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387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Комплекс исследований для диагностики образования головного мозга (Антинейрональные антитела (лайн-блот : Hu (ANNA 1), Yo-1 (PCA1), CV2, Ма2, Ri (ANNA2), амфифизин)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3167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5 339,00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388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антигенам мышечной ткани в крови. Антитела классов IgA, IgG, IgM к гладкой мускулатуре, суммарно.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5255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1 450,00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389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Развернутая диагностика склеродермии (определение антинуклеарных антител: анти-Scl-70, CENT-A, CENT-B, RP11, RP155, Fibrillarin, NOR90, Th/To, PM-Scl 100/75, Ku, PDGFR, Ro-52), иммуноблот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5250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3 491,00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390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Эли-Висцеро-Тест-24 (антитела к 24 антигенам основных органов и систем человека)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4284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5 513,00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391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A (IgA) к дрожжам Sacchаromyces cerevisiae (ASCA)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5368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1 015,00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392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дрожжам Sacchаromyces cerevisiae (ASCA)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5369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1 015,00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393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маркеров ANCA-ассоциированных васкулитов: антитела к миелопероксидазе МПО (p-ANCA)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1 083,00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394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антигенам миокарда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5249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1 310,00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395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маркеров ANCA-ассоциированных васкулитов: PR3 (c-ANCA), МПО (p-ANCA). Антитела к цитоплазматическим антигенам нейтрофилов (ANCA combi) (антигены: PR3, BPI, MPO, эластаза, катепсин G, лизоцим, лактоферрин)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A12.06.053.500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1 083,00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396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антигенам мышечной ткани в крови. Антитела при полимиозите, иммуноблот (Mi-2,Ku,Pm-Scl100,Pm-Scl75,SPR,Ro-52,Jo-1,PL-7,PL-12,EJ,OJ)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5248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3 800,00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397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маркеров ANCA-ассоциированных васкулитов: PR3 (c-ANCA), МПО (p-ANCA)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1814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1 206,00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398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класса A (IgA) к дезаминированным пептидам альфа-глиадина IgА (ААГ)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5367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1 009,00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399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антигенам желудка в крови. Антитела (IgA, IgG) к париетальным клеткам желудка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1 324,00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рецептору фосфолипазы А2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2 338,00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тирозинфосфатазе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5252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1 718,00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класса G (IgG) к антигенам островков клеток поджелудочной железы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5253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1 784,00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класса G (IgG) к глутаматдекарбоксилазе (анти?GAD)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5254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1 784,00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антигенам островков клеток поджелудочной железы в крови. Антитела к GAD (декарбоксилазе глютаминовой кислоты)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1 784,00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класса G (IgG) к антигенам желудка в крови (аутоантитела к внутреннему фактору)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14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1 227,00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иммунных ингибиторов к факторам свертывания. Антитела класса G, M (IgG,M) к протромбину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1819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14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 </w:t>
            </w:r>
            <w:r>
              <w:rPr>
                <w:sz w:val="14"/>
                <w:szCs w:val="14"/>
                <w:lang w:val="ru-RU" w:eastAsia="ru-RU"/>
              </w:rPr>
              <w:t xml:space="preserve">ио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2 399,00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интерферонового статуса (4 показателя: сывороточный интерферон; спонтанный интерферон; интерферон-альфа; интерферон-гамма)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14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2 757,00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Poliomyelitis virus 1,3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5297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16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1 985,00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409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моноклональности иммуноглобулинов в моче методом иммунофиксации (Иммунофиксация белка Бенс-Джонса с панелью антисывороток)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4240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A09.28.030.001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Иммунофиксация белка с панелью антисывороток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2 882,00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моноклональности иммуноглобулинов в крови методом иммунофиксации. (Типирование парапротеина в сыворотке крови (с помощью иммунофиксации с панелью антисывороток IgG, IgA, IgM, kappa, lambda)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3815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A09.05.106.001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Иммунофиксация с панелью антисывороток IgG, IgA, IgM, kappa, lambda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3 456,00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M, G ( IgM, Ig G) к коронавирусу SARS-Cov2 IgM, G в крови методом ИФА/ИХЛА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4543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A26.08.027.501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оценка;    Иммунохемилюминесцентный анализ (ИХЛА)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1 364,00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коронавирусу SARS-Cov2 IgG в крови методом ИФА/ИХЛА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4541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A26.08.027.503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оценка;    Иммунохемилюминесцентный анализ (ИХЛА)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689,00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(IgM) к коронавирусу SARS-Cov2 IgM в крови методом ИФА/ИХЛА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4542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A26.08.027.502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оценка;    Иммунохемилюминесцентный анализ (ИХЛА)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689,00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Непрямой антиглобулиновый тест (тест Кумбса)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2376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Гелевый метод-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571,00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антигена стрептококка группы B (S.agalactiae в отделяемом цервикального канала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662,00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вирусу простого герпеса 1 типа (Herpes simplex virus 1)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629,00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коронавирусу SARS-Cov2 IgG в крови методом ИФА/ИХЛА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A26.08.027.503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оценка;    Иммунохемилюминесцентный анализ (ИХЛА)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689,00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418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IgG, IgM, IgA к нуклеокапсиду (N) и спайк-белку (S) коронавирусу SARS-CoV-2 в крови методом ИФА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4834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1 364,00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HLA-антигенов. Гистотипирующая панель (полная) - HLA-А,В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1949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A12.05.010.500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Микролимфоцитотоксический тест (МЛЦТТ)-качественная оценка и/или молекулярно-генетический метод определения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2 308,00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420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Молекулярно-генетическое исследование гена HLA B27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2374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A12.05.010.501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Микролимфоцитотоксический тест (МЛЦТТ)-качественная оценка  и/или молекулярно-генетический метод определения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931,00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421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Иммунологическое обследование супружеской пары по системам АВО и системы Резус (резус-фактор)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1950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A12.05.005.501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Иммуногематологический с применением гелевых технологий (полуколичественная оценка)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3 248,00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422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антигенам групп крови (по системе AB0)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4208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1 003,00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Прямой антиглобулиновый тест (прямая проба Кумбса)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A12.05.009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Гелевый метод-качественная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кала на скрытую кровь, количественно (метод FOB Gold)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5491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705,00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Комплекс исследований для выявления аллергена. Фадиатоп детский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2 183,00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кислотно-основного состояния и газов крови (КЩС)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1178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ч.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B03.016.011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потенциометрический и амперометрический  метод. Измерение парциального давления газов (pH, pO2, pCO2), оксиметрия (tHb, sO2) и полная оксиметрия (FO2Hb, FCOHb, FmetHb, FHHb, FHbF).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1 006,00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427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вирусу кори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1595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A26.06.056.001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антитромбоцитарных антител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2965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2 871,00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429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суммарных антител к бета-2-гликопротеину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2389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IgG к бета-2-гликопротеину в крови.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2387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A12.06.051.500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531,00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IgM к бета-2-гликопротеину в крови.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2388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A12.06.051.500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531,00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классов A, M, G (IgA, IgM, IgG) к хламидии пневмонии (Chlamydia pheumoniae)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1 034,00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антигенам тканей почек. Антитела к базальной мембране клубочков (анти GMB)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2509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1 876,00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вирусу кори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5298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742,00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(IgM) к вирусу кори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1596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A26.06.056.001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антител к антигенам ядра клетки и ДНК. Антитела IgG к гистонам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1954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A12.06.010.504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ДНК нативной. Антитела IgG к двухспиральной ДНК.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1754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IgG к кардиолипину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2390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A12.06.029.501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531,00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суммарных антител к кардиолипину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A12.06.029.503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IgM к кардиолипину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2391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A12.06.029.502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531,00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классов M, G (IgM, IgG) к микоплазме пневмонии (Mycoplasma pneumoniae)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A26.06.057.502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332,00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цитруллинированному виментину в крови (анти-MCV)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2366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A12.06.062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антител к антигенам ядра клетки и ДНК. Антитела IgG к нуклеосомам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1953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A12.06.010.505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444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IgA к тканевой трансглютаминазе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3163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760,00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445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Антитела к трансглютаминазе (IgG)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3162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760,00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Антитела к трансглютаминазе (IgG, IgA)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2386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760,00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447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маркеров ANCA-ассоциированных васкулитов: PR3 (c-ANCA), МПО (p-ANCA) (Антитела к цитоплазматическим антигенам нейтрофилов к 3 антигенам (ANCA к 3 АГ: PR3, MPO, GBM))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2533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A12.06.053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(ИФА), методом иммуноблота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2 032,00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448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циклическому цитрулиновому пептиду (анти-ССР)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1811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A12.06.052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1 191,00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449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антител к антигенам ядра клетки и ДНК. Антиядерные антитела IgG, скрининг (ANA к 26 АГ)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1812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A12.06.010.500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450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антител к антигенам ядра клетки и ДНК. Антиядерные антитела IgG (ANA Профиль)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1813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A12.06.010.502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(ИФА), методом иммуноблота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1 383,00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антител к антигенам ядра клетки и ДНК. Антиядерные антитела IgG (ANA Профиль)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2377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A12.06.010.501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(ИФА), методом иммуноблота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1 383,00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452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антигенам печеночной ткани в крови (антигены: М2,SLA/LP,LKM-1,LC1,F-актин, миозин, десмин)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A12.06.024.500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1 214,00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453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криоглобулинов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1 703,00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454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катехоламинов в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2 465,00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455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циркулирующих иммунных комплексов в крови (ЦИК)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1952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A09.05.074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Реакция иммунофлуоресценции (РИФ),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амебе гистолитика (Entamoeba histolytica)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5465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723,00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457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IgA  к глиадину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1815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A12.06.055.501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500,00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458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IgG к глиадину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1816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A12.06.055.502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500,00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459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антигенам печеночной ткани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1755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1 033,00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460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антигенам митохондрий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1 689,00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461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эндомизию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5117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1 443,00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462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тканям яичника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1818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A12.06.071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1 083,00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463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капсидному антигену (VCA) вируса Эпштейна-Барр (Epstein - Barr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A26.06.029.002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оценка, двухстадийный вариант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464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токсинов возбудителя диффициального клостридиоза (Clostridium difficile) в образцах фекалий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Иммунохроматографический экспресс-тест,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465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</w:t>
            </w:r>
            <w:r>
              <w:rPr>
                <w:sz w:val="14"/>
                <w:szCs w:val="14"/>
                <w:lang w:val="ru-RU" w:eastAsia="ru-RU"/>
              </w:rPr>
              <w:t xml:space="preserve">-биологическое исследование клеща на вирус клещевого энцефалита и возбудителей иксодовых клещевых боррелиозов группы Borrelia burgdorferi sensu lato, на анаплазму фагоцитофиллум (Anaplasma phagocytophillum), на возбудителей моноцитарного эрлихиоза человека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2611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1 323,00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466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бледной трепонеме (Treponema pallidum) в нетрепонемных тестах (RPR, РМП) (качественное и полуколичественное исследование) в сыворотке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A26.06.082.001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Экспресс-тест-качественная и полуколичественная оценка. Определения ассоциированных с сифилисом реагиновых антител в сыворотке (плазме) крови человека.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133,00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467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хантавирусам, возбудителям геморрагической лихорадки с почечным синдромом (ГЛПС)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5130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640,00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468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(IgM) к хантавирусам, возбудителям геморрагической лихорадки с почечным синдромом (ГЛПС)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5131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640,00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469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хеликобактер пилори (Helicobacter pylori) в крови. (Helicobacter pylori IgA,IgG,IgM)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A26.06.033.500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470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хантавирусам, возбудителям геморрагической лихорадки с почечным синдромом (ГЛПС)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1 023,00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471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антигена вируса клещевого энцефалита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5359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331,00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472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бледной трепонеме (Treponema pallidum) в крови (IgG)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1445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A26.06.082.501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473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бледной трепонеме (Treponema pallidum) в реакции пассивной гемагглютинации (РПГА) (качественное и полуколичественное исследование) в сыворотке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A26.06.082.003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Реакция пассивной гемагглютинации, 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474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Антитела к Treponema pallidum IgM (ИФА)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2199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A26.06.082.500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475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Trichomonas vaginalis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1785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675,00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476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Обнаружение антител класса G (anti-HAV IgG) к вирусу гепатита A (Hepatitis A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1762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A26.06.034.002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471,00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477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(anti-HCV IgM) к вирусу гепатита C (Hepatitis C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1929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A26.06.041.501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оценка, двухстадийный вариант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478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вирусу гепатита D (Hepatitis D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1793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922,00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479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классов  IgG к вирусу простого герпеса (Herpes simplex virus 1, 2)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A26.06.045.500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оценка, двухстадийный вариант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281,00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480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(IgM) к вирусу простого герпеса 1 и 2 типов (Herpes simplex virus types 1, 2)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A26.06.045.003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оценка, двухстадийный вариант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281,00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481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вирусу простого герпеса 2 типа (Herpes simplex virus 2)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A26.06.045.002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оценка, двухстадийный вариант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482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классов  IgМ к вирусу простого герпеса 2 типа (Herpes simplex virus 2)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1592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A26.06.045.501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оценка, двухстадийный вариант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483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вирусу краснухи (Rubella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A26.06.071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1 016,00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484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вирусу краснухи (Rubella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A26.06.071.001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485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(IgM) к вирусу краснухи (Rubella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A26.06.071.002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702,00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486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классов A, M, G (IgM, IgA, IgG) к лямблиям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A26.06.032.500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487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структурным и неструктурным белкам гепатита С (анти-HCV) - спектр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488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структурным и неструктурным белкам гепатита С (анти-HCV) - спектр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1172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489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токсоплазме (Toxoplasma gondii)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A26.06.081.001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490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токсоплазме (Toxoplasma gondii)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A26.06.081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746,00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491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(IgM) к токсоплазме (Toxoplasma gondii)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A26.06.081.002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492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цитомегаловирусу (Cytomegalovirus)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A26.06.022.001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493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(IgM) к цитомегаловирусу (Cytomegalovirus)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A26.06.022.002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494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(IgM) к капсидному антигену (VCA) вируса Эпштейна-Барр (Epstein - Barr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218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A26.06.029.001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оценка, двухстадийный вариант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495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(anti-HAV IgM) к вирусу гепатита A (Hepatitis A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1761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A26.06.034.001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(ИФА)-качественная, 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496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поверхностному антигену (anti-HBs) вируса гепатита B (Hepatitis B virus) в крови, количественное исследование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A26.06.040.001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оценка, двухстадийный вариант; Иммунохемилюминесцентный анализ (ИХЛА)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793,00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497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суммарных антител классов M и G (anti-HCV IgG и anti-HCV IgM) к вирусу гепатита C (Hepatitis C virus) в крови (с подтверждающим исследованием.)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A26.06.041.002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оценка, двухстадийный вариант;         Иммунохемилюминесцентный анализ (ИХЛА). Включает подтверждающий тест.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498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антигена (HBsAg) вируса гепатита B (Hepatitis B virus) в крови, качественное исследование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A26.06.036.001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Иммунохемилюминесцентный анализ (ИХЛА). Включает подтверждающий тест.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499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Комплексное исследование на определение антител к гепатиту B,C, ВИЧ-1,2, Treponema pallidum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857,00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маркеров гепатита 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5171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687,00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маркеров гепатитов B, C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1034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528,00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классов M, G (IgM, IgG) к вирусу иммунодефицита человека ВИЧ-1/2 и антигена p24 (Human immunodeficiency virus HIV 1/2 + Agp24)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A26.06.049.001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(ИФА)-качественная  оценка. Первичный скрининг.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бледной трепонеме (Treponema pallidum) иммуноферментным методом (ИФА) в крови (IgG, IgM)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1810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A26.06.082.002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авидности антител класса G к вирусу простого герпеса 1 и 2 типов (Herpes simplex virus types 1, 2)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A26.06.046.002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1 112,00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авидности антител класса G к вирусу простого герпеса 2 типа (Herpes simplex virus 2)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A26.06.046.001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1 316,00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возбудителю коклюша (Bordetella pertussis)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1780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A26.06.103.501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772,00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(IgM) к возбудителю коклюша (Bordetella pertussis)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1779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A26.06.103.500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772,00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A (IgA) к возбудителю коклюша (Bordetella pertussis)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5039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A26.06.103.502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772,00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509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классов A (IgA) к хламидии пневмонии (Chlamidia pneumoniae)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1777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A26.06.016.500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классов G (IgG) к хламидии пневмонии (Chlamidia pneumoniae)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1778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A26.06.016.501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к хламидии пневмонии (Chlamydia pheumoniae)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1776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A26.06.016.502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антигенам 4 гельминтов (описторхисов,трихинел, токсокар, эхинококков в сыворотке крови)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A26.06.079.502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А (IgA) к бруцеллам (Brucella spp.)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3191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555,00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суммарных антител к бруцеллам (Brucella spp.)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5319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1 109,00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бруцеллам (Brucella spp.)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3192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555,00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вирусу ветряной оспы и опоясывающего лишая (Varicella-Zoster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609,00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(IgM) к вирусу ветряной оспы и опоясывающего лишая (Varicella-Zoster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724,00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518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(anti-HEV IgG) к вирусу гепатита E (Hepatitis E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1791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A26.06.044.002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927,00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(anti-HEV IgM) к вирусу гепатита E (Hepatitis E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1790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A26.06.044.001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941,00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520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дифтерийному анатоксину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3170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839,00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521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возбудителю иерсиниоза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1599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970,00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522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A (IgA) к возбудителю иерсиниоза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5283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970,00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Clostridium tetani в крови (столбняк)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3171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1 784,00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возбудителю коклюша (Bordetella pertussis) и паракоклюша (Bordetella pertussis, Bordetella parapertussis), суммарные (РПГА) полуколичественно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5322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585,00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(IgM) к грибам рода кандида (Candida spp.)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2396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A26.06.006.503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Антитела к микоплазме (Mycoplasma hominis) (IgМ)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A26.06.057.504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574,00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527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возбудителю описторхоза (Opistorchis felineus)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1963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A26.06.062.500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возбудителю описторхоза (Opisthorchis felineus)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5318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A26.06.062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529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(IgМ) к возбудителю описторхоза (Opistorchis felineus)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1964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A26.06.062.501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токсокаре собак (Toxocara canis)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A26.06.080.500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трихинеллам (Trichinella spp.)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1966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A26.06.079.500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(IgМ) к трихинеллам (Trichinella spp.)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1965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A26.06.079.501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533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трихинеллам (Trichinella spp.)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5320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A26.06.079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534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Антитела к хламидиям (Chlamydia trachomatis) (IgM)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A26.06.018.002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535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классов к ядерному антигену (HBcAg) вируса гепатита B (Hepatitis B virus) в крови (IgM, IgG)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оценка, одностадийный вариант;   Иммунохемилюминесцентный анализ (ИХЛА)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536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к ядерному антигену (anti-HBc IgM) вируса гепатита B (Hepatitis B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1765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A26.06.039.001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оценка,  одностадийный вариант;    Иммунохемилюминесцентный (ИХЛА)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412,00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Индекс авидности антител IgG к вирусу Эпштейна-Барр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608,00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538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бледной трепонеме (Treponema pallidum) в крови (IgM)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2395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A26.06.082.500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вирусу герпеса человека 6 типа (Human herpes virus 6)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3166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6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A26.06.047.001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522,00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низкоавидных антител класса G (anti-HCV IgG) к вирусу гепатита C (Hepatitis C virus) в крови. Авидность аnti-HCV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1177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A26.06.041.001.500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оценка, Иммунохемилюминесцентный анализ (ИХЛА)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473,00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индекса авидности антител класса G (IgG avidity) к вирусу краснухи (Rubella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2831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A26.06.071.003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1 086,00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индекса авидности антител класса G (IgG avidity) антител к токсоплазме (Toxoplasma gondii)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209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A26.06.081.003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851,00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индекса авидности антител класса G (IgG avidity) к цитомегаловирусу (Cytomegalovirus)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A26.06.022.003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грибам рода аспергиллы (Aspergilus fumigatus)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1787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A26.06.006.500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(IgM) к грибам рода аспергиллы (Aspergilus fumigatus)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A26.06.006.501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бледной трепонеме (Treponema pallidum) в сыворотке крови реакцией иммунофлюоресценции (РИФ)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A26.06.082.008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белку теплового шока хламидии трахоматис (Chlamydia trachomatis) (HSP60)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1447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633,00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вирусу клещевого энцефалита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A26.06.088.002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(IgM) к вирусу клещевого энцефалита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A26.06.088.001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550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вирусу паротита (Mumps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5296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1 311,00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вирусу паротита (Mumps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1771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626,00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552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(IgM) к вирусу паротита (Mumps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1770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685,00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553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возбудителям иксодовых клещевых боррелиозов группы Borrelia burgdorferi sensu lato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A26.06.011.002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334,00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554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возбудителям иксодовых клещевых боррелиозов группы Borrelia burgdorferi sensu lato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5316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668,00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555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(IgM) к возбудителям иксодовых клещевых боррелиозов группы Borrelia burgdorferi sensu lato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A26.06.011.001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334,00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грибам рода кандида (Candida spp.)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1786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A26.06.006.502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557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возбудителям клонорхоза (Clonorchis sinensis)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4384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573,00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558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IgM к лямблиям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1962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A26.06.032.501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559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A (IgA ) к микоплазме (Mycoplasma hominis)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1594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A26.06.057.502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560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микоплазме (Mycoplasma hominis)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1593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A26.06.057.503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561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IgА (IgA) к микоплазме пневмонии (Mycoplasma pneumoniae)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1774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A26.06.057.500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562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IgG (IgG) к микоплазме пневмонии (Mycoplasma pneumoniae)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1775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A26.06.057.501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563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(IgM) к Mycoplasma pneumoniae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3879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A26.06.057.502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564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возбудителям стронгиллоидоза (Strongyloides stercoralis)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4381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565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А (IgА) к уреаплазме (Ureaplasma urealyticum)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1597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A26.20.005.501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566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уреаплазме (Ureaplasma urealyticum)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1598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A26.20.005.500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567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A (IgA) к хламидии трахоматис (Chlamydia trachomatis)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A26.06.018.001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568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хламидии трахоматис (Chlamydia trachomatis)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A26.06.018.003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569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тениидам (Taenia solium)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4382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654,00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570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возбудителям шистосомоза (Schistosoma haemotobium/ mansoni/japonicum)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4380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717,00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571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эхинококку однокамерному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572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ядерному антигену (NA) вируса Эпштейна-Барр (Epstein-Barr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оценка, двухстадийный вариант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573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ранним белкам (EA) вируса Эпштейна-Барр (Epstein-Barr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2544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оценка, двухстадийный вариант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338,00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574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e-антигену (anti-HBe) вируса гепатита B (Hepatitis B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1764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A26.06.038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оценка, двухстадийный вариант;  Иммунохемилюминесцентный анализ (ИХЛА)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793,00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575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 (anti-HCV IgM) к вирусу гепатита C (Hepatitis C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1766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A26.06.041.501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оценка, двухстадийный вариант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576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(anti-HDV IgM) к вирусу гепатита D (Hepatitis D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1792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A26.06.043.001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оценка, одностадийный вариант.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577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антигена (HbeAg) вируса гепатита B (Hepatitis B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1763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A26.06.035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(ИФА)-полуколичественная оценка,  одностадийный вариант;    Иммунохемилюминесцентный анализ (ИХЛА)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578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антигена вируса гепатита C (Hepatitis C virus)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1066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956,00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579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циркулирующих иммунных комплексов (ЦИК), содержащих антигены описторхов,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4379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447,00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580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Treponema pallidum в крови методом иммуноблоттинга (IgG)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1477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A26.06.082.007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Методом иммуноблоттинга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1 183,00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581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Treponema pallidum в крови методом иммуноблоттинга (IgM)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1478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A26.06.082.007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Методом иммуноблоттинга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1 183,00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582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M (IgM) к возбудителям иксодовых клещевых боррелиозов группы Borrelia burgdorferi sensu lato в крови (иммуноблот)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3168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9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2 151,00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583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калия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584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Натрия(Na+), Калия (K+), Кальция ионизированного (CA++)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2494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A09.05.030.500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ионселективный, количественный тест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585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Натрия (Na+) ,Калия (K+), Хлора (СL-)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1035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A09.05.030.501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ионселективный, количественный тест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586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натрия ионизированного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587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хлоридов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A09.05.034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588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лекарственных препаратов в крови. Вальпроевая кислота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A09.05.035.503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(ИХЛА), ВЭЖХ-количественное определение в крови.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986,00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589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лекарственных препаратов в крови. Сиролимус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5490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A09.05.035.505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(ИХЛА), ВЭЖХ-количественное определение в крови.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3 418,00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590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лекарственных препаратов в крови. Фенобарбитал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A09.05.035.506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(ИХЛА), ВЭЖХ-количественное определение в крови.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3 418,00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591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лекарственных препаратов в крови. Топирамат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5119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6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A09.05.035.507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(ИХЛА), ВЭЖХ-количественное определение в крови.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3 418,00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592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лекарственных препаратов в крови. Карбамазепин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A09.05.035.504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(ИХЛА), ВЭЖХ-количественное определение в крови.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986,00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593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циклоспорина A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2529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A09.06.001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(ИХЛА), ВЭЖХ-количественное определение в крови.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1 620,00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594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Время свертываемости крови по Бюркеру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2471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595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глюкозы в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2794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A09.28.011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596</w:t>
            </w:r>
            <w:r/>
          </w:p>
        </w:tc>
        <w:tc>
          <w:tcPr>
            <w:shd w:val="clear" w:color="000000" w:fill="FFFFFF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Цитологическое исследование мазка костного мозга (миелограмма)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2522</w:t>
            </w:r>
            <w:r/>
          </w:p>
        </w:tc>
        <w:tc>
          <w:tcPr>
            <w:shd w:val="clear" w:color="000000" w:fill="FFFFFF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A08.05.001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Морфологическое исследование мазка костного мозга с написанием заключения.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1 014,00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597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Тест тромбодинамики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3181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3 321,00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598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Цитологическое исследование микропрепарата тканей щитовидной железы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2431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A08.22.004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препарата с написанием заключения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599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альфа-амилазы в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996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A09.28.027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биохимический метод IFCC.  Количественное определение активности.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крови развернутый на атипичные мононуклеары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1091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122,00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крови развернутый на базофильную зернистость эритроцитов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5093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122,00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мочи методом Зимницкого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2399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B03.016.015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Метод Зимницкого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271,00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мочи методом Амбурже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2492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B03.016.014.500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Подсчет количества лейкоцитов, эритроцитов, цилиндров. Метод Амбурже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145,00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мочи методом Нечипоренко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2398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B03.016.014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Подсчет количества лейкоцитов, эритроцитов, цилиндров. Метод Нечипоренко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145,00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Обнаружение желчных пигментов в моче (Исследовани мочи на билирубин/уробилиноген)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2518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A09.28.007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Полуавтоматическое определение на тест-полосках "сухая химия"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крови (капиллярная кровь)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5364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B03.016.002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метод. Абсолютный подсчет в единице объема крови эритроцитов, лейкоцитов, тромбоцитов. Определение концентрации гемоглобина.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крови развернутый (капиллярная кровь)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5365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B03.016.003.500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метод. Абсолютный подсчет в единице объема крови форменных элементов. Дифференцировка лейкоцитов по 5 субпопуляциям. Определение фракции незрелых гранулоцитов.  Определение количества тромбоцитов 2 методами –импедансным и флюоресцентным.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122,00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скорости оседания эритроцитов (СОЭ), капиллярная кровь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5366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СОЭ метод: Вестергрен и/или фотометрический.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609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крови (краткий без СОЭ)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2264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B03.016.002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метод. Абсолютный подсчет в единице объема крови эритроцитов, лейкоцитов, тромбоцитов. Определение концентрации гемоглобина.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Дифференцированный подсчет лейкоцитов (лейкоцитарная формула)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747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122,00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отделяемого женских половых органов на гонококк (Neisseria gonorrhoeae)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A26.20.001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Микроскопия препарата, окрашенного по Граму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уретрального отделяемого на гонококк (Neisseria gonorrhoeae)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1438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A26.20.001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Микроскопия препарата, окрашенного по Граму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отделяемого женских половых органов на гонококк (Neisseria gonorrhoeae)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2007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A26.20.001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Микроскопия препарата, окрашенного по Граму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альбумина в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A09.28.003.001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 биохимический метод. иммунотурбидиметрия. Количественное определение  в моче.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альбумина в суточной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5427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A09.28.003.001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 биохимический метод. иммунотурбидиметрия. Количественное определение  в моче.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крови развернутый (СВС+Diff+базофильная зернистость эритроцитов)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2735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255,00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крови (краткий без СОЭ)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1068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B03.016.002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метод. Абсолютный подсчет в единице объема крови эритроцитов, лейкоцитов, тромбоцитов. Определение концентрации гемоглобина.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618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крови развернутый с подсчетом тромбоцитов путем микроскопии окрашенного мазка крови (по Фонио)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4763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255,00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крови с подсчетом тромбоцитов путем микроскопии окрашенного мазка крови (по Фонио)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4722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255,00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620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мочи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B03.016.006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Химико-микроскопический метод. Полу/Автоматическое определение: удельной плотности, рН</w:t>
            </w:r>
            <w:r>
              <w:rPr>
                <w:sz w:val="14"/>
                <w:szCs w:val="14"/>
                <w:lang w:val="ru-RU" w:eastAsia="ru-RU"/>
              </w:rPr>
              <w:t xml:space="preserve">, нитритов, белка, глюкозы кетонов, уробилиногена, билирубина, эритроцитов, лейкоцитов. Фотометрическое количественное определение белка с пирогаллоловым красным. Микроскопия нативного препарата при патологических результатах физико-химических показателей.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115,00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621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мочи (диспансеризация)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2752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B03.016.006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Химико-микроскопический метод. Полу/Автоматическое определение: удельной плотности, рН</w:t>
            </w:r>
            <w:r>
              <w:rPr>
                <w:sz w:val="14"/>
                <w:szCs w:val="14"/>
                <w:lang w:val="ru-RU" w:eastAsia="ru-RU"/>
              </w:rPr>
              <w:t xml:space="preserve">, нитритов, белка, глюкозы кетонов, уробилиногена, билирубина, эритроцитов, лейкоцитов. Фотометрическое количественное определение белка с пирогаллоловым красным. Микроскопия нативного препарата при патологических результатах физико-химических показателей.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115,00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622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крови развернутый (CBC+ Diff формула крови, СОЭ)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2417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крови развернутый (CBC+5Diff) без СОЭ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B03.016.003.500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метод. Абсолютный подсчет в единице объема крови форменных элементов. Дифференцировка лейкоцитов по 5 субпопуляциям. Определение фракции незрелых гранулоцитов.  Определение количества тромбоцитов 2 методами –импедансным и флюоресцентным.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122,00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Обнаружение кетоновых тел в моче экспресс-методом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2397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A09.28.015.001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Полуавтоматическое определение ацетона на тест-полосках "сухая химия"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количества белка в суточной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2207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A09.28.003.002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Фотометрическое определение белка с пирогаллоловым красным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131,00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ретикулоцитов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998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B03.016.003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гематологический 5 diff метод.   Определение абсолютного количества ретикулоцитов, с разделением на 3 фракции по степени зрелости. Определение содержания гемоглобина в ретикулоцитах в пг.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255,00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627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"Просмотр мазка крови для анализа аномалий морфологии эритроцитов (Тельца Гейнца-Эрлиха)"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5094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255,00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Жидкостное цитологическое исследование микропрепарата шейки матки (ПАП-тест)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3093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A08.30.007.001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1 345,00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629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Время свертываемости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2470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 ч.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времени кровотечения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2472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 ч.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"толстой капли" и "тонкого" мазка крови на малярийные плазмодии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1934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24 ч.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A26.05.009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Микроскопия препаратов, окрашенных по Романовскому.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крови (включает исследование скорости оседания эритроцитов (СОЭ)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745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24 ч.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B03.016.002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метод. Абсолютный подсчет в единице объема крови эритроцитов, лейкоцитов, тромбоцитов. Определение концентрации гемоглобина.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136,00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633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крови развернутый (с ретикулоцитами (CBC+RET) без СОЭ)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1933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24 ч.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B03.016.003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гематологический 5 diff метод.   Определение абсолютного количества ретикулоцитов, с разделением на 3 фракции по степени зрелости. Определение содержания гемоглобина в ретикулоцитах в пг.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255,00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634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скорости оседания эритроцитов (СОЭ)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1069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24 ч.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СОЭ метод: Вестергрен и/или фотометрический.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635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дезоксипиридинолина в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1 595,00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636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фенотипа по антигенам C, c, E, e, Cw, K, k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2477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A12.05.007.001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Гелевый метод-качественная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1 516,00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углеводов в кале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1726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1 076,00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638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карбоксигемоглобина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5089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A09.05.091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723,00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метгемоглобина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5088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A09.05.092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723,00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Цитологическое исследование микропрепарата шейки матки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A08.20.017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Цитологическое исследование микропрепарата шейки матки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2008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A08.20.017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Цитологическое исследование биоптатов лимфоузлов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A08.06.005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Цитологическое исследование микропрепарата цервикального канала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A08.20.017.001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препарата с написанием заключения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644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Цитологическое исследование микропрепарата шейки матки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A08.20.017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645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Цитологическое исследование микропрепарата шейки матки (окрашивание по Папаниколау)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5220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A08.20.017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Цитологическое исследование мокроты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A08.09.011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препарата с написанием заключения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647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Цитологическое исследование перитонеальной жидкости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2521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A08.30.031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препарата с написанием заключения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648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Цитологическое исследование плевральной жидкости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2520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A08.09.010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препарата с написанием заключения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649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Цитологическое исследование микропрепарата пунктатов опухолей, опухолеподобных образований мягких тканей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2661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A08.30.016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препарата с написанием заключения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650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Цитологическое исследование микропрепарата тканей влагалища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A08.20.012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препарата с написанием заключения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Цитологическое исследование микропрепарата тканей матки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A08.20.013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652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Цитологическое исследование микропрепарата тонкоигольной аспирационной биопсии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2574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653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альфа-1-антитрипсина в кале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4385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1 095,00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654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активности панкреатической эластазы-1 в кале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A09.19.010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(ИФА),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1 620,00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655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альфа-фетопротеина в сыворотке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A09.30.002.500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ракового эмбрионального антигена в крови (РЭА)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A09.05.195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657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простатспецифического антигена общего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(ИФА). Иммунохемилюминесцентный анализ (ИХЛА)- количественное определение.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325,00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658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простатспецифического антигена свободного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A09.05.130.001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Иммунохемилюминесцентный анализ (ИХЛА)- количественное определение.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659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антигена аденогенных раков CА 125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(ИФА). Иммунохемилюминесцентный анализ (ИХЛА)- количественное определение.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293,00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660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опухолеассоциированного маркера CA 15-3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(ИФА). Иммунохемилюминесцентный анализ (ИХЛА)- количественное определение.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282,00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661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антигена аденогенных раков CA 19-9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662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опухолеассоциированного маркера CA 242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2469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547,00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663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растворимого фрагмента цитокератина 19 (CYFRA 21.1)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A09.05.247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692,00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664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Комплекс исследований для диагностики злокачественных новообразований предстательной железы. Индекс здоровья простаты (PHI).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4390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4 148,00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665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Оценка риска рака яичников по алгоритму лгоритму ROMA (Risk of Ovarian Malignancy Algorithm)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4386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1 572,00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666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бета-2-микроглобулина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1823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4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A09.05.245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иммунотурбидиметрический метод. Количественное определение  в сыворотке и плазме.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506,00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667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нейронспецифической енолазы в крови (NSE)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507,00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668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антигена плоскоклеточной карциномы (SCC)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A09.05.298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Иммунохемилюминесцентный анализ (ИХЛА)- количественное определение.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933,00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669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секреторного белка эпидидимиса человека 4 (HE4)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1498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A09.05.300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(ИФА). Иммунохемилюминесцентный анализ (ИХЛА)- количественное определение.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589,00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670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белка S-100 в сыворотке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1 430,00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671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антигена аденогенных раков CА 72-4 в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A09.05.200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Иммунохемилюминесцентный анализ (ИХЛА)- количественное определение.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419,00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672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концентрации опухолевой M2-пируваткиназы в кале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4246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2 257,00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673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фактора некроза опухоли в сыворотке крови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1820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8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2 280,00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674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антигенов переходноклеточных раков (Антиген рака мочевого пузыря, UBC) в моче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1824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9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1 518,00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675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Комплексная диагностика COVID19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4592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комплексная услуга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2 225,00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676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Комплексное исследование для пренатальной диагностики нарушений развития ребенка (внутриутробно). Пренатальный скрининг беременных на сывороточные маркеры I триместра беременности с расчетом индивидуального риска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2766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B03.032.002.500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Количественное определение материнского сывороточного маркера у беременной: ассоциированный с беременностью протеин плазмы А (ПАПП-А) методом двойной метки или методом высокофлюоресцентной метки. Свободный</w:t>
            </w:r>
            <w:r>
              <w:rPr>
                <w:sz w:val="14"/>
                <w:szCs w:val="14"/>
                <w:lang w:val="ru-RU" w:eastAsia="ru-RU"/>
              </w:rPr>
              <w:t xml:space="preserve"> бета хорионический гонадотропин человеческий (св. бета ХГЧ) методом двойной метки или методом высокофлюоресцентной метки. С использованием специализированной единой компьютерной программы для расчета  индивидуального генетического риска хромосомных аномал</w:t>
            </w:r>
            <w:r>
              <w:rPr>
                <w:sz w:val="14"/>
                <w:szCs w:val="14"/>
                <w:lang w:val="ru-RU" w:eastAsia="ru-RU"/>
              </w:rPr>
              <w:t xml:space="preserve">ий по 13, 18, 21 хромосомам в комбинации ультразвуковых (толщина воротникового пространства, кости носа, копчико-теменной размер, трикуспидальный клапан, пульсационный индекс в венозном протоке) и биохимических маркеров (ПАПП-А, св. бета ХГЧ), анамнестичес</w:t>
            </w:r>
            <w:r>
              <w:rPr>
                <w:sz w:val="14"/>
                <w:szCs w:val="14"/>
                <w:lang w:val="ru-RU" w:eastAsia="ru-RU"/>
              </w:rPr>
              <w:t xml:space="preserve">ких данных (возраст и вес беременной, этническая принадлежность, курение, количество родов и прочее), с возможностью аудита всех проводимых пренатальных измерений, позволяющей осуществлять постоянный контроль качества исследований и всей системы скрининга.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1 307,00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677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иммунологического статуса при смешанном иммунодефиците (клеточный (CD3,CD4,CD8,CD22); гуморальный (общие IgA, IgM, IgG) иммунитет; ЦИК; ФАН))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1951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B03.002.003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Метод преципитации-качественная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1 560,00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678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РНК коронавируса ТОРС (SARS-cov) в мазках со слизистой оболочки носоглотки методом ПЦР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4462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A26.08.027.001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861,00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679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биоценоза урогенитального тракта (Фемофлор 8)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0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1 142,00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680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Молекулярно-биологическое исследование отделяемого из уретры на грибы рода кандида (Candida spp.) с уточнением вида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A26.21.055.500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304,00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681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Молекулярно-биологическое исследование отделяемого половых органов на хламидию трахоматис (Chlamydia trachomatis)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A26.20.020.500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272,00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682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Молекулярно-биологическое исследование влагалищного отделяемого на гарднереллу вагиналис (Gadnerella vaginalis)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A26.20.030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287,00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683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Молекулярно-биологическое исследование отделяемого из уретры на микоплазму гениталиум (Mycoplasma genitalium)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A26.21.031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271,00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684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Молекулярно-биологическое исследование отделяемого из уретры на микоплазму хоминис (Mycoplasma hominis)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A26.21.032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278,00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685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Молекулярно-биологическое исследование отделяемого слизистых оболочек на гонококк (Neisseria gonorrhoeae)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A26.20.022.500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686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Молекулярно-биологическое исследование крови на токсоплазмы (Toxoplasma gondii)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133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687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Молекулярно-биологическое исследование отделяемого слизистых оболочек на Toxoplasma gondii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A26.05.013.500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272,00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688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Молекулярно-биологическое исследование отделяемого из уретры на трихомонас вагиналис (Trichomonas vaginalis)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A26.21.030.500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689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Молекулярно-биологическое исследование отделяемого слизистых оболочек на уреаплазмы (Ureaplasma spp.) (количественно, с дифференциацией вида)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150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A26.20.029.500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558,00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690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возбудителя иерсиниоза (Yersinia enterocolitica) в образцах фекалий методом ПЦР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5480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538,00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691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биоценоза урогенитального тракта (Андрофлор скрин) в различном биоматериале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2801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1 985,00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692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вирусов папилломы человека (Papilloma virus) 16 и 18 типов в отделяемом (соскобе) из цервикального канала методом ПЦР, количественное исследование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A26.20.012.005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449,00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693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Молекулярно-биологическое исследование мазков со слизистой оболочки носоглотки на вирус гриппа (Influenza virus). Вирусы гриппа А и В. Метод ПЦР, качественное исследование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3060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A26.08.019.500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1 090,00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694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цитомегаловируса (Cytomegalovirus) в отделяемом из цервикального канала методом ПЦР, качественное исследование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A26.05.017.001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695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лептоспиры интерроганс (Leptospira interrogans) в крови методом ПЦР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5156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1 183,00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696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Молекулярно-биологическое исследование отделяемого (серозного экссудата) эрозивно-язвенных элементов кожи и слизистых оболочек на бледную трепонему (Treponema pallidum)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5055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A26.21.039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697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вируса простого герпеса 1 и 2 типов (Herpes simplex virus types 1, 2) в соскобах и нативном биоматериале методом ПЦР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A26.05.035.001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698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вируса простого герпеса 1 и 2 типов (Herpes simplex virus types 1, 2) в отделяемом из цервикального канала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A26.20.010.001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699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вируса герпеса 6 типа (HHV6) методом ПЦР в периферической и пуповинной крови, качественное исследование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A26.05.033.001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вируса Эпштейна-Барр (Epstein - Barr virus) методом ПЦР в периферической и пуповинной крови, качественное исследование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A26.05.011.001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263,00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анаплазмы фагоцитофиллум (Anaplasma phagocytophillum) в крови методом ПЦР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3197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1 129,00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анаплазмы фагоцитофиллум (Anaplasma phagocytophillum) в спинномозговой жидкости методом ПЦР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3198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1 129,00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вирусов папилломы человека (Papilloma virus) высокого канцерогенного риска (12 типов) в отделяемом (соскобе) из цервикального канала методом ПЦР, количественное исследование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3172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1 106,00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цитомегаловируса (Cytomegalovirus) в отделяемом, соскобах и нативном биоматериале методом ПЦР, качественное исследование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A26.05.017.003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РНК норовирусов 2 геногруппы (Norovirus GII) в образцах фекалий методом ПЦР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4201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1 323,00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уреаплазм (Ureaplasma parvum) в отделяемом слизистых оболочек половых органов методом ПЦР, количественное исследование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5284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A26.20.029.501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558,00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707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уреаплазм (Ureaplasma urealyticum) в отделяемом слизистых оболочек половых органов методом ПЦР, количественное исследование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5285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A26.20.029.502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558,00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биоценоза урогенитального тракта (Андрофлор) в различном биоматериале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2773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2 375,00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709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РНК ротавирусов, норовирусов, астровирусов (РНК Rotavirus gr./ANorovirus/Astrovirus) в образцах фекалий методом ПЦР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3206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A26.19.074.501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1 090,00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вирусов папилломы человека (Papilloma virus) высокого канцерогенного риска (Квант-21) в отделяемом (соскобе) из цервикального канала методом ПЦР, количественное исследование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1 583,00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ПЦР Комплекс (Женское здоровье, Резистентность Staphylococus aureus и Enterobacteria к цефалоспор)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2596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2 138,00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712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ПЦР Комплекс (Мужское здоровье, Резистентность Staphylococus aureus и Enterobacteria к цефалоспор)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1097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2 138,00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Комплексное определение ДНК уреаплазм, микоплазм и хламидии трахоматис в отделяемом слизистых оболочек половых органов методом ПЦР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135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1 133,00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ПЦР Комплексное определение ДНК Neisseria gonorrhoeae/Chlamydia trachomatis/Mycoplasma genitalium/Trichomonas vaginalis в различном биоматериале методом ПЦР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136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A26.20.034.001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987,00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715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Комплексное молекулярно-биологическое исследование на ВИЧ и вирусные гепатиты В и С (доноры)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3761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2 577,00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716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Молекулярно-биологическое исследование мазков со слизисто</w:t>
            </w:r>
            <w:r>
              <w:rPr>
                <w:sz w:val="14"/>
                <w:szCs w:val="14"/>
                <w:lang w:val="ru-RU" w:eastAsia="ru-RU"/>
              </w:rPr>
              <w:t xml:space="preserve">й оболочки носоглотки на ОРВИ скрининг: вирусы парагриппа типов 1, 2, 3, 4, коронавирусы видов E229, NL63, OC43, NKUI, метапневмовирус, респираторно-синцитиальный вирус, аденовирус группы B, C, E, бокавирус, риновирус методом ПЦР, качественное исследование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5058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A26.08.022.500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1 505,00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ПЦР РНК ротавирусов (Rotavirus) A (кал)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4185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A26.19.074.500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1 090,00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718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Флороценоз: Определение ДНК Gardnerella vaginalis, Atopobium vaginae, Lactobacillus spp. и общего количества бактерий во влагалищном отделяемом методом ПЦР, количественное исследование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137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A26.20.032.001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1 644,00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719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Молекулярно-биологическое исследование влагалищного отделяемого на микроорганизмы-маркеры бактериального вагиноза (Streptococcus spp., Staphylococcus spp., сем.Enterobacteriaceae)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2444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1 644,00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720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грибов рода кандида с уточнением вида (Candida spp.: С.albicans, C. glabrata, C.crusei,C.parapsilosis, C.tropicalis) методом ПЦР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2445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A26.21.055.500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304,00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721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Молекулярно-биологическое исследование отделяемого половых органов на условно-патогенные генитальные микоплазмы (Ureaplasma parvum, Ureaplasma urealyticum, Mycoplasma hominis)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2418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1 644,00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722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Молекулярно-биологи</w:t>
            </w:r>
            <w:r>
              <w:rPr>
                <w:sz w:val="14"/>
                <w:szCs w:val="14"/>
                <w:lang w:val="ru-RU" w:eastAsia="ru-RU"/>
              </w:rPr>
              <w:t xml:space="preserve">ческое исследование фекалий на расширенный скрининг основных острых кишечных инфекции (ОКИ) (Adenovirus F, Astrovirus, Campilobacter spp., Norovirus GII, Rotavirus A, Salmonella spp., Shigella spp./Escherichia coli (Enteroinvasive Escherichia coli - EIEC))</w:t>
            </w:r>
            <w:r/>
          </w:p>
        </w:tc>
        <w:tc>
          <w:tcPr>
            <w:shd w:val="clear" w:color="FFFFCC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textDirection w:val="lrTb"/>
            <w:noWrap w:val="false"/>
          </w:tcPr>
          <w:p>
            <w:pPr>
              <w:pStyle w:val="639"/>
              <w:rPr>
                <w:b/>
                <w:bCs/>
                <w:sz w:val="14"/>
                <w:szCs w:val="14"/>
                <w:lang w:val="ru-RU" w:eastAsia="ru-RU"/>
              </w:rPr>
            </w:pPr>
            <w:r>
              <w:rPr>
                <w:b/>
                <w:bCs/>
                <w:sz w:val="14"/>
                <w:szCs w:val="14"/>
                <w:lang w:val="ru-RU" w:eastAsia="ru-RU"/>
              </w:rPr>
              <w:t xml:space="preserve">2652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A26.19.063.500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1 658,00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723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цитомегаловируса (Cytomegalovirus) методом ПЦР в периферической и пуповинной крови, качественное исследование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A26.05.017.001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возбудителей коклюша (Bordetella pertussis, Bordetella parapertussis, Bordetella bronchiseprica) в мазках со слизистой оболочки ротоглотки методом ПЦР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4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A26.08.031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1 103,00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725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биоценоза урогенитального тракта (Фемофлор 16)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4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1 644,00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726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биоценоза урогенитального тракта (Фемофлор скрин)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4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2 138,00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727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РНК вируса гепатита A (Hepatitis A virus) в крови методом ПЦР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A26.05.030.001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532,00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вируса гепатита B (Hepatitis B virus) в крови методом ПЦР, количественное исследование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A26.05.020.002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3 083,00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729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вируса гепатита B (Hepatitis B virus) в крови методом ПЦР, качественное исследование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A26.05.020.001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304,00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730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РНК Вируса гепатита С (Hepatitis C virus) в крови методом ПЦР, качественное, ультрачувствительное исследование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2 967,00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731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РНК Вируса гепатита С (Hepatitis C virus) в крови методом ПЦР, количественное, ультрачувствительное исследование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3 202,00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732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РНК вируса гепатита C (Hepatitis C virus) в крови методом ПЦР, количественное исследование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A26.05.019.002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количественная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3 362,00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733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РНК вируса гепатита C (Hepatitis C virus) в крови методом ПЦР, качественное исследование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A26.05.019.001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534,00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734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РНК Вируса гепатита D (Hepatitis D virus) в крови методом ПЦР, качественное исследование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839,00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735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листерий (Listeria monocytogenes) методом ПЦР в крови, качественное исследование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615,00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736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листерий (Listeria monocytogenes) методом ПЦР (соскоб), качественное исследование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910,00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РНК вируса гриппа A (Influenza virus A) в мазках со слизистой оболочки носоглотки методом ПЦР. Типирование гриппа А (H1N1,H3N2)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A26.08.019.501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857,00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738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генотипа вируса гепатита C (Hepatitis C virus)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A26.05.019.003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1 543,00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РНК неполиомиелитных энтеровирусов (Enterovirus) в различном биоматериале методом ПЦР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894,00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парвовируса B19 (Parvovirus B19) методом ПЦР в периферической и пуповинной крови, количественное исследование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6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580,00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микробиоценоза по Осипову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5 468,00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742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вируса ветряной оспы и опоясывающего лишая (Varicella-Zoster virus) в крови методом ПЦР, качественное исследование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A26.05.042.001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743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микобактерий туберкулеза  (Mycobacterium tuberculosis complex) в крови методом ПЦР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A26.05.047.001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744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микобактерий туберкулеза  (Mycobacterium tuberculosis complex) в ликворе методом ПЦР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A26.08.074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745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микобактерий туберкулеза  (Mycobacterium tuberculosis complex) в мокроте  методом ПЦР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A26.08.074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746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микобактерий туберкулеза  (Mycobacterium tuberculosis complex) в отделяемом слизистых оболочек методом ПЦР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A26.08.074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747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микоплазмы методом ПЦР. ДНК Mycoplasma pneumoniae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A26.08.029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591,00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748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хламидий (Chlamydia spp.) методом  ПЦР. ДНК Chlamidia pneumoniae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A26.08.030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591,00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749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микоплазмы и хламидий (Chlamydia spp.) методом ПЦР (ДНК Chlamydophila pneumoniae, ДНК Mycoplasma pneumoniae)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591,00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750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возбудителей коклюша (Bordetella pertussis) в мазках со слизистой оболочки ротоглотки методом ПЦР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875,00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751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Комплексное определение полиморфизма генов фолатного цикла (MTHFR, MTR, MTRR)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A27.05.003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1 032,00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752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возбудителя псевдотуберкулеза (Yersinia pseudotuberculosis) в образцах фекалий методом ПЦР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911,00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753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антигенов ротавирусов (Rotavirus gr.A) в образцах фекалий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A26.19.039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654,00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754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волос на дерматомицеты.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A26.01.011.500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элементов волоса.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292,00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755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кала на яйца и личинки гельминтов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Микроскопический метод, согласно МУК 4.2.3145-13 Лабораторная диагностика гельминтозов и протозоозов.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756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кала на яйца и личинки гельминтов Исследование кала на описторхоз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A26.19.011.500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Флотационно-седиментационный метод, согласно  МУК 4.2.3145-13 Лабораторная диагностика гельминтозов и протозоозов.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757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кала на простейшие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A26.19.011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Микроскопический метод, согласно  МУК 4.2.3145-13 Лабораторная диагностика гельминтозов и протозоозов.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758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кала на скрытую кровь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A09.19.001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Специфический иммунохроматографический тест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199,00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759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соскоба с кожи на клещей (Demodex folliculorum Demodex brevis)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Химико-микроскопический метод.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760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соскоба с кожи на клещей (Sarcoptes scabiei, чесотка)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A26.01.018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Химико-микроскопический метод.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761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сока простаты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A12.21.003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Химико-микроскопический метод. Исследование физико-химических свойств, микроскопия нативного препарата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762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Копрологическое исследование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B03.016.010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Химико-микроскопический метод. Исследование физико-химических свойств, микроскопия нативного и окрашенного препаратов, исследование на яйца гельминтов и простейшие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763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отделяемого слизистой оболочки носа (риноцитограмма)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764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Эозинофилы, относительное количество в отделяемом из носа методом ручного подсчёта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A08.30.027.502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Микроскопия препарата, окрашенного по Романовскому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170,00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765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анализ дуоденального содержимого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A09.16.007.500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Химико-микроскопический метод. Исследование физико-химических свойств, микроскопия нативного препарата, в том числе на наличие яиц гельминтов и простейших.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766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синовиальной жидкости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524,00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767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спинномозговой жидкости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B03.016.013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абсолютный подсчет в единице объема жидкости форменных элементов, исследование физико-химических свойств, микроскопия окрашенных препаратов: на атипические клетки по Романовскому, на наличие КУМ - по Циль-Нильсену.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244,00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768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антигена хеликобактера пилори в фекалиях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A26.19.020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Иммунохроматографический экспресс-тест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1 943,00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769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антигенов лямблий (Giardia lamblia) в образцах фекалий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A26.19.037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Иммунохроматографический экспресс-тест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604,00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770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мочи на белок Бенс-Джонса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A09.28.028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Качественная реакция с кипячением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115,00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771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отпечатков с поверхности кожи перианальных складок на яйца остриц (Enterobius vermicularis)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A26.01.017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Микроскопический метод, согласно МУК 4.2.3145-13 Лабораторная диагностика гельминтозов и протозоозов.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772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Спермограмма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B03.053.002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Химико-микроскопический метод. Исследование физико-химических свойств, микроскопия нативного и окрашенного препаратов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345,00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773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Тест "смешанная антиглобулиновая реакция сперматозоидов" (MAR-тест)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A12.21.002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Латексный тест определения спермальных антител. Качественная оценка.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730,00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774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биоматериала на микобактерии (Mycobacterium spp.)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A26.09.001.500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Микроскопия препарата, окрашенного по Циль-Нильсену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775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асцитической жидкости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A08.30.027.500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абсолютный подсчет в единице объема жидкости форменных элементов, исследование физико-химических свойств, микроскопия окрашенных препаратов: на атипические клетки по Романовскому, на наличие КУМ - по Циль-Нильсену.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776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нативного и окрашенного препарата мокроты. Общий анализ мокроты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A12.09.010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Химико-микроскопический метод. Описание физических свойств, микроскопия нативного и окрашенных препаратов: на атипические клетки по Романовскому, на наличие КУМ - по Циль-Нильсену.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186,00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777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Общий (клинический) анализ перитонеальной жидкости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A08.30.027.500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Автоматический абсолютный подсчет в единице объема жидкости форменных элементов, исследование физико-химических свойств, микроскопия окрашенных препаратов: на атипические клетки по Романовскому, на наличие КУМ - по Циль-Нильсену.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778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нативного и окрашенного препарата плевральной жидкости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2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A12.09.014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225,00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779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антигенов норовирусов (Norovirus) в образцах фекалий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A26.19.040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1 405,00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отделяемого женских половых органов на гонококк (Neisseria gonorrhoeae)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A26.20.001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Микроскопия препарата, окрашенного по Граму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150,00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отделяемого женских половых органов на трихомонады (Trichomonas vaginalis)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A26.20.017.001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Микроскопия препарата, окрашенного по Романовскому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147,00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порфиринов и их производных в моче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A09.28.008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Качественный колориметрический метод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217,00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Цитологическое исследование микропрепарата кожи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5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A08.01.002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Микроскопическое исследование препарата с написанием заключения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200,00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кальпротектина в кале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A12.19.004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(ИФА), иммунохроматографический анализ (ИХА)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1 417,00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хромогранина A в крови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7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4 565,00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тополя (t14)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гречневой муки (f11)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антигенам эпителия хомяка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A09.05.118.500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Иммуноферментный анализ (ИФА) и/или Иммунохемилюминесцентный анализ (ИХЛА)- количественное определение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435,00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789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 бледной трепонеме (Treponema pallidum) в нетрепонемных тестах (RPR, РМП) (качественное и полуколичественное исследование) в сыворотке крови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A26.06.082.001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Экспресс-тест-качественная и полуколичественная оценка. Определения ассоциированных с сифилисом реагиновых антител в сыворотке (плазме) крови человека.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133,00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790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Проведение глюкозотолерантного теста (3 пробы)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A12.22.005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104,00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791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антител класса G (IgG) к возбудителям иксодовых клещевых боррелиозов группы Borrelia burgdorferi sensu lato в крови (иммуноблот)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2 151,00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792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Серологическая диагностика туберкулеза методом T-SPOT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9 293,00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793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серотонина сыворотке в крови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3 766,00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794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хеликобактер пилори (Helicobacter pylori) в образцах фекалий методом ПЦР 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5695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 более 5 суток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Исследования методом ПЦР, качественная оценка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829,00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795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холестерин липопротеинов очень низкой плотности (ЛПОНП)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6741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нет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162,00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796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эрлихии мурис и эрлихии чафенсис (Ehrlichia muris, Ehrlichia chaffeensis) в крови методом ПЦР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3190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дн.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1 260,00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797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РНК Вируса клещевого энцефалита (РНК TBEV) в крови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3195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дн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1 260,00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798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анаплазмы фагоцитофиллум (Anaplasma phagocytophillum) в крови методом ПЦР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3197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дн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1 260,00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799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возбудителей иксодовых клещевых боррелиозов группы Borrelia burgdorferi sensu lato в крови методом ПЦР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3199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 дн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1 260,00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800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Исследование уровня антител IgE к прокаину/новокаину (с83)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6055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6 дн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567,00</w:t>
            </w:r>
            <w:r/>
          </w:p>
        </w:tc>
      </w:tr>
      <w:tr>
        <w:trPr>
          <w:trHeight w:val="20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801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316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содержания антител к рецептору ацетилхолина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5524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89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До 13 дн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208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 </w:t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5 250,00</w:t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802</w:t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  <w:tc>
          <w:tcPr>
            <w:shd w:val="clear" w:color="FFFFFF" w:fill="FFFFFF"/>
            <w:tcBorders>
              <w:right w:val="single" w:color="000000" w:sz="4" w:space="0"/>
              <w:bottom w:val="single" w:color="000000" w:sz="4" w:space="0"/>
            </w:tcBorders>
            <w:tcW w:w="3167" w:type="dxa"/>
            <w:vAlign w:val="bottom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чуствительности микроорганизмов к антимикробным препаратам с использованием автоматических анализаторов (расширенный спектр)</w:t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  <w:tc>
          <w:tcPr>
            <w:shd w:val="clear" w:color="FFFFFF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3634</w:t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  <w:tc>
          <w:tcPr>
            <w:shd w:val="clear" w:color="FFFFFF" w:fill="FFFFFF"/>
            <w:tcBorders>
              <w:right w:val="single" w:color="000000" w:sz="4" w:space="0"/>
              <w:bottom w:val="single" w:color="000000" w:sz="4" w:space="0"/>
            </w:tcBorders>
            <w:tcW w:w="1289" w:type="dxa"/>
            <w:vAlign w:val="bottom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  <w:tc>
          <w:tcPr>
            <w:shd w:val="clear" w:color="FFFFFF" w:fill="FFFFFF"/>
            <w:tcBorders>
              <w:right w:val="single" w:color="000000" w:sz="4" w:space="0"/>
              <w:bottom w:val="single" w:color="000000" w:sz="4" w:space="0"/>
            </w:tcBorders>
            <w:tcW w:w="1208" w:type="dxa"/>
            <w:vAlign w:val="bottom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  <w:tc>
          <w:tcPr>
            <w:shd w:val="clear" w:color="FFFFFF" w:fill="FFFFFF"/>
            <w:tcBorders>
              <w:right w:val="single" w:color="000000" w:sz="4" w:space="0"/>
              <w:bottom w:val="single" w:color="000000" w:sz="4" w:space="0"/>
            </w:tcBorders>
            <w:tcW w:w="2694" w:type="dxa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  <w:tc>
          <w:tcPr>
            <w:shd w:val="clear" w:color="FFFFFF" w:fill="FFFFFF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850,00</w:t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803</w:t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  <w:tc>
          <w:tcPr>
            <w:shd w:val="clear" w:color="FFFFFF" w:fill="FFFFFF"/>
            <w:tcBorders>
              <w:right w:val="single" w:color="000000" w:sz="4" w:space="0"/>
              <w:bottom w:val="single" w:color="000000" w:sz="4" w:space="0"/>
            </w:tcBorders>
            <w:tcW w:w="3167" w:type="dxa"/>
            <w:vAlign w:val="bottom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Идентификация микроорганизмов методом масспектрометрии</w:t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  <w:tc>
          <w:tcPr>
            <w:shd w:val="clear" w:color="FFFFFF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3765</w:t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  <w:tc>
          <w:tcPr>
            <w:shd w:val="clear" w:color="FFFFFF" w:fill="FFFFFF"/>
            <w:tcBorders>
              <w:right w:val="single" w:color="000000" w:sz="4" w:space="0"/>
              <w:bottom w:val="single" w:color="000000" w:sz="4" w:space="0"/>
            </w:tcBorders>
            <w:tcW w:w="1289" w:type="dxa"/>
            <w:vAlign w:val="bottom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  <w:tc>
          <w:tcPr>
            <w:shd w:val="clear" w:color="FFFFFF" w:fill="FFFFFF"/>
            <w:tcBorders>
              <w:right w:val="single" w:color="000000" w:sz="4" w:space="0"/>
              <w:bottom w:val="single" w:color="000000" w:sz="4" w:space="0"/>
            </w:tcBorders>
            <w:tcW w:w="1208" w:type="dxa"/>
            <w:vAlign w:val="bottom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  <w:tc>
          <w:tcPr>
            <w:shd w:val="clear" w:color="FFFFFF" w:fill="FFFFFF"/>
            <w:tcBorders>
              <w:right w:val="single" w:color="000000" w:sz="4" w:space="0"/>
              <w:bottom w:val="single" w:color="000000" w:sz="4" w:space="0"/>
            </w:tcBorders>
            <w:tcW w:w="2694" w:type="dxa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  <w:tc>
          <w:tcPr>
            <w:shd w:val="clear" w:color="FFFFFF" w:fill="FFFFFF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368,00</w:t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5" w:type="dxa"/>
            <w:vAlign w:val="bottom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804</w:t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  <w:tc>
          <w:tcPr>
            <w:shd w:val="clear" w:color="FFFFFF" w:fill="FFFFFF"/>
            <w:tcBorders>
              <w:right w:val="single" w:color="000000" w:sz="4" w:space="0"/>
              <w:bottom w:val="single" w:color="000000" w:sz="4" w:space="0"/>
            </w:tcBorders>
            <w:tcW w:w="3167" w:type="dxa"/>
            <w:vAlign w:val="bottom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Определение ДНК вируса простого герпеса1 и 2 типов (</w:t>
            </w:r>
            <w:r>
              <w:rPr>
                <w:sz w:val="14"/>
                <w:szCs w:val="14"/>
                <w:lang w:val="en-US"/>
              </w:rPr>
              <w:t xml:space="preserve">Herpessimplex virus types 1</w:t>
            </w:r>
            <w:r>
              <w:rPr>
                <w:sz w:val="14"/>
                <w:szCs w:val="14"/>
                <w:lang w:val="ru-RU"/>
              </w:rPr>
              <w:t xml:space="preserve">,2) методом ПЦР в крови, качественное исследование </w:t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  <w:tc>
          <w:tcPr>
            <w:shd w:val="clear" w:color="FFFFFF" w:fill="FFFFFF"/>
            <w:tcBorders>
              <w:right w:val="single" w:color="000000" w:sz="4" w:space="0"/>
              <w:bottom w:val="single" w:color="000000" w:sz="4" w:space="0"/>
            </w:tcBorders>
            <w:tcW w:w="762" w:type="dxa"/>
            <w:vAlign w:val="bottom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6105</w:t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  <w:tc>
          <w:tcPr>
            <w:shd w:val="clear" w:color="FFFFFF" w:fill="FFFFFF"/>
            <w:tcBorders>
              <w:right w:val="single" w:color="000000" w:sz="4" w:space="0"/>
              <w:bottom w:val="single" w:color="000000" w:sz="4" w:space="0"/>
            </w:tcBorders>
            <w:tcW w:w="1289" w:type="dxa"/>
            <w:vAlign w:val="bottom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  <w:tc>
          <w:tcPr>
            <w:shd w:val="clear" w:color="FFFFFF" w:fill="FFFFFF"/>
            <w:tcBorders>
              <w:right w:val="single" w:color="000000" w:sz="4" w:space="0"/>
              <w:bottom w:val="single" w:color="000000" w:sz="4" w:space="0"/>
            </w:tcBorders>
            <w:tcW w:w="1208" w:type="dxa"/>
            <w:vAlign w:val="bottom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  <w:tc>
          <w:tcPr>
            <w:shd w:val="clear" w:color="FFFFFF" w:fill="FFFFFF"/>
            <w:tcBorders>
              <w:right w:val="single" w:color="000000" w:sz="4" w:space="0"/>
              <w:bottom w:val="single" w:color="000000" w:sz="4" w:space="0"/>
            </w:tcBorders>
            <w:tcW w:w="2694" w:type="dxa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  <w:tc>
          <w:tcPr>
            <w:shd w:val="clear" w:color="FFFFFF" w:fill="FFFFFF"/>
            <w:tcBorders>
              <w:right w:val="single" w:color="000000" w:sz="4" w:space="0"/>
              <w:bottom w:val="single" w:color="000000" w:sz="4" w:space="0"/>
            </w:tcBorders>
            <w:tcW w:w="1098" w:type="dxa"/>
            <w:vAlign w:val="center"/>
            <w:vMerge w:val="restart"/>
            <w:textDirection w:val="lrTb"/>
            <w:noWrap w:val="false"/>
          </w:tcPr>
          <w:p>
            <w:pPr>
              <w:pStyle w:val="639"/>
              <w:rPr>
                <w:sz w:val="14"/>
                <w:szCs w:val="14"/>
                <w:lang w:val="ru-RU" w:eastAsia="ru-RU"/>
              </w:rPr>
            </w:pPr>
            <w:r>
              <w:rPr>
                <w:sz w:val="14"/>
                <w:szCs w:val="14"/>
                <w:lang w:val="ru-RU" w:eastAsia="ru-RU"/>
              </w:rPr>
              <w:t xml:space="preserve">351,00</w:t>
            </w:r>
            <w:r>
              <w:rPr>
                <w:sz w:val="14"/>
                <w:szCs w:val="14"/>
                <w:lang w:val="ru-RU" w:eastAsia="ru-RU"/>
              </w:rPr>
            </w:r>
            <w:r/>
          </w:p>
        </w:tc>
      </w:tr>
    </w:tbl>
    <w:p>
      <w:pPr>
        <w:pStyle w:val="639"/>
        <w:spacing w:lineRule="auto" w:line="259" w:after="160" w:before="0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</w:r>
      <w:r/>
    </w:p>
    <w:tbl>
      <w:tblPr>
        <w:tblW w:w="1057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1195"/>
        <w:gridCol w:w="978"/>
        <w:gridCol w:w="980"/>
        <w:gridCol w:w="981"/>
        <w:gridCol w:w="1007"/>
        <w:gridCol w:w="236"/>
        <w:gridCol w:w="504"/>
        <w:gridCol w:w="979"/>
        <w:gridCol w:w="492"/>
        <w:gridCol w:w="1024"/>
        <w:gridCol w:w="2202"/>
      </w:tblGrid>
      <w:tr>
        <w:trPr>
          <w:trHeight w:val="140"/>
        </w:trPr>
        <w:tc>
          <w:tcPr>
            <w:gridSpan w:val="5"/>
            <w:shd w:val="clear" w:color="FFFFFF" w:fill="auto"/>
            <w:tcW w:w="5141" w:type="dxa"/>
            <w:vAlign w:val="bottom"/>
            <w:textDirection w:val="lrTb"/>
            <w:noWrap w:val="false"/>
          </w:tcPr>
          <w:p>
            <w:pPr>
              <w:pStyle w:val="639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Исполнитель</w:t>
            </w:r>
            <w:r/>
          </w:p>
        </w:tc>
        <w:tc>
          <w:tcPr>
            <w:gridSpan w:val="6"/>
            <w:shd w:val="clear" w:color="FFFFFF" w:fill="auto"/>
            <w:tcW w:w="5437" w:type="dxa"/>
            <w:vAlign w:val="bottom"/>
            <w:textDirection w:val="lrTb"/>
            <w:noWrap w:val="false"/>
          </w:tcPr>
          <w:p>
            <w:pPr>
              <w:pStyle w:val="639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Заказчик</w:t>
            </w:r>
            <w:r/>
          </w:p>
        </w:tc>
      </w:tr>
      <w:tr>
        <w:trPr>
          <w:trHeight w:val="58"/>
        </w:trPr>
        <w:tc>
          <w:tcPr>
            <w:gridSpan w:val="5"/>
            <w:shd w:val="clear" w:color="FFFFFF" w:fill="auto"/>
            <w:tcW w:w="5141" w:type="dxa"/>
            <w:textDirection w:val="lrTb"/>
            <w:noWrap w:val="false"/>
          </w:tcPr>
          <w:p>
            <w:pPr>
              <w:pStyle w:val="639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  <w:lang w:val="ru-RU" w:eastAsia="ru-RU"/>
              </w:rPr>
              <w:t xml:space="preserve">Общество с ограниченной ответственностью "ЦЕНТРАЛИЗОВАННАЯ КЛИНИКО-ДИАГНОСТИЧЕСКАЯ ЛАБОРАТОРИЯ"</w:t>
            </w:r>
            <w:r>
              <w:rPr>
                <w:sz w:val="16"/>
              </w:rPr>
            </w:r>
            <w:r/>
          </w:p>
        </w:tc>
        <w:tc>
          <w:tcPr>
            <w:gridSpan w:val="6"/>
            <w:shd w:val="clear" w:color="FFFFFF" w:fill="auto"/>
            <w:tcW w:w="5437" w:type="dxa"/>
            <w:textDirection w:val="lrTb"/>
            <w:noWrap w:val="false"/>
          </w:tcPr>
          <w:p>
            <w:pPr>
              <w:pStyle w:val="639"/>
              <w:rPr>
                <w:sz w:val="16"/>
                <w:szCs w:val="20"/>
              </w:rPr>
            </w:pPr>
            <w:r>
              <w:rPr>
                <w:b/>
                <w:sz w:val="16"/>
                <w:szCs w:val="20"/>
                <w:lang w:val="ru-RU" w:eastAsia="ru-RU"/>
              </w:rPr>
              <w:t xml:space="preserve">ФГБУН КНИИГ и ПК ФМБА России</w:t>
            </w:r>
            <w:r>
              <w:rPr>
                <w:sz w:val="16"/>
              </w:rPr>
            </w:r>
            <w:r/>
          </w:p>
        </w:tc>
      </w:tr>
      <w:tr>
        <w:trPr>
          <w:trHeight w:val="58"/>
        </w:trPr>
        <w:tc>
          <w:tcPr>
            <w:gridSpan w:val="3"/>
            <w:shd w:val="clear" w:color="FFFFFF" w:fill="auto"/>
            <w:tcBorders>
              <w:bottom w:val="single" w:color="000000" w:sz="4" w:space="0"/>
            </w:tcBorders>
            <w:tcW w:w="3153" w:type="dxa"/>
            <w:vAlign w:val="bottom"/>
            <w:textDirection w:val="lrTb"/>
            <w:noWrap w:val="false"/>
          </w:tcPr>
          <w:p>
            <w:pPr>
              <w:pStyle w:val="639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</w:r>
            <w:bookmarkStart w:id="0" w:name="_GoBack"/>
            <w:r>
              <w:rPr>
                <w:sz w:val="16"/>
              </w:rPr>
            </w:r>
            <w:bookmarkEnd w:id="0"/>
            <w:r>
              <w:rPr>
                <w:sz w:val="16"/>
                <w:szCs w:val="20"/>
                <w:lang w:val="ru-RU" w:eastAsia="ru-RU"/>
              </w:rPr>
              <w:t xml:space="preserve">Генеральный директор</w:t>
            </w:r>
            <w:r>
              <w:rPr>
                <w:sz w:val="16"/>
              </w:rPr>
            </w:r>
            <w:r/>
          </w:p>
        </w:tc>
        <w:tc>
          <w:tcPr>
            <w:shd w:val="clear" w:color="FFFFFF" w:fill="auto"/>
            <w:tcW w:w="981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</w:r>
            <w:r>
              <w:rPr>
                <w:sz w:val="16"/>
              </w:rPr>
            </w:r>
            <w:r/>
          </w:p>
        </w:tc>
        <w:tc>
          <w:tcPr>
            <w:shd w:val="clear" w:color="FFFFFF" w:fill="auto"/>
            <w:tcW w:w="100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</w:r>
            <w:r>
              <w:rPr>
                <w:sz w:val="16"/>
              </w:rPr>
            </w:r>
            <w:r/>
          </w:p>
        </w:tc>
        <w:tc>
          <w:tcPr>
            <w:shd w:val="clear" w:color="FFFFFF" w:fill="auto"/>
            <w:tcW w:w="236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</w:r>
            <w:r>
              <w:rPr>
                <w:sz w:val="16"/>
              </w:rPr>
            </w:r>
            <w:r/>
          </w:p>
        </w:tc>
        <w:tc>
          <w:tcPr>
            <w:gridSpan w:val="4"/>
            <w:shd w:val="clear" w:color="FFFFFF" w:fill="auto"/>
            <w:tcBorders>
              <w:bottom w:val="single" w:color="000000" w:sz="4" w:space="0"/>
            </w:tcBorders>
            <w:tcW w:w="2999" w:type="dxa"/>
            <w:vAlign w:val="bottom"/>
            <w:textDirection w:val="lrTb"/>
            <w:noWrap w:val="false"/>
          </w:tcPr>
          <w:p>
            <w:pPr>
              <w:pStyle w:val="639"/>
              <w:spacing w:lineRule="auto" w:line="259" w:after="160" w:before="0"/>
              <w:rPr>
                <w:sz w:val="16"/>
                <w:szCs w:val="20"/>
              </w:rPr>
            </w:pPr>
            <w:r>
              <w:rPr>
                <w:color w:val="000000"/>
                <w:sz w:val="16"/>
                <w:szCs w:val="23"/>
                <w:lang w:val="ru-RU" w:eastAsia="ru-RU"/>
              </w:rPr>
              <w:t xml:space="preserve">Директор </w:t>
            </w:r>
            <w:r>
              <w:rPr>
                <w:sz w:val="16"/>
              </w:rPr>
            </w:r>
            <w:r/>
          </w:p>
        </w:tc>
        <w:tc>
          <w:tcPr>
            <w:tcW w:w="2202" w:type="dxa"/>
            <w:textDirection w:val="lrTb"/>
            <w:noWrap w:val="false"/>
          </w:tcPr>
          <w:p>
            <w:pPr>
              <w:pStyle w:val="639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/>
          </w:p>
        </w:tc>
      </w:tr>
      <w:tr>
        <w:trPr>
          <w:trHeight w:val="136"/>
        </w:trPr>
        <w:tc>
          <w:tcPr>
            <w:gridSpan w:val="3"/>
            <w:shd w:val="clear" w:color="FFFFFF" w:fill="auto"/>
            <w:tcBorders>
              <w:top w:val="single" w:color="000000" w:sz="4" w:space="0"/>
            </w:tcBorders>
            <w:tcW w:w="3153" w:type="dxa"/>
            <w:vAlign w:val="bottom"/>
            <w:textDirection w:val="lrTb"/>
            <w:noWrap w:val="false"/>
          </w:tcPr>
          <w:p>
            <w:pPr>
              <w:pStyle w:val="639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  <w:t xml:space="preserve">(должность)</w:t>
            </w:r>
            <w:r>
              <w:rPr>
                <w:sz w:val="16"/>
              </w:rPr>
            </w:r>
            <w:r/>
          </w:p>
        </w:tc>
        <w:tc>
          <w:tcPr>
            <w:shd w:val="clear" w:color="FFFFFF" w:fill="auto"/>
            <w:tcW w:w="981" w:type="dxa"/>
            <w:vAlign w:val="bottom"/>
            <w:textDirection w:val="lrTb"/>
            <w:noWrap w:val="false"/>
          </w:tcPr>
          <w:p>
            <w:pPr>
              <w:pStyle w:val="639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</w:r>
            <w:r>
              <w:rPr>
                <w:sz w:val="16"/>
              </w:rPr>
            </w:r>
            <w:r/>
          </w:p>
        </w:tc>
        <w:tc>
          <w:tcPr>
            <w:shd w:val="clear" w:color="FFFFFF" w:fill="auto"/>
            <w:tcW w:w="100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</w:r>
            <w:r>
              <w:rPr>
                <w:sz w:val="16"/>
              </w:rPr>
            </w:r>
            <w:r/>
          </w:p>
        </w:tc>
        <w:tc>
          <w:tcPr>
            <w:shd w:val="clear" w:color="FFFFFF" w:fill="auto"/>
            <w:tcW w:w="236" w:type="dxa"/>
            <w:vAlign w:val="bottom"/>
            <w:textDirection w:val="lrTb"/>
            <w:noWrap w:val="false"/>
          </w:tcPr>
          <w:p>
            <w:pPr>
              <w:pStyle w:val="639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</w:r>
            <w:r>
              <w:rPr>
                <w:sz w:val="16"/>
              </w:rPr>
            </w:r>
            <w:r/>
          </w:p>
        </w:tc>
        <w:tc>
          <w:tcPr>
            <w:gridSpan w:val="4"/>
            <w:shd w:val="clear" w:color="FFFFFF" w:fill="auto"/>
            <w:tcW w:w="2999" w:type="dxa"/>
            <w:vAlign w:val="bottom"/>
            <w:textDirection w:val="lrTb"/>
            <w:noWrap w:val="false"/>
          </w:tcPr>
          <w:p>
            <w:pPr>
              <w:pStyle w:val="639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</w:r>
            <w:r>
              <w:rPr>
                <w:sz w:val="16"/>
              </w:rPr>
            </w:r>
            <w:r/>
          </w:p>
        </w:tc>
        <w:tc>
          <w:tcPr>
            <w:tcW w:w="2202" w:type="dxa"/>
            <w:textDirection w:val="lrTb"/>
            <w:noWrap w:val="false"/>
          </w:tcPr>
          <w:p>
            <w:pPr>
              <w:pStyle w:val="639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/>
          </w:p>
        </w:tc>
      </w:tr>
      <w:tr>
        <w:trPr>
          <w:trHeight w:val="58"/>
        </w:trPr>
        <w:tc>
          <w:tcPr>
            <w:shd w:val="clear" w:color="FFFFFF" w:fill="auto"/>
            <w:tcW w:w="119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</w:r>
            <w:r>
              <w:rPr>
                <w:sz w:val="16"/>
              </w:rPr>
            </w:r>
            <w:r/>
          </w:p>
        </w:tc>
        <w:tc>
          <w:tcPr>
            <w:shd w:val="clear" w:color="FFFFFF" w:fill="auto"/>
            <w:tcW w:w="978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</w:r>
            <w:r>
              <w:rPr>
                <w:sz w:val="16"/>
              </w:rPr>
            </w:r>
            <w:r/>
          </w:p>
        </w:tc>
        <w:tc>
          <w:tcPr>
            <w:shd w:val="clear" w:color="FFFFFF" w:fill="auto"/>
            <w:tcW w:w="980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</w:r>
            <w:r>
              <w:rPr>
                <w:sz w:val="16"/>
              </w:rPr>
            </w:r>
            <w:r/>
          </w:p>
        </w:tc>
        <w:tc>
          <w:tcPr>
            <w:gridSpan w:val="2"/>
            <w:shd w:val="clear" w:color="FFFFFF" w:fill="auto"/>
            <w:tcW w:w="1988" w:type="dxa"/>
            <w:vAlign w:val="bottom"/>
            <w:vMerge w:val="restart"/>
            <w:textDirection w:val="lrTb"/>
            <w:noWrap w:val="false"/>
          </w:tcPr>
          <w:p>
            <w:pPr>
              <w:pStyle w:val="639"/>
              <w:jc w:val="both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  <w:t xml:space="preserve">(Пищик А.А.)</w:t>
            </w:r>
            <w:r>
              <w:rPr>
                <w:sz w:val="16"/>
              </w:rPr>
            </w:r>
            <w:r/>
          </w:p>
        </w:tc>
        <w:tc>
          <w:tcPr>
            <w:gridSpan w:val="2"/>
            <w:shd w:val="clear" w:color="FFFFFF" w:fill="auto"/>
            <w:tcW w:w="740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</w:r>
            <w:r>
              <w:rPr>
                <w:sz w:val="16"/>
              </w:rPr>
            </w:r>
            <w:r/>
          </w:p>
        </w:tc>
        <w:tc>
          <w:tcPr>
            <w:shd w:val="clear" w:color="FFFFFF" w:fill="auto"/>
            <w:tcW w:w="979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</w:r>
            <w:r>
              <w:rPr>
                <w:sz w:val="16"/>
              </w:rPr>
            </w:r>
            <w:r/>
          </w:p>
        </w:tc>
        <w:tc>
          <w:tcPr>
            <w:shd w:val="clear" w:color="FFFFFF" w:fill="auto"/>
            <w:tcW w:w="492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</w:r>
            <w:r>
              <w:rPr>
                <w:sz w:val="16"/>
              </w:rPr>
            </w:r>
            <w:r/>
          </w:p>
        </w:tc>
        <w:tc>
          <w:tcPr>
            <w:shd w:val="clear" w:color="FFFFFF" w:fill="auto"/>
            <w:tcW w:w="1024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</w:r>
            <w:r>
              <w:rPr>
                <w:sz w:val="16"/>
              </w:rPr>
            </w:r>
            <w:r/>
          </w:p>
        </w:tc>
        <w:tc>
          <w:tcPr>
            <w:tcW w:w="2202" w:type="dxa"/>
            <w:textDirection w:val="lrTb"/>
            <w:noWrap w:val="false"/>
          </w:tcPr>
          <w:p>
            <w:pPr>
              <w:pStyle w:val="639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/>
          </w:p>
        </w:tc>
      </w:tr>
      <w:tr>
        <w:trPr>
          <w:trHeight w:val="58"/>
        </w:trPr>
        <w:tc>
          <w:tcPr>
            <w:gridSpan w:val="3"/>
            <w:shd w:val="clear" w:color="FFFFFF" w:fill="auto"/>
            <w:tcBorders>
              <w:bottom w:val="single" w:color="000000" w:sz="4" w:space="0"/>
            </w:tcBorders>
            <w:tcW w:w="3153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</w:r>
            <w:r>
              <w:rPr>
                <w:sz w:val="16"/>
              </w:rPr>
            </w:r>
            <w:r/>
          </w:p>
        </w:tc>
        <w:tc>
          <w:tcPr>
            <w:gridSpan w:val="2"/>
            <w:shd w:val="clear" w:color="FFFFFF" w:fill="auto"/>
            <w:tcW w:w="1988" w:type="dxa"/>
            <w:vAlign w:val="bottom"/>
            <w:vMerge w:val="continue"/>
            <w:textDirection w:val="lrTb"/>
            <w:noWrap w:val="false"/>
          </w:tcPr>
          <w:p>
            <w:pPr>
              <w:pStyle w:val="639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</w:r>
            <w:r/>
          </w:p>
        </w:tc>
        <w:tc>
          <w:tcPr>
            <w:gridSpan w:val="5"/>
            <w:shd w:val="clear" w:color="FFFFFF" w:fill="auto"/>
            <w:tcBorders>
              <w:bottom w:val="single" w:color="000000" w:sz="4" w:space="0"/>
            </w:tcBorders>
            <w:tcW w:w="3235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20"/>
              </w:rPr>
            </w:pPr>
            <w:r>
              <w:rPr>
                <w:color w:val="000000"/>
                <w:sz w:val="16"/>
                <w:szCs w:val="23"/>
                <w:lang w:val="ru-RU" w:eastAsia="ru-RU"/>
              </w:rPr>
              <w:t xml:space="preserve">                           </w:t>
            </w:r>
            <w:r>
              <w:rPr>
                <w:sz w:val="16"/>
              </w:rPr>
            </w:r>
            <w:r/>
          </w:p>
        </w:tc>
        <w:tc>
          <w:tcPr>
            <w:tcW w:w="2202" w:type="dxa"/>
            <w:textDirection w:val="lrTb"/>
            <w:noWrap w:val="false"/>
          </w:tcPr>
          <w:p>
            <w:pPr>
              <w:pStyle w:val="639"/>
              <w:rPr>
                <w:sz w:val="16"/>
                <w:szCs w:val="20"/>
              </w:rPr>
            </w:pPr>
            <w:r>
              <w:rPr>
                <w:color w:val="000000"/>
                <w:sz w:val="16"/>
                <w:szCs w:val="23"/>
                <w:lang w:val="ru-RU" w:eastAsia="ru-RU"/>
              </w:rPr>
              <w:t xml:space="preserve">  </w:t>
            </w:r>
            <w:r>
              <w:rPr>
                <w:color w:val="000000"/>
                <w:sz w:val="16"/>
                <w:szCs w:val="23"/>
                <w:lang w:val="ru-RU" w:eastAsia="ru-RU"/>
              </w:rPr>
              <w:t xml:space="preserve">(Парамонов И. В</w:t>
            </w:r>
            <w:r>
              <w:rPr>
                <w:color w:val="000000"/>
                <w:sz w:val="16"/>
                <w:szCs w:val="22"/>
                <w:lang w:val="ru-RU"/>
              </w:rPr>
              <w:t xml:space="preserve">)</w:t>
            </w:r>
            <w:r>
              <w:rPr>
                <w:sz w:val="16"/>
              </w:rPr>
            </w:r>
            <w:r/>
          </w:p>
        </w:tc>
      </w:tr>
      <w:tr>
        <w:trPr>
          <w:trHeight w:val="58"/>
        </w:trPr>
        <w:tc>
          <w:tcPr>
            <w:gridSpan w:val="3"/>
            <w:shd w:val="clear" w:color="FFFFFF" w:fill="auto"/>
            <w:tcBorders>
              <w:top w:val="single" w:color="000000" w:sz="4" w:space="0"/>
            </w:tcBorders>
            <w:tcW w:w="3153" w:type="dxa"/>
            <w:vAlign w:val="bottom"/>
            <w:textDirection w:val="lrTb"/>
            <w:noWrap w:val="false"/>
          </w:tcPr>
          <w:p>
            <w:pPr>
              <w:pStyle w:val="639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  <w:t xml:space="preserve">(подпись)</w:t>
            </w:r>
            <w:r>
              <w:rPr>
                <w:sz w:val="16"/>
              </w:rPr>
            </w:r>
            <w:r/>
          </w:p>
        </w:tc>
        <w:tc>
          <w:tcPr>
            <w:shd w:val="clear" w:color="FFFFFF" w:fill="auto"/>
            <w:tcW w:w="981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</w:r>
            <w:r>
              <w:rPr>
                <w:sz w:val="16"/>
              </w:rPr>
            </w:r>
            <w:r/>
          </w:p>
        </w:tc>
        <w:tc>
          <w:tcPr>
            <w:shd w:val="clear" w:color="FFFFFF" w:fill="auto"/>
            <w:tcW w:w="1007" w:type="dxa"/>
            <w:vAlign w:val="bottom"/>
            <w:textDirection w:val="lrTb"/>
            <w:noWrap w:val="false"/>
          </w:tcPr>
          <w:p>
            <w:pPr>
              <w:pStyle w:val="639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</w:r>
            <w:r>
              <w:rPr>
                <w:sz w:val="16"/>
              </w:rPr>
            </w:r>
            <w:r/>
          </w:p>
        </w:tc>
        <w:tc>
          <w:tcPr>
            <w:gridSpan w:val="5"/>
            <w:shd w:val="clear" w:color="FFFFFF" w:fill="auto"/>
            <w:tcW w:w="3235" w:type="dxa"/>
            <w:vAlign w:val="bottom"/>
            <w:textDirection w:val="lrTb"/>
            <w:noWrap w:val="false"/>
          </w:tcPr>
          <w:p>
            <w:pPr>
              <w:pStyle w:val="639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ru-RU" w:eastAsia="ru-RU"/>
              </w:rPr>
              <w:t xml:space="preserve">(подпись)</w:t>
            </w:r>
            <w:r>
              <w:rPr>
                <w:sz w:val="16"/>
              </w:rPr>
            </w:r>
            <w:r/>
          </w:p>
        </w:tc>
        <w:tc>
          <w:tcPr>
            <w:tcW w:w="2202" w:type="dxa"/>
            <w:textDirection w:val="lrTb"/>
            <w:noWrap w:val="false"/>
          </w:tcPr>
          <w:p>
            <w:pPr>
              <w:pStyle w:val="639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/>
          </w:p>
        </w:tc>
      </w:tr>
    </w:tbl>
    <w:p>
      <w:pPr>
        <w:pStyle w:val="639"/>
      </w:pPr>
      <w:r/>
      <w:r/>
    </w:p>
    <w:sectPr>
      <w:footnotePr/>
      <w:endnotePr/>
      <w:type w:val="nextPage"/>
      <w:pgSz w:w="11906" w:h="16838" w:orient="portrait"/>
      <w:pgMar w:top="720" w:right="720" w:bottom="568" w:left="720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</w:font>
  <w:font w:name="Calibri">
    <w:panose1 w:val="020F0502020204030204"/>
  </w:font>
  <w:font w:name="Liberation Sans">
    <w:panose1 w:val="020B0604020202020204"/>
  </w:font>
  <w:font w:name="Segoe UI">
    <w:panose1 w:val="020B0502040204020203"/>
  </w:font>
  <w:font w:name="Arial Unicode MS">
    <w:panose1 w:val="020B0604020202020204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38">
    <w:name w:val="No List"/>
    <w:uiPriority w:val="99"/>
    <w:semiHidden/>
    <w:unhideWhenUsed/>
  </w:style>
  <w:style w:type="paragraph" w:styleId="639" w:default="1">
    <w:name w:val="Normal"/>
    <w:qFormat/>
    <w:rPr>
      <w:rFonts w:ascii="Times New Roman" w:hAnsi="Times New Roman" w:cs="Times New Roman" w:eastAsia="Times New Roman"/>
      <w:color w:val="auto"/>
      <w:sz w:val="24"/>
      <w:szCs w:val="24"/>
      <w:lang w:val="en-US" w:bidi="ar-SA" w:eastAsia="en-US"/>
    </w:rPr>
    <w:pPr>
      <w:jc w:val="left"/>
      <w:spacing w:after="0" w:before="0"/>
      <w:widowControl/>
    </w:pPr>
  </w:style>
  <w:style w:type="paragraph" w:styleId="640">
    <w:name w:val="Heading 1"/>
    <w:basedOn w:val="63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641">
    <w:name w:val="Heading 2"/>
    <w:basedOn w:val="639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642">
    <w:name w:val="Heading 3"/>
    <w:basedOn w:val="63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643">
    <w:name w:val="Heading 4"/>
    <w:basedOn w:val="63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644">
    <w:name w:val="Heading 5"/>
    <w:basedOn w:val="639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4"/>
    </w:pPr>
  </w:style>
  <w:style w:type="paragraph" w:styleId="645">
    <w:name w:val="Heading 6"/>
    <w:basedOn w:val="639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646">
    <w:name w:val="Heading 7"/>
    <w:basedOn w:val="63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647">
    <w:name w:val="Heading 8"/>
    <w:basedOn w:val="639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648">
    <w:name w:val="Heading 9"/>
    <w:basedOn w:val="63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49" w:default="1">
    <w:name w:val="Default Paragraph Font"/>
    <w:qFormat/>
    <w:uiPriority w:val="1"/>
    <w:unhideWhenUsed/>
  </w:style>
  <w:style w:type="character" w:styleId="650" w:customStyle="1">
    <w:name w:val="Heading 1 Char"/>
    <w:basedOn w:val="649"/>
    <w:qFormat/>
    <w:uiPriority w:val="9"/>
    <w:rPr>
      <w:rFonts w:ascii="Arial" w:hAnsi="Arial" w:cs="Arial" w:eastAsia="Arial"/>
      <w:sz w:val="40"/>
      <w:szCs w:val="40"/>
    </w:rPr>
  </w:style>
  <w:style w:type="character" w:styleId="651" w:customStyle="1">
    <w:name w:val="Heading 2 Char"/>
    <w:basedOn w:val="649"/>
    <w:qFormat/>
    <w:uiPriority w:val="9"/>
    <w:rPr>
      <w:rFonts w:ascii="Arial" w:hAnsi="Arial" w:cs="Arial" w:eastAsia="Arial"/>
      <w:sz w:val="34"/>
    </w:rPr>
  </w:style>
  <w:style w:type="character" w:styleId="652" w:customStyle="1">
    <w:name w:val="Heading 3 Char"/>
    <w:basedOn w:val="649"/>
    <w:qFormat/>
    <w:uiPriority w:val="9"/>
    <w:rPr>
      <w:rFonts w:ascii="Arial" w:hAnsi="Arial" w:cs="Arial" w:eastAsia="Arial"/>
      <w:sz w:val="30"/>
      <w:szCs w:val="30"/>
    </w:rPr>
  </w:style>
  <w:style w:type="character" w:styleId="653" w:customStyle="1">
    <w:name w:val="Heading 4 Char"/>
    <w:basedOn w:val="649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654" w:customStyle="1">
    <w:name w:val="Heading 5 Char"/>
    <w:basedOn w:val="649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655" w:customStyle="1">
    <w:name w:val="Heading 6 Char"/>
    <w:basedOn w:val="649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656" w:customStyle="1">
    <w:name w:val="Heading 7 Char"/>
    <w:basedOn w:val="649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57" w:customStyle="1">
    <w:name w:val="Heading 8 Char"/>
    <w:basedOn w:val="649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658" w:customStyle="1">
    <w:name w:val="Heading 9 Char"/>
    <w:basedOn w:val="649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659" w:customStyle="1">
    <w:name w:val="Title Char"/>
    <w:basedOn w:val="649"/>
    <w:qFormat/>
    <w:uiPriority w:val="10"/>
    <w:rPr>
      <w:sz w:val="48"/>
      <w:szCs w:val="48"/>
    </w:rPr>
  </w:style>
  <w:style w:type="character" w:styleId="660" w:customStyle="1">
    <w:name w:val="Subtitle Char"/>
    <w:basedOn w:val="649"/>
    <w:qFormat/>
    <w:uiPriority w:val="11"/>
    <w:rPr>
      <w:sz w:val="24"/>
      <w:szCs w:val="24"/>
    </w:rPr>
  </w:style>
  <w:style w:type="character" w:styleId="661" w:customStyle="1">
    <w:name w:val="Quote Char"/>
    <w:qFormat/>
    <w:uiPriority w:val="29"/>
    <w:rPr>
      <w:i/>
    </w:rPr>
  </w:style>
  <w:style w:type="character" w:styleId="662" w:customStyle="1">
    <w:name w:val="Intense Quote Char"/>
    <w:qFormat/>
    <w:uiPriority w:val="30"/>
    <w:rPr>
      <w:i/>
    </w:rPr>
  </w:style>
  <w:style w:type="character" w:styleId="663" w:customStyle="1">
    <w:name w:val="Header Char"/>
    <w:basedOn w:val="649"/>
    <w:qFormat/>
    <w:uiPriority w:val="99"/>
  </w:style>
  <w:style w:type="character" w:styleId="664" w:customStyle="1">
    <w:name w:val="Footer Char"/>
    <w:basedOn w:val="649"/>
    <w:qFormat/>
    <w:uiPriority w:val="99"/>
  </w:style>
  <w:style w:type="character" w:styleId="665" w:customStyle="1">
    <w:name w:val="Caption Char"/>
    <w:qFormat/>
    <w:uiPriority w:val="99"/>
  </w:style>
  <w:style w:type="character" w:styleId="666" w:customStyle="1">
    <w:name w:val="Footnote Text Char"/>
    <w:qFormat/>
    <w:uiPriority w:val="99"/>
    <w:rPr>
      <w:sz w:val="18"/>
    </w:rPr>
  </w:style>
  <w:style w:type="character" w:styleId="667" w:customStyle="1">
    <w:name w:val="Символ сноски (user)"/>
    <w:qFormat/>
    <w:uiPriority w:val="99"/>
    <w:unhideWhenUsed/>
    <w:rPr>
      <w:vertAlign w:val="superscript"/>
    </w:rPr>
  </w:style>
  <w:style w:type="character" w:styleId="668">
    <w:name w:val="Символ сноски"/>
    <w:qFormat/>
    <w:rPr>
      <w:vertAlign w:val="superscript"/>
    </w:rPr>
  </w:style>
  <w:style w:type="character" w:styleId="669">
    <w:name w:val="footnote reference"/>
    <w:rPr>
      <w:vertAlign w:val="superscript"/>
    </w:rPr>
  </w:style>
  <w:style w:type="character" w:styleId="670" w:customStyle="1">
    <w:name w:val="Endnote Text Char"/>
    <w:qFormat/>
    <w:uiPriority w:val="99"/>
    <w:rPr>
      <w:sz w:val="20"/>
    </w:rPr>
  </w:style>
  <w:style w:type="character" w:styleId="671" w:customStyle="1">
    <w:name w:val="Символ концевой сноски (user)"/>
    <w:qFormat/>
    <w:uiPriority w:val="99"/>
    <w:semiHidden/>
    <w:unhideWhenUsed/>
    <w:rPr>
      <w:vertAlign w:val="superscript"/>
    </w:rPr>
  </w:style>
  <w:style w:type="character" w:styleId="672">
    <w:name w:val="Символ концевой сноски"/>
    <w:qFormat/>
    <w:rPr>
      <w:vertAlign w:val="superscript"/>
    </w:rPr>
  </w:style>
  <w:style w:type="character" w:styleId="673">
    <w:name w:val="endnote reference"/>
    <w:rPr>
      <w:vertAlign w:val="superscript"/>
    </w:rPr>
  </w:style>
  <w:style w:type="character" w:styleId="674">
    <w:name w:val="Hyperlink"/>
    <w:basedOn w:val="649"/>
    <w:uiPriority w:val="99"/>
    <w:unhideWhenUsed/>
    <w:rPr>
      <w:color w:val="0563C1" w:themeColor="hyperlink"/>
      <w:u w:val="single"/>
    </w:rPr>
  </w:style>
  <w:style w:type="character" w:styleId="675" w:customStyle="1">
    <w:name w:val="Текст выноски Знак"/>
    <w:basedOn w:val="649"/>
    <w:link w:val="705"/>
    <w:qFormat/>
    <w:uiPriority w:val="99"/>
    <w:semiHidden/>
    <w:rPr>
      <w:rFonts w:ascii="Segoe UI" w:hAnsi="Segoe UI" w:cs="Segoe UI" w:eastAsia="Times New Roman"/>
      <w:sz w:val="18"/>
      <w:szCs w:val="18"/>
      <w:lang w:val="en-US"/>
    </w:rPr>
  </w:style>
  <w:style w:type="character" w:styleId="676">
    <w:name w:val="FollowedHyperlink"/>
    <w:basedOn w:val="649"/>
    <w:uiPriority w:val="99"/>
    <w:semiHidden/>
    <w:unhideWhenUsed/>
    <w:rPr>
      <w:color w:val="954F72"/>
      <w:u w:val="single"/>
    </w:rPr>
  </w:style>
  <w:style w:type="paragraph" w:styleId="677">
    <w:name w:val="Заголовок"/>
    <w:basedOn w:val="639"/>
    <w:next w:val="678"/>
    <w:qFormat/>
    <w:rPr>
      <w:rFonts w:ascii="Liberation Sans" w:hAnsi="Liberation Sans" w:cs="Arial" w:eastAsia="Microsoft YaHei"/>
      <w:sz w:val="28"/>
      <w:szCs w:val="28"/>
    </w:rPr>
    <w:pPr>
      <w:keepNext/>
      <w:spacing w:after="120" w:before="240"/>
    </w:pPr>
  </w:style>
  <w:style w:type="paragraph" w:styleId="678">
    <w:name w:val="Body Text"/>
    <w:basedOn w:val="639"/>
    <w:pPr>
      <w:spacing w:lineRule="auto" w:line="276" w:after="140" w:before="0"/>
    </w:pPr>
  </w:style>
  <w:style w:type="paragraph" w:styleId="679">
    <w:name w:val="List"/>
    <w:basedOn w:val="678"/>
    <w:rPr>
      <w:rFonts w:cs="Arial"/>
    </w:rPr>
  </w:style>
  <w:style w:type="paragraph" w:styleId="680">
    <w:name w:val="Caption"/>
    <w:basedOn w:val="639"/>
    <w:qFormat/>
    <w:uiPriority w:val="35"/>
    <w:semiHidden/>
    <w:unhideWhenUsed/>
    <w:rPr>
      <w:b/>
      <w:bCs/>
      <w:color w:val="5B9BD5" w:themeColor="accent1"/>
      <w:sz w:val="18"/>
      <w:szCs w:val="18"/>
    </w:rPr>
    <w:pPr>
      <w:spacing w:lineRule="auto" w:line="276"/>
    </w:pPr>
  </w:style>
  <w:style w:type="paragraph" w:styleId="681">
    <w:name w:val="Указатель"/>
    <w:basedOn w:val="639"/>
    <w:qFormat/>
    <w:rPr>
      <w:rFonts w:cs="Arial"/>
    </w:rPr>
    <w:pPr>
      <w:suppressLineNumbers/>
    </w:pPr>
  </w:style>
  <w:style w:type="paragraph" w:styleId="682">
    <w:name w:val="Title"/>
    <w:basedOn w:val="639"/>
    <w:next w:val="678"/>
    <w:qFormat/>
    <w:uiPriority w:val="10"/>
    <w:rPr>
      <w:sz w:val="48"/>
      <w:szCs w:val="48"/>
    </w:rPr>
    <w:pPr>
      <w:contextualSpacing w:val="true"/>
      <w:spacing w:after="200" w:before="300"/>
    </w:pPr>
  </w:style>
  <w:style w:type="paragraph" w:styleId="683">
    <w:name w:val="index heading"/>
    <w:basedOn w:val="682"/>
  </w:style>
  <w:style w:type="paragraph" w:styleId="684">
    <w:name w:val="No Spacing"/>
    <w:qFormat/>
    <w:uiPriority w:val="1"/>
    <w:rPr>
      <w:rFonts w:ascii="Calibri" w:hAnsi="Calibri" w:cs="Arial" w:eastAsia="Calibri" w:asciiTheme="minorHAnsi" w:hAnsiTheme="minorHAnsi" w:eastAsiaTheme="minorHAnsi" w:cstheme="minorBidi"/>
      <w:color w:val="auto"/>
      <w:sz w:val="22"/>
      <w:szCs w:val="22"/>
      <w:lang w:val="ru-RU" w:bidi="ar-SA" w:eastAsia="en-US"/>
    </w:rPr>
    <w:pPr>
      <w:jc w:val="left"/>
      <w:spacing w:after="0" w:before="0"/>
      <w:widowControl/>
    </w:pPr>
  </w:style>
  <w:style w:type="paragraph" w:styleId="685">
    <w:name w:val="Subtitle"/>
    <w:basedOn w:val="639"/>
    <w:qFormat/>
    <w:uiPriority w:val="11"/>
    <w:pPr>
      <w:spacing w:after="200" w:before="200"/>
    </w:pPr>
  </w:style>
  <w:style w:type="paragraph" w:styleId="686">
    <w:name w:val="Quote"/>
    <w:basedOn w:val="639"/>
    <w:qFormat/>
    <w:uiPriority w:val="29"/>
    <w:rPr>
      <w:i/>
    </w:rPr>
    <w:pPr>
      <w:ind w:left="720" w:right="720"/>
    </w:pPr>
  </w:style>
  <w:style w:type="paragraph" w:styleId="687">
    <w:name w:val="Intense Quote"/>
    <w:basedOn w:val="639"/>
    <w:qFormat/>
    <w:uiPriority w:val="30"/>
    <w:rPr>
      <w:i/>
    </w:rPr>
    <w:pPr>
      <w:ind w:left="720" w:right="720"/>
      <w:spacing w:after="16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688" w:customStyle="1">
    <w:name w:val="Header and Footer"/>
    <w:basedOn w:val="639"/>
    <w:qFormat/>
  </w:style>
  <w:style w:type="paragraph" w:styleId="689">
    <w:name w:val="Header"/>
    <w:basedOn w:val="639"/>
    <w:uiPriority w:val="99"/>
    <w:unhideWhenUsed/>
    <w:pPr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690">
    <w:name w:val="Footer"/>
    <w:basedOn w:val="639"/>
    <w:uiPriority w:val="99"/>
    <w:unhideWhenUsed/>
    <w:pPr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691">
    <w:name w:val="footnote text"/>
    <w:basedOn w:val="639"/>
    <w:uiPriority w:val="99"/>
    <w:semiHidden/>
    <w:unhideWhenUsed/>
    <w:rPr>
      <w:sz w:val="18"/>
    </w:rPr>
    <w:pPr>
      <w:spacing w:after="40" w:before="0"/>
    </w:pPr>
  </w:style>
  <w:style w:type="paragraph" w:styleId="692">
    <w:name w:val="endnote text"/>
    <w:basedOn w:val="639"/>
    <w:uiPriority w:val="99"/>
    <w:semiHidden/>
    <w:unhideWhenUsed/>
    <w:rPr>
      <w:sz w:val="20"/>
    </w:rPr>
  </w:style>
  <w:style w:type="paragraph" w:styleId="693">
    <w:name w:val="toc 1"/>
    <w:basedOn w:val="639"/>
    <w:uiPriority w:val="39"/>
    <w:unhideWhenUsed/>
    <w:pPr>
      <w:spacing w:after="57" w:before="0"/>
    </w:pPr>
  </w:style>
  <w:style w:type="paragraph" w:styleId="694">
    <w:name w:val="toc 2"/>
    <w:basedOn w:val="639"/>
    <w:uiPriority w:val="39"/>
    <w:unhideWhenUsed/>
    <w:pPr>
      <w:ind w:left="283"/>
      <w:spacing w:after="57" w:before="0"/>
    </w:pPr>
  </w:style>
  <w:style w:type="paragraph" w:styleId="695">
    <w:name w:val="toc 3"/>
    <w:basedOn w:val="639"/>
    <w:uiPriority w:val="39"/>
    <w:unhideWhenUsed/>
    <w:pPr>
      <w:ind w:left="567"/>
      <w:spacing w:after="57" w:before="0"/>
    </w:pPr>
  </w:style>
  <w:style w:type="paragraph" w:styleId="696">
    <w:name w:val="toc 4"/>
    <w:basedOn w:val="639"/>
    <w:uiPriority w:val="39"/>
    <w:unhideWhenUsed/>
    <w:pPr>
      <w:ind w:left="850"/>
      <w:spacing w:after="57" w:before="0"/>
    </w:pPr>
  </w:style>
  <w:style w:type="paragraph" w:styleId="697">
    <w:name w:val="toc 5"/>
    <w:basedOn w:val="639"/>
    <w:uiPriority w:val="39"/>
    <w:unhideWhenUsed/>
    <w:pPr>
      <w:ind w:left="1134"/>
      <w:spacing w:after="57" w:before="0"/>
    </w:pPr>
  </w:style>
  <w:style w:type="paragraph" w:styleId="698">
    <w:name w:val="toc 6"/>
    <w:basedOn w:val="639"/>
    <w:uiPriority w:val="39"/>
    <w:unhideWhenUsed/>
    <w:pPr>
      <w:ind w:left="1417"/>
      <w:spacing w:after="57" w:before="0"/>
    </w:pPr>
  </w:style>
  <w:style w:type="paragraph" w:styleId="699">
    <w:name w:val="toc 7"/>
    <w:basedOn w:val="639"/>
    <w:uiPriority w:val="39"/>
    <w:unhideWhenUsed/>
    <w:pPr>
      <w:ind w:left="1701"/>
      <w:spacing w:after="57" w:before="0"/>
    </w:pPr>
  </w:style>
  <w:style w:type="paragraph" w:styleId="700">
    <w:name w:val="toc 8"/>
    <w:basedOn w:val="639"/>
    <w:uiPriority w:val="39"/>
    <w:unhideWhenUsed/>
    <w:pPr>
      <w:ind w:left="1984"/>
      <w:spacing w:after="57" w:before="0"/>
    </w:pPr>
  </w:style>
  <w:style w:type="paragraph" w:styleId="701">
    <w:name w:val="toc 9"/>
    <w:basedOn w:val="639"/>
    <w:uiPriority w:val="39"/>
    <w:unhideWhenUsed/>
    <w:pPr>
      <w:ind w:left="2268"/>
      <w:spacing w:after="57" w:before="0"/>
    </w:pPr>
  </w:style>
  <w:style w:type="paragraph" w:styleId="702">
    <w:name w:val="TOC Heading"/>
    <w:qFormat/>
    <w:uiPriority w:val="39"/>
    <w:unhideWhenUsed/>
    <w:rPr>
      <w:rFonts w:ascii="Calibri" w:hAnsi="Calibri" w:cs="Arial" w:eastAsia="Calibri" w:asciiTheme="minorHAnsi" w:hAnsiTheme="minorHAnsi" w:eastAsiaTheme="minorHAnsi" w:cstheme="minorBidi"/>
      <w:color w:val="auto"/>
      <w:sz w:val="22"/>
      <w:szCs w:val="22"/>
      <w:lang w:val="ru-RU" w:bidi="ar-SA" w:eastAsia="en-US"/>
    </w:rPr>
    <w:pPr>
      <w:jc w:val="left"/>
      <w:spacing w:lineRule="auto" w:line="259" w:after="160" w:before="0"/>
      <w:widowControl/>
    </w:pPr>
  </w:style>
  <w:style w:type="paragraph" w:styleId="703">
    <w:name w:val="table of figures"/>
    <w:basedOn w:val="639"/>
    <w:uiPriority w:val="99"/>
    <w:unhideWhenUsed/>
  </w:style>
  <w:style w:type="paragraph" w:styleId="704">
    <w:name w:val="List Paragraph"/>
    <w:basedOn w:val="639"/>
    <w:qFormat/>
    <w:uiPriority w:val="34"/>
    <w:pPr>
      <w:contextualSpacing w:val="true"/>
      <w:ind w:left="720"/>
      <w:spacing w:after="0" w:before="0"/>
    </w:pPr>
  </w:style>
  <w:style w:type="paragraph" w:styleId="705">
    <w:name w:val="Balloon Text"/>
    <w:basedOn w:val="639"/>
    <w:link w:val="675"/>
    <w:qFormat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706" w:customStyle="1">
    <w:name w:val="msonormal"/>
    <w:basedOn w:val="639"/>
    <w:qFormat/>
    <w:rPr>
      <w:lang w:val="ru-RU" w:eastAsia="ru-RU"/>
    </w:rPr>
    <w:pPr>
      <w:spacing w:afterAutospacing="1" w:beforeAutospacing="1"/>
    </w:pPr>
  </w:style>
  <w:style w:type="paragraph" w:styleId="707" w:customStyle="1">
    <w:name w:val="xl64"/>
    <w:basedOn w:val="639"/>
    <w:qFormat/>
    <w:rPr>
      <w:b/>
      <w:bCs/>
      <w:sz w:val="18"/>
      <w:szCs w:val="18"/>
      <w:lang w:val="ru-RU" w:eastAsia="ru-RU"/>
    </w:rPr>
    <w:pPr>
      <w:jc w:val="center"/>
      <w:spacing w:afterAutospacing="1" w:beforeAutospacing="1"/>
      <w:shd w:val="clear" w:color="000000" w:fill="FFFF99"/>
      <w:pBdr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</w:pBdr>
    </w:pPr>
  </w:style>
  <w:style w:type="paragraph" w:styleId="708" w:customStyle="1">
    <w:name w:val="xl65"/>
    <w:basedOn w:val="639"/>
    <w:qFormat/>
    <w:rPr>
      <w:sz w:val="18"/>
      <w:szCs w:val="18"/>
      <w:lang w:val="ru-RU" w:eastAsia="ru-RU"/>
    </w:rPr>
    <w:pPr>
      <w:spacing w:afterAutospacing="1" w:beforeAutospacing="1"/>
      <w:pBdr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</w:pBdr>
    </w:pPr>
  </w:style>
  <w:style w:type="paragraph" w:styleId="709" w:customStyle="1">
    <w:name w:val="xl66"/>
    <w:basedOn w:val="639"/>
    <w:qFormat/>
    <w:rPr>
      <w:sz w:val="18"/>
      <w:szCs w:val="18"/>
      <w:lang w:val="ru-RU" w:eastAsia="ru-RU"/>
    </w:rPr>
    <w:pPr>
      <w:spacing w:afterAutospacing="1" w:beforeAutospacing="1"/>
      <w:pBdr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</w:pBdr>
    </w:pPr>
  </w:style>
  <w:style w:type="paragraph" w:styleId="710" w:customStyle="1">
    <w:name w:val="xl67"/>
    <w:basedOn w:val="639"/>
    <w:qFormat/>
    <w:rPr>
      <w:b/>
      <w:bCs/>
      <w:sz w:val="18"/>
      <w:szCs w:val="18"/>
      <w:lang w:val="ru-RU" w:eastAsia="ru-RU"/>
    </w:rPr>
    <w:pPr>
      <w:jc w:val="center"/>
      <w:spacing w:afterAutospacing="1" w:beforeAutospacing="1"/>
      <w:shd w:val="clear" w:color="FFFFCC" w:fill="FFFFFF"/>
      <w:pBdr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</w:pBdr>
    </w:pPr>
  </w:style>
  <w:style w:type="paragraph" w:styleId="711" w:customStyle="1">
    <w:name w:val="xl68"/>
    <w:basedOn w:val="639"/>
    <w:qFormat/>
    <w:rPr>
      <w:sz w:val="18"/>
      <w:szCs w:val="18"/>
      <w:lang w:val="ru-RU" w:eastAsia="ru-RU"/>
    </w:rPr>
    <w:pPr>
      <w:jc w:val="center"/>
      <w:spacing w:afterAutospacing="1" w:beforeAutospacing="1"/>
      <w:pBdr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</w:pBdr>
    </w:pPr>
  </w:style>
  <w:style w:type="paragraph" w:styleId="712" w:customStyle="1">
    <w:name w:val="xl69"/>
    <w:basedOn w:val="639"/>
    <w:qFormat/>
    <w:rPr>
      <w:sz w:val="18"/>
      <w:szCs w:val="18"/>
      <w:lang w:val="ru-RU" w:eastAsia="ru-RU"/>
    </w:rPr>
    <w:pPr>
      <w:spacing w:afterAutospacing="1" w:beforeAutospacing="1"/>
      <w:pBdr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</w:pBdr>
    </w:pPr>
  </w:style>
  <w:style w:type="paragraph" w:styleId="713" w:customStyle="1">
    <w:name w:val="xl70"/>
    <w:basedOn w:val="639"/>
    <w:qFormat/>
    <w:rPr>
      <w:sz w:val="18"/>
      <w:szCs w:val="18"/>
      <w:lang w:val="ru-RU" w:eastAsia="ru-RU"/>
    </w:rPr>
    <w:pPr>
      <w:jc w:val="center"/>
      <w:spacing w:afterAutospacing="1" w:beforeAutospacing="1"/>
      <w:pBdr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</w:pBdr>
    </w:pPr>
  </w:style>
  <w:style w:type="paragraph" w:styleId="714" w:customStyle="1">
    <w:name w:val="xl71"/>
    <w:basedOn w:val="639"/>
    <w:qFormat/>
    <w:rPr>
      <w:sz w:val="18"/>
      <w:szCs w:val="18"/>
      <w:lang w:val="ru-RU" w:eastAsia="ru-RU"/>
    </w:rPr>
    <w:pPr>
      <w:spacing w:afterAutospacing="1" w:beforeAutospacing="1"/>
      <w:shd w:val="clear" w:color="000000" w:fill="FFFF00"/>
      <w:pBdr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</w:pBdr>
    </w:pPr>
  </w:style>
  <w:style w:type="paragraph" w:styleId="715" w:customStyle="1">
    <w:name w:val="xl72"/>
    <w:basedOn w:val="639"/>
    <w:qFormat/>
    <w:rPr>
      <w:sz w:val="18"/>
      <w:szCs w:val="18"/>
      <w:lang w:val="ru-RU" w:eastAsia="ru-RU"/>
    </w:rPr>
    <w:pPr>
      <w:spacing w:afterAutospacing="1" w:beforeAutospacing="1"/>
      <w:shd w:val="clear" w:color="000000" w:fill="FFFFFF"/>
      <w:pBdr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</w:pBdr>
    </w:pPr>
  </w:style>
  <w:style w:type="paragraph" w:styleId="716" w:customStyle="1">
    <w:name w:val="xl73"/>
    <w:basedOn w:val="639"/>
    <w:qFormat/>
    <w:rPr>
      <w:sz w:val="18"/>
      <w:szCs w:val="18"/>
      <w:lang w:val="ru-RU" w:eastAsia="ru-RU"/>
    </w:rPr>
    <w:pPr>
      <w:spacing w:afterAutospacing="1" w:beforeAutospacing="1"/>
      <w:pBdr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</w:pBdr>
    </w:pPr>
  </w:style>
  <w:style w:type="numbering" w:styleId="717" w:default="1">
    <w:name w:val="Без списка"/>
    <w:qFormat/>
    <w:uiPriority w:val="99"/>
    <w:semiHidden/>
    <w:unhideWhenUsed/>
  </w:style>
  <w:style w:type="numbering" w:styleId="718" w:customStyle="1">
    <w:name w:val="Без списка (user)"/>
    <w:qFormat/>
    <w:uiPriority w:val="99"/>
    <w:semiHidden/>
    <w:unhideWhenUsed/>
  </w:style>
  <w:style w:type="table" w:styleId="719">
    <w:name w:val="Table Grid"/>
    <w:basedOn w:val="845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Table Grid Light"/>
    <w:basedOn w:val="845"/>
    <w:uiPriority w:val="59"/>
    <w:pPr>
      <w:spacing w:lineRule="auto" w:line="240" w:after="0"/>
    </w:pPr>
    <w:tblPr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845"/>
    <w:uiPriority w:val="59"/>
    <w:pPr>
      <w:spacing w:lineRule="auto" w:line="240" w:after="0"/>
    </w:pPr>
    <w:tblPr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/>
      </w:tcPr>
    </w:tblStylePr>
    <w:tblStylePr w:type="band1Vert">
      <w:tcPr>
        <w:shd w:val="clear" w:color="FFFFF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22">
    <w:name w:val="Plain Table 2"/>
    <w:basedOn w:val="845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23">
    <w:name w:val="Plain Table 3"/>
    <w:basedOn w:val="84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  <w:caps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724">
    <w:name w:val="Plain Table 4"/>
    <w:basedOn w:val="84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725">
    <w:name w:val="Plain Table 5"/>
    <w:basedOn w:val="84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26">
    <w:name w:val="Grid Table 1 Light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27">
    <w:name w:val="Grid Table 1 Light - Accent 1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sz w:val="22"/>
      </w:rPr>
      <w:tcPr>
        <w:tcBorders>
          <w:left w:val="single" w:color="000000" w:sz="4" w:space="0" w:themeColor="accent1"/>
          <w:top w:val="single" w:color="000000" w:sz="4" w:space="0" w:themeColor="accent1"/>
          <w:right w:val="single" w:color="000000" w:sz="4" w:space="0" w:themeColor="accent1"/>
          <w:bottom w:val="single" w:color="000000" w:sz="4" w:space="0" w:themeColor="accen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28">
    <w:name w:val="Grid Table 1 Light - Accent 2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sz w:val="22"/>
      </w:rPr>
      <w:tcPr>
        <w:tcBorders>
          <w:left w:val="single" w:color="000000" w:sz="4" w:space="0" w:themeColor="accent2"/>
          <w:top w:val="single" w:color="000000" w:sz="4" w:space="0" w:themeColor="accent2"/>
          <w:right w:val="single" w:color="000000" w:sz="4" w:space="0" w:themeColor="accent2"/>
          <w:bottom w:val="single" w:color="000000" w:sz="4" w:space="0" w:themeColor="accent2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29">
    <w:name w:val="Grid Table 1 Light - Accent 3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sz w:val="22"/>
      </w:rPr>
      <w:tcPr>
        <w:tcBorders>
          <w:left w:val="single" w:color="000000" w:sz="4" w:space="0" w:themeColor="accent3"/>
          <w:top w:val="single" w:color="000000" w:sz="4" w:space="0" w:themeColor="accent3"/>
          <w:right w:val="single" w:color="000000" w:sz="4" w:space="0" w:themeColor="accent3"/>
          <w:bottom w:val="single" w:color="000000" w:sz="4" w:space="0" w:themeColor="accent3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30">
    <w:name w:val="Grid Table 1 Light - Accent 4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sz w:val="22"/>
      </w:rPr>
      <w:tcPr>
        <w:tcBorders>
          <w:left w:val="single" w:color="000000" w:sz="4" w:space="0" w:themeColor="accent4"/>
          <w:top w:val="single" w:color="000000" w:sz="4" w:space="0" w:themeColor="accent4"/>
          <w:right w:val="single" w:color="000000" w:sz="4" w:space="0" w:themeColor="accent4"/>
          <w:bottom w:val="single" w:color="000000" w:sz="4" w:space="0" w:themeColor="accent4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31">
    <w:name w:val="Grid Table 1 Light - Accent 5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sz w:val="22"/>
      </w:rPr>
      <w:tcPr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32">
    <w:name w:val="Grid Table 1 Light - Accent 6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sz w:val="22"/>
      </w:rPr>
      <w:tcPr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33">
    <w:name w:val="Grid Table 2"/>
    <w:basedOn w:val="84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34">
    <w:name w:val="Grid Table 2 - Accent 1"/>
    <w:basedOn w:val="84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35">
    <w:name w:val="Grid Table 2 - Accent 2"/>
    <w:basedOn w:val="84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36">
    <w:name w:val="Grid Table 2 - Accent 3"/>
    <w:basedOn w:val="84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37">
    <w:name w:val="Grid Table 2 - Accent 4"/>
    <w:basedOn w:val="84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38">
    <w:name w:val="Grid Table 2 - Accent 5"/>
    <w:basedOn w:val="84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9">
    <w:name w:val="Grid Table 2 - Accent 6"/>
    <w:basedOn w:val="84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40">
    <w:name w:val="Grid Table 3"/>
    <w:basedOn w:val="84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i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1">
    <w:name w:val="Grid Table 3 - Accent 1"/>
    <w:basedOn w:val="84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i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2">
    <w:name w:val="Grid Table 3 - Accent 2"/>
    <w:basedOn w:val="84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i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3">
    <w:name w:val="Grid Table 3 - Accent 3"/>
    <w:basedOn w:val="84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i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4">
    <w:name w:val="Grid Table 3 - Accent 4"/>
    <w:basedOn w:val="84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i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5">
    <w:name w:val="Grid Table 3 - Accent 5"/>
    <w:basedOn w:val="84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i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6">
    <w:name w:val="Grid Table 3 - Accent 6"/>
    <w:basedOn w:val="845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i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7">
    <w:name w:val="Grid Table 4"/>
    <w:basedOn w:val="84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text1"/>
        </w:tcBorders>
      </w:tcPr>
    </w:tblStylePr>
  </w:style>
  <w:style w:type="table" w:styleId="748">
    <w:name w:val="Grid Table 4 - Accent 1"/>
    <w:basedOn w:val="84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  <w:tcBorders>
          <w:left w:val="single" w:color="000000" w:sz="4" w:space="0" w:themeColor="accent1"/>
          <w:top w:val="single" w:color="000000" w:sz="4" w:space="0" w:themeColor="accent1"/>
          <w:right w:val="single" w:color="000000" w:sz="4" w:space="0" w:themeColor="accent1"/>
          <w:bottom w:val="single" w:color="000000" w:sz="4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accent1"/>
        </w:tcBorders>
      </w:tcPr>
    </w:tblStylePr>
  </w:style>
  <w:style w:type="table" w:styleId="749">
    <w:name w:val="Grid Table 4 - Accent 2"/>
    <w:basedOn w:val="84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  <w:tcBorders>
          <w:left w:val="single" w:color="000000" w:sz="4" w:space="0" w:themeColor="accent2"/>
          <w:top w:val="single" w:color="000000" w:sz="4" w:space="0" w:themeColor="accent2"/>
          <w:right w:val="single" w:color="000000" w:sz="4" w:space="0" w:themeColor="accent2"/>
          <w:bottom w:val="single" w:color="000000" w:sz="4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accent2"/>
        </w:tcBorders>
      </w:tcPr>
    </w:tblStylePr>
  </w:style>
  <w:style w:type="table" w:styleId="750">
    <w:name w:val="Grid Table 4 - Accent 3"/>
    <w:basedOn w:val="84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  <w:tcBorders>
          <w:left w:val="single" w:color="000000" w:sz="4" w:space="0" w:themeColor="accent3"/>
          <w:top w:val="single" w:color="000000" w:sz="4" w:space="0" w:themeColor="accent3"/>
          <w:right w:val="single" w:color="000000" w:sz="4" w:space="0" w:themeColor="accent3"/>
          <w:bottom w:val="single" w:color="000000" w:sz="4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accent3"/>
        </w:tcBorders>
      </w:tcPr>
    </w:tblStylePr>
  </w:style>
  <w:style w:type="table" w:styleId="751">
    <w:name w:val="Grid Table 4 - Accent 4"/>
    <w:basedOn w:val="84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  <w:tcBorders>
          <w:left w:val="single" w:color="000000" w:sz="4" w:space="0" w:themeColor="accent4"/>
          <w:top w:val="single" w:color="000000" w:sz="4" w:space="0" w:themeColor="accent4"/>
          <w:right w:val="single" w:color="000000" w:sz="4" w:space="0" w:themeColor="accent4"/>
          <w:bottom w:val="single" w:color="000000" w:sz="4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accent4"/>
        </w:tcBorders>
      </w:tcPr>
    </w:tblStylePr>
  </w:style>
  <w:style w:type="table" w:styleId="752">
    <w:name w:val="Grid Table 4 - Accent 5"/>
    <w:basedOn w:val="84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accent5"/>
        </w:tcBorders>
      </w:tcPr>
    </w:tblStylePr>
  </w:style>
  <w:style w:type="table" w:styleId="753">
    <w:name w:val="Grid Table 4 - Accent 6"/>
    <w:basedOn w:val="845"/>
    <w:uiPriority w:val="5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accent6"/>
        </w:tcBorders>
      </w:tcPr>
    </w:tblStylePr>
  </w:style>
  <w:style w:type="table" w:styleId="754">
    <w:name w:val="Grid Table 5 Dark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  <w:tblStylePr w:type="band1Horz">
      <w:tcPr>
        <w:shd w:val="clear" w:color="FFFFFF"/>
      </w:tcPr>
    </w:tblStylePr>
    <w:tblStylePr w:type="band1Vert">
      <w:tcPr>
        <w:shd w:val="clear" w:color="FFFFFF"/>
      </w:tcPr>
    </w:tblStylePr>
    <w:tblStylePr w:type="firstCol">
      <w:rPr>
        <w:b/>
        <w:sz w:val="22"/>
      </w:rPr>
      <w:tcPr>
        <w:shd w:val="clear" w:color="FFFFFF"/>
      </w:tc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  <w:sz w:val="22"/>
      </w:rPr>
      <w:tcPr>
        <w:shd w:val="clear" w:color="FFFFFF"/>
      </w:tcPr>
    </w:tblStylePr>
    <w:tblStylePr w:type="lastRow">
      <w:rPr>
        <w:b/>
        <w:sz w:val="22"/>
      </w:rPr>
      <w:tcPr>
        <w:shd w:val="clear" w:color="FFFFFF"/>
        <w:tcBorders>
          <w:top w:val="single" w:color="000000" w:sz="4" w:space="0" w:themeColor="light1"/>
        </w:tcBorders>
      </w:tcPr>
    </w:tblStylePr>
  </w:style>
  <w:style w:type="table" w:styleId="755">
    <w:name w:val="Grid Table 5 Dark- Accent 1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  <w:tblStylePr w:type="band1Horz">
      <w:tcPr>
        <w:shd w:val="clear" w:color="FFFFFF"/>
      </w:tcPr>
    </w:tblStylePr>
    <w:tblStylePr w:type="band1Vert">
      <w:tcPr>
        <w:shd w:val="clear" w:color="FFFFFF"/>
      </w:tcPr>
    </w:tblStylePr>
    <w:tblStylePr w:type="firstCol">
      <w:rPr>
        <w:b/>
        <w:sz w:val="22"/>
      </w:rPr>
      <w:tcPr>
        <w:shd w:val="clear" w:color="FFFFFF"/>
      </w:tc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  <w:sz w:val="22"/>
      </w:rPr>
      <w:tcPr>
        <w:shd w:val="clear" w:color="FFFFFF"/>
      </w:tcPr>
    </w:tblStylePr>
    <w:tblStylePr w:type="lastRow">
      <w:rPr>
        <w:b/>
        <w:sz w:val="22"/>
      </w:rPr>
      <w:tcPr>
        <w:shd w:val="clear" w:color="FFFFFF"/>
        <w:tcBorders>
          <w:top w:val="single" w:color="000000" w:sz="4" w:space="0" w:themeColor="light1"/>
        </w:tcBorders>
      </w:tcPr>
    </w:tblStylePr>
  </w:style>
  <w:style w:type="table" w:styleId="756">
    <w:name w:val="Grid Table 5 Dark - Accent 2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  <w:tblStylePr w:type="band1Horz">
      <w:tcPr>
        <w:shd w:val="clear" w:color="FFFFFF"/>
      </w:tcPr>
    </w:tblStylePr>
    <w:tblStylePr w:type="band1Vert">
      <w:tcPr>
        <w:shd w:val="clear" w:color="FFFFFF"/>
      </w:tcPr>
    </w:tblStylePr>
    <w:tblStylePr w:type="firstCol">
      <w:rPr>
        <w:b/>
        <w:sz w:val="22"/>
      </w:rPr>
      <w:tcPr>
        <w:shd w:val="clear" w:color="FFFFFF"/>
      </w:tc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  <w:sz w:val="22"/>
      </w:rPr>
      <w:tcPr>
        <w:shd w:val="clear" w:color="FFFFFF"/>
      </w:tcPr>
    </w:tblStylePr>
    <w:tblStylePr w:type="lastRow">
      <w:rPr>
        <w:b/>
        <w:sz w:val="22"/>
      </w:rPr>
      <w:tcPr>
        <w:shd w:val="clear" w:color="FFFFFF"/>
        <w:tcBorders>
          <w:top w:val="single" w:color="000000" w:sz="4" w:space="0" w:themeColor="light1"/>
        </w:tcBorders>
      </w:tcPr>
    </w:tblStylePr>
  </w:style>
  <w:style w:type="table" w:styleId="757">
    <w:name w:val="Grid Table 5 Dark - Accent 3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  <w:tblStylePr w:type="band1Horz">
      <w:tcPr>
        <w:shd w:val="clear" w:color="FFFFFF"/>
      </w:tcPr>
    </w:tblStylePr>
    <w:tblStylePr w:type="band1Vert">
      <w:tcPr>
        <w:shd w:val="clear" w:color="FFFFFF"/>
      </w:tcPr>
    </w:tblStylePr>
    <w:tblStylePr w:type="firstCol">
      <w:rPr>
        <w:b/>
        <w:sz w:val="22"/>
      </w:rPr>
      <w:tcPr>
        <w:shd w:val="clear" w:color="FFFFFF"/>
      </w:tc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  <w:sz w:val="22"/>
      </w:rPr>
      <w:tcPr>
        <w:shd w:val="clear" w:color="FFFFFF"/>
      </w:tcPr>
    </w:tblStylePr>
    <w:tblStylePr w:type="lastRow">
      <w:rPr>
        <w:b/>
        <w:sz w:val="22"/>
      </w:rPr>
      <w:tcPr>
        <w:shd w:val="clear" w:color="FFFFFF"/>
        <w:tcBorders>
          <w:top w:val="single" w:color="000000" w:sz="4" w:space="0" w:themeColor="light1"/>
        </w:tcBorders>
      </w:tcPr>
    </w:tblStylePr>
  </w:style>
  <w:style w:type="table" w:styleId="758">
    <w:name w:val="Grid Table 5 Dark- Accent 4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  <w:tblStylePr w:type="band1Horz">
      <w:tcPr>
        <w:shd w:val="clear" w:color="FFFFFF"/>
      </w:tcPr>
    </w:tblStylePr>
    <w:tblStylePr w:type="band1Vert">
      <w:tcPr>
        <w:shd w:val="clear" w:color="FFFFFF"/>
      </w:tcPr>
    </w:tblStylePr>
    <w:tblStylePr w:type="firstCol">
      <w:rPr>
        <w:b/>
        <w:sz w:val="22"/>
      </w:rPr>
      <w:tcPr>
        <w:shd w:val="clear" w:color="FFFFFF"/>
      </w:tc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  <w:sz w:val="22"/>
      </w:rPr>
      <w:tcPr>
        <w:shd w:val="clear" w:color="FFFFFF"/>
      </w:tcPr>
    </w:tblStylePr>
    <w:tblStylePr w:type="lastRow">
      <w:rPr>
        <w:b/>
        <w:sz w:val="22"/>
      </w:rPr>
      <w:tcPr>
        <w:shd w:val="clear" w:color="FFFFFF"/>
        <w:tcBorders>
          <w:top w:val="single" w:color="000000" w:sz="4" w:space="0" w:themeColor="light1"/>
        </w:tcBorders>
      </w:tcPr>
    </w:tblStylePr>
  </w:style>
  <w:style w:type="table" w:styleId="759">
    <w:name w:val="Grid Table 5 Dark - Accent 5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  <w:tblStylePr w:type="band1Horz">
      <w:tcPr>
        <w:shd w:val="clear" w:color="FFFFFF"/>
      </w:tcPr>
    </w:tblStylePr>
    <w:tblStylePr w:type="band1Vert">
      <w:tcPr>
        <w:shd w:val="clear" w:color="FFFFFF"/>
      </w:tcPr>
    </w:tblStylePr>
    <w:tblStylePr w:type="firstCol">
      <w:rPr>
        <w:b/>
        <w:sz w:val="22"/>
      </w:rPr>
      <w:tcPr>
        <w:shd w:val="clear" w:color="FFFFFF"/>
      </w:tc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  <w:sz w:val="22"/>
      </w:rPr>
      <w:tcPr>
        <w:shd w:val="clear" w:color="FFFFFF"/>
      </w:tcPr>
    </w:tblStylePr>
    <w:tblStylePr w:type="lastRow">
      <w:rPr>
        <w:b/>
        <w:sz w:val="22"/>
      </w:rPr>
      <w:tcPr>
        <w:shd w:val="clear" w:color="FFFFFF"/>
        <w:tcBorders>
          <w:top w:val="single" w:color="000000" w:sz="4" w:space="0" w:themeColor="light1"/>
        </w:tcBorders>
      </w:tcPr>
    </w:tblStylePr>
  </w:style>
  <w:style w:type="table" w:styleId="760">
    <w:name w:val="Grid Table 5 Dark - Accent 6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  <w:tblStylePr w:type="band1Horz">
      <w:tcPr>
        <w:shd w:val="clear" w:color="FFFFFF"/>
      </w:tcPr>
    </w:tblStylePr>
    <w:tblStylePr w:type="band1Vert">
      <w:tcPr>
        <w:shd w:val="clear" w:color="FFFFFF"/>
      </w:tcPr>
    </w:tblStylePr>
    <w:tblStylePr w:type="firstCol">
      <w:rPr>
        <w:b/>
        <w:sz w:val="22"/>
      </w:rPr>
      <w:tcPr>
        <w:shd w:val="clear" w:color="FFFFFF"/>
      </w:tc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  <w:sz w:val="22"/>
      </w:rPr>
      <w:tcPr>
        <w:shd w:val="clear" w:color="FFFFFF"/>
      </w:tcPr>
    </w:tblStylePr>
    <w:tblStylePr w:type="lastRow">
      <w:rPr>
        <w:b/>
        <w:sz w:val="22"/>
      </w:rPr>
      <w:tcPr>
        <w:shd w:val="clear" w:color="FFFFFF"/>
        <w:tcBorders>
          <w:top w:val="single" w:color="000000" w:sz="4" w:space="0" w:themeColor="light1"/>
        </w:tcBorders>
      </w:tcPr>
    </w:tblStylePr>
  </w:style>
  <w:style w:type="table" w:styleId="761">
    <w:name w:val="Grid Table 6 Colorful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762">
    <w:name w:val="Grid Table 6 Colorful - Accent 1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color w:val="317BBA" w:themeColor="accent1" w:themeTint="80" w:themeShade="95"/>
        <w:sz w:val="22"/>
      </w:rPr>
    </w:tblStylePr>
  </w:style>
  <w:style w:type="table" w:styleId="763">
    <w:name w:val="Grid Table 6 Colorful - Accent 2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764">
    <w:name w:val="Grid Table 6 Colorful - Accent 3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606060" w:themeColor="accent3" w:themeTint="FE" w:themeShade="95"/>
        <w:sz w:val="22"/>
      </w:rPr>
    </w:tblStylePr>
  </w:style>
  <w:style w:type="table" w:styleId="765">
    <w:name w:val="Grid Table 6 Colorful - Accent 4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766">
    <w:name w:val="Grid Table 6 Colorful - Accent 5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color w:val="254374" w:themeColor="accent5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254374" w:themeColor="accent5" w:themeShade="95"/>
        <w:sz w:val="22"/>
      </w:rPr>
    </w:tblStylePr>
  </w:style>
  <w:style w:type="table" w:styleId="767">
    <w:name w:val="Grid Table 6 Colorful - Accent 6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color w:val="254374" w:themeColor="accent5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254374" w:themeColor="accent5" w:themeShade="95"/>
        <w:sz w:val="22"/>
      </w:rPr>
    </w:tblStylePr>
  </w:style>
  <w:style w:type="table" w:styleId="768">
    <w:name w:val="Grid Table 7 Colorful"/>
    <w:basedOn w:val="84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/>
          <w:bottom w:val="none" w:color="000000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69">
    <w:name w:val="Grid Table 7 Colorful - Accent 1"/>
    <w:basedOn w:val="84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70">
    <w:name w:val="Grid Table 7 Colorful - Accent 2"/>
    <w:basedOn w:val="84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/>
          <w:bottom w:val="none" w:color="000000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/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71">
    <w:name w:val="Grid Table 7 Colorful - Accent 3"/>
    <w:basedOn w:val="84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/>
          <w:bottom w:val="none" w:color="000000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/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72">
    <w:name w:val="Grid Table 7 Colorful - Accent 4"/>
    <w:basedOn w:val="84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/>
          <w:bottom w:val="none" w:color="000000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/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73">
    <w:name w:val="Grid Table 7 Colorful - Accent 5"/>
    <w:basedOn w:val="84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color w:val="254374" w:themeColor="accent5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/>
          <w:bottom w:val="none" w:color="000000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74">
    <w:name w:val="Grid Table 7 Colorful - Accent 6"/>
    <w:basedOn w:val="84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color w:val="426429" w:themeColor="accent6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/>
          <w:bottom w:val="none" w:color="000000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75">
    <w:name w:val="List Table 1 Light"/>
    <w:basedOn w:val="84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/>
      </w:tcPr>
    </w:tblStylePr>
    <w:tblStylePr w:type="band1Vert">
      <w:tcPr>
        <w:shd w:val="clear" w:color="FFFFF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76">
    <w:name w:val="List Table 1 Light - Accent 1"/>
    <w:basedOn w:val="84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/>
      </w:tcPr>
    </w:tblStylePr>
    <w:tblStylePr w:type="band1Vert">
      <w:tcPr>
        <w:shd w:val="clear" w:color="FFFFF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77">
    <w:name w:val="List Table 1 Light - Accent 2"/>
    <w:basedOn w:val="84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/>
      </w:tcPr>
    </w:tblStylePr>
    <w:tblStylePr w:type="band1Vert">
      <w:tcPr>
        <w:shd w:val="clear" w:color="FFFFF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78">
    <w:name w:val="List Table 1 Light - Accent 3"/>
    <w:basedOn w:val="84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/>
      </w:tcPr>
    </w:tblStylePr>
    <w:tblStylePr w:type="band1Vert">
      <w:tcPr>
        <w:shd w:val="clear" w:color="FFFFF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79">
    <w:name w:val="List Table 1 Light - Accent 4"/>
    <w:basedOn w:val="84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/>
      </w:tcPr>
    </w:tblStylePr>
    <w:tblStylePr w:type="band1Vert">
      <w:tcPr>
        <w:shd w:val="clear" w:color="FFFFF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80">
    <w:name w:val="List Table 1 Light - Accent 5"/>
    <w:basedOn w:val="84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/>
      </w:tcPr>
    </w:tblStylePr>
    <w:tblStylePr w:type="band1Vert">
      <w:tcPr>
        <w:shd w:val="clear" w:color="FFFFF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81">
    <w:name w:val="List Table 1 Light - Accent 6"/>
    <w:basedOn w:val="84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/>
      </w:tcPr>
    </w:tblStylePr>
    <w:tblStylePr w:type="band1Vert">
      <w:tcPr>
        <w:shd w:val="clear" w:color="FFFFF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82">
    <w:name w:val="List Table 2"/>
    <w:basedOn w:val="845"/>
    <w:uiPriority w:val="99"/>
    <w:pPr>
      <w:spacing w:lineRule="auto" w:line="240" w:after="0"/>
    </w:pPr>
    <w:tblPr>
      <w:tblStyleRowBandSize w:val="1"/>
      <w:tblStyleColBandSize w:val="1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</w:style>
  <w:style w:type="table" w:styleId="783">
    <w:name w:val="List Table 2 - Accent 1"/>
    <w:basedOn w:val="845"/>
    <w:uiPriority w:val="99"/>
    <w:pPr>
      <w:spacing w:lineRule="auto" w:line="240" w:after="0"/>
    </w:pPr>
    <w:tblPr>
      <w:tblStyleRowBandSize w:val="1"/>
      <w:tblStyleColBandSize w:val="1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single" w:color="000000" w:sz="4" w:space="0" w:themeColor="accent1"/>
        </w:tcBorders>
      </w:tcPr>
    </w:tblStylePr>
  </w:style>
  <w:style w:type="table" w:styleId="784">
    <w:name w:val="List Table 2 - Accent 2"/>
    <w:basedOn w:val="845"/>
    <w:uiPriority w:val="99"/>
    <w:pPr>
      <w:spacing w:lineRule="auto" w:line="240" w:after="0"/>
    </w:pPr>
    <w:tblPr>
      <w:tblStyleRowBandSize w:val="1"/>
      <w:tblStyleColBandSize w:val="1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single" w:color="000000" w:sz="4" w:space="0" w:themeColor="accent2"/>
        </w:tcBorders>
      </w:tcPr>
    </w:tblStylePr>
  </w:style>
  <w:style w:type="table" w:styleId="785">
    <w:name w:val="List Table 2 - Accent 3"/>
    <w:basedOn w:val="845"/>
    <w:uiPriority w:val="99"/>
    <w:pPr>
      <w:spacing w:lineRule="auto" w:line="240" w:after="0"/>
    </w:pPr>
    <w:tblPr>
      <w:tblStyleRowBandSize w:val="1"/>
      <w:tblStyleColBandSize w:val="1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single" w:color="000000" w:sz="4" w:space="0" w:themeColor="accent3"/>
        </w:tcBorders>
      </w:tcPr>
    </w:tblStylePr>
  </w:style>
  <w:style w:type="table" w:styleId="786">
    <w:name w:val="List Table 2 - Accent 4"/>
    <w:basedOn w:val="845"/>
    <w:uiPriority w:val="99"/>
    <w:pPr>
      <w:spacing w:lineRule="auto" w:line="240" w:after="0"/>
    </w:pPr>
    <w:tblPr>
      <w:tblStyleRowBandSize w:val="1"/>
      <w:tblStyleColBandSize w:val="1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single" w:color="000000" w:sz="4" w:space="0" w:themeColor="accent4"/>
        </w:tcBorders>
      </w:tcPr>
    </w:tblStylePr>
  </w:style>
  <w:style w:type="table" w:styleId="787">
    <w:name w:val="List Table 2 - Accent 5"/>
    <w:basedOn w:val="845"/>
    <w:uiPriority w:val="99"/>
    <w:pPr>
      <w:spacing w:lineRule="auto" w:line="240" w:after="0"/>
    </w:pPr>
    <w:tblPr>
      <w:tblStyleRowBandSize w:val="1"/>
      <w:tblStyleColBandSize w:val="1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single" w:color="000000" w:sz="4" w:space="0" w:themeColor="accent5"/>
        </w:tcBorders>
      </w:tcPr>
    </w:tblStylePr>
  </w:style>
  <w:style w:type="table" w:styleId="788">
    <w:name w:val="List Table 2 - Accent 6"/>
    <w:basedOn w:val="845"/>
    <w:uiPriority w:val="99"/>
    <w:pPr>
      <w:spacing w:lineRule="auto" w:line="240" w:after="0"/>
    </w:pPr>
    <w:tblPr>
      <w:tblStyleRowBandSize w:val="1"/>
      <w:tblStyleColBandSize w:val="1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single" w:color="000000" w:sz="4" w:space="0" w:themeColor="accent6"/>
        </w:tcBorders>
      </w:tcPr>
    </w:tblStylePr>
  </w:style>
  <w:style w:type="table" w:styleId="789">
    <w:name w:val="List Table 3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0">
    <w:name w:val="List Table 3 - Accent 1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1">
    <w:name w:val="List Table 3 - Accent 2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sz w:val="22"/>
      </w:rPr>
      <w:tcPr>
        <w:tcBorders>
          <w:top w:val="single" w:color="000000" w:sz="4" w:space="0" w:themeColor="accent2"/>
          <w:bottom w:val="single" w:color="000000" w:sz="4" w:space="0" w:themeColor="accent2"/>
        </w:tcBorders>
      </w:tcPr>
    </w:tblStylePr>
    <w:tblStylePr w:type="band1Vert">
      <w:rPr>
        <w:sz w:val="22"/>
      </w:rPr>
      <w:tcPr>
        <w:tcBorders>
          <w:left w:val="single" w:color="000000" w:sz="4" w:space="0" w:themeColor="accent2"/>
          <w:right w:val="single" w:color="000000" w:sz="4" w:space="0" w:themeColor="accent2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2">
    <w:name w:val="List Table 3 - Accent 3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sz w:val="22"/>
      </w:rPr>
      <w:tcPr>
        <w:tcBorders>
          <w:top w:val="single" w:color="000000" w:sz="4" w:space="0" w:themeColor="accent3"/>
          <w:bottom w:val="single" w:color="000000" w:sz="4" w:space="0" w:themeColor="accent3"/>
        </w:tcBorders>
      </w:tcPr>
    </w:tblStylePr>
    <w:tblStylePr w:type="band1Vert">
      <w:rPr>
        <w:sz w:val="22"/>
      </w:rPr>
      <w:tcPr>
        <w:tcBorders>
          <w:left w:val="single" w:color="000000" w:sz="4" w:space="0" w:themeColor="accent3"/>
          <w:right w:val="single" w:color="000000" w:sz="4" w:space="0" w:themeColor="accent3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3">
    <w:name w:val="List Table 3 - Accent 4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sz w:val="22"/>
      </w:rPr>
      <w:tcPr>
        <w:tcBorders>
          <w:top w:val="single" w:color="000000" w:sz="4" w:space="0" w:themeColor="accent4"/>
          <w:bottom w:val="single" w:color="000000" w:sz="4" w:space="0" w:themeColor="accent4"/>
        </w:tcBorders>
      </w:tcPr>
    </w:tblStylePr>
    <w:tblStylePr w:type="band1Vert">
      <w:rPr>
        <w:sz w:val="22"/>
      </w:rPr>
      <w:tcPr>
        <w:tcBorders>
          <w:left w:val="single" w:color="000000" w:sz="4" w:space="0" w:themeColor="accent4"/>
          <w:right w:val="single" w:color="000000" w:sz="4" w:space="0" w:themeColor="accent4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4">
    <w:name w:val="List Table 3 - Accent 5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sz w:val="22"/>
      </w:rPr>
      <w:tcPr>
        <w:tcBorders>
          <w:top w:val="single" w:color="000000" w:sz="4" w:space="0" w:themeColor="accent5"/>
          <w:bottom w:val="single" w:color="000000" w:sz="4" w:space="0" w:themeColor="accent5"/>
        </w:tcBorders>
      </w:tcPr>
    </w:tblStylePr>
    <w:tblStylePr w:type="band1Vert">
      <w:rPr>
        <w:sz w:val="22"/>
      </w:rPr>
      <w:tcPr>
        <w:tcBorders>
          <w:left w:val="single" w:color="000000" w:sz="4" w:space="0" w:themeColor="accent5"/>
          <w:right w:val="single" w:color="000000" w:sz="4" w:space="0" w:themeColor="accent5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5">
    <w:name w:val="List Table 3 - Accent 6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sz w:val="22"/>
      </w:rPr>
      <w:tcPr>
        <w:tcBorders>
          <w:top w:val="single" w:color="000000" w:sz="4" w:space="0" w:themeColor="accent6"/>
          <w:bottom w:val="single" w:color="000000" w:sz="4" w:space="0" w:themeColor="accent6"/>
        </w:tcBorders>
      </w:tcPr>
    </w:tblStylePr>
    <w:tblStylePr w:type="band1Vert">
      <w:rPr>
        <w:sz w:val="22"/>
      </w:rPr>
      <w:tcPr>
        <w:tcBorders>
          <w:left w:val="single" w:color="000000" w:sz="4" w:space="0" w:themeColor="accent6"/>
          <w:right w:val="single" w:color="000000" w:sz="4" w:space="0" w:themeColor="accent6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6">
    <w:name w:val="List Table 4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7">
    <w:name w:val="List Table 4 - Accent 1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8">
    <w:name w:val="List Table 4 - Accent 2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9">
    <w:name w:val="List Table 4 - Accent 3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0">
    <w:name w:val="List Table 4 - Accent 4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1">
    <w:name w:val="List Table 4 - Accent 5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2">
    <w:name w:val="List Table 4 - Accent 6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sz w:val="22"/>
      </w:rPr>
      <w:tcPr>
        <w:shd w:val="clear" w:color="FFFFFF"/>
      </w:tcPr>
    </w:tblStylePr>
    <w:tblStylePr w:type="band1Vert">
      <w:rPr>
        <w:sz w:val="22"/>
      </w:rPr>
      <w:tcPr>
        <w:shd w:val="clear" w:color="FFFFF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3">
    <w:name w:val="List Table 5 Dark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</w:tblPr>
    <w:tblStylePr w:type="band1Horz">
      <w:tcPr>
        <w:shd w:val="clear" w:color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text1"/>
          <w:right w:val="single" w:color="000000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/>
        <w:tcBorders>
          <w:top w:val="single" w:color="000000" w:sz="32" w:space="0" w:themeColor="tex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04">
    <w:name w:val="List Table 5 Dark - Accent 1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</w:tblPr>
    <w:tblStylePr w:type="band1Horz">
      <w:tcPr>
        <w:shd w:val="clear" w:color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05">
    <w:name w:val="List Table 5 Dark - Accent 2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</w:tblPr>
    <w:tblStylePr w:type="band1Horz">
      <w:tcPr>
        <w:shd w:val="clear" w:color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accent2"/>
          <w:right w:val="single" w:color="000000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/>
        <w:tcBorders>
          <w:top w:val="single" w:color="000000" w:sz="32" w:space="0" w:themeColor="accent2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06">
    <w:name w:val="List Table 5 Dark - Accent 3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</w:tblPr>
    <w:tblStylePr w:type="band1Horz">
      <w:tcPr>
        <w:shd w:val="clear" w:color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accent3"/>
          <w:right w:val="single" w:color="000000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/>
        <w:tcBorders>
          <w:top w:val="single" w:color="000000" w:sz="32" w:space="0" w:themeColor="accent3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07">
    <w:name w:val="List Table 5 Dark - Accent 4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</w:tblPr>
    <w:tblStylePr w:type="band1Horz">
      <w:tcPr>
        <w:shd w:val="clear" w:color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accent4"/>
          <w:right w:val="single" w:color="000000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/>
        <w:tcBorders>
          <w:top w:val="single" w:color="000000" w:sz="32" w:space="0" w:themeColor="accent4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08">
    <w:name w:val="List Table 5 Dark - Accent 5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</w:tblPr>
    <w:tblStylePr w:type="band1Horz">
      <w:tcPr>
        <w:shd w:val="clear" w:color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accent5"/>
          <w:right w:val="single" w:color="000000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/>
        <w:tcBorders>
          <w:top w:val="single" w:color="000000" w:sz="32" w:space="0" w:themeColor="accent5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09">
    <w:name w:val="List Table 5 Dark - Accent 6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</w:tblPr>
    <w:tblStylePr w:type="band1Horz">
      <w:tcPr>
        <w:shd w:val="clear" w:color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accent6"/>
          <w:right w:val="single" w:color="000000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/>
        <w:tcBorders>
          <w:top w:val="single" w:color="000000" w:sz="32" w:space="0" w:themeColor="accent6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0">
    <w:name w:val="List Table 6 Colorful"/>
    <w:basedOn w:val="845"/>
    <w:uiPriority w:val="99"/>
    <w:pPr>
      <w:spacing w:lineRule="auto" w:line="240" w:after="0"/>
    </w:pPr>
    <w:tblPr>
      <w:tblStyleRowBandSize w:val="1"/>
      <w:tblStyleColBandSize w:val="1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color w:val="000000" w:themeColor="text1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/>
        </w:tcBorders>
      </w:tcPr>
    </w:tblStylePr>
  </w:style>
  <w:style w:type="table" w:styleId="811">
    <w:name w:val="List Table 6 Colorful - Accent 1"/>
    <w:basedOn w:val="845"/>
    <w:uiPriority w:val="99"/>
    <w:pPr>
      <w:spacing w:lineRule="auto" w:line="240" w:after="0"/>
    </w:pPr>
    <w:tblPr>
      <w:tblStyleRowBandSize w:val="1"/>
      <w:tblStyleColBandSize w:val="1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color w:val="245D8D" w:themeColor="accent1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12">
    <w:name w:val="List Table 6 Colorful - Accent 2"/>
    <w:basedOn w:val="845"/>
    <w:uiPriority w:val="99"/>
    <w:pPr>
      <w:spacing w:lineRule="auto" w:line="240" w:after="0"/>
    </w:pPr>
    <w:tblPr>
      <w:tblStyleRowBandSize w:val="1"/>
      <w:tblStyleColBandSize w:val="1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/>
        </w:tcBorders>
      </w:tcPr>
    </w:tblStylePr>
  </w:style>
  <w:style w:type="table" w:styleId="813">
    <w:name w:val="List Table 6 Colorful - Accent 3"/>
    <w:basedOn w:val="845"/>
    <w:uiPriority w:val="99"/>
    <w:pPr>
      <w:spacing w:lineRule="auto" w:line="240" w:after="0"/>
    </w:pPr>
    <w:tblPr>
      <w:tblStyleRowBandSize w:val="1"/>
      <w:tblStyleColBandSize w:val="1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/>
        </w:tcBorders>
      </w:tcPr>
    </w:tblStylePr>
  </w:style>
  <w:style w:type="table" w:styleId="814">
    <w:name w:val="List Table 6 Colorful - Accent 4"/>
    <w:basedOn w:val="845"/>
    <w:uiPriority w:val="99"/>
    <w:pPr>
      <w:spacing w:lineRule="auto" w:line="240" w:after="0"/>
    </w:pPr>
    <w:tblPr>
      <w:tblStyleRowBandSize w:val="1"/>
      <w:tblStyleColBandSize w:val="1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/>
        </w:tcBorders>
      </w:tcPr>
    </w:tblStylePr>
  </w:style>
  <w:style w:type="table" w:styleId="815">
    <w:name w:val="List Table 6 Colorful - Accent 5"/>
    <w:basedOn w:val="845"/>
    <w:uiPriority w:val="99"/>
    <w:pPr>
      <w:spacing w:lineRule="auto" w:line="240" w:after="0"/>
    </w:pPr>
    <w:tblPr>
      <w:tblStyleRowBandSize w:val="1"/>
      <w:tblStyleColBandSize w:val="1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/>
        </w:tcBorders>
      </w:tcPr>
    </w:tblStylePr>
  </w:style>
  <w:style w:type="table" w:styleId="816">
    <w:name w:val="List Table 6 Colorful - Accent 6"/>
    <w:basedOn w:val="845"/>
    <w:uiPriority w:val="99"/>
    <w:pPr>
      <w:spacing w:lineRule="auto" w:line="240" w:after="0"/>
    </w:pPr>
    <w:tblPr>
      <w:tblStyleRowBandSize w:val="1"/>
      <w:tblStyleColBandSize w:val="1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/>
        </w:tcBorders>
      </w:tcPr>
    </w:tblStylePr>
  </w:style>
  <w:style w:type="table" w:styleId="817">
    <w:name w:val="List Table 7 Colorful"/>
    <w:basedOn w:val="84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000000" w:sz="4" w:space="0" w:themeColor="text1" w:themeTint="8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/>
          <w:bottom w:val="none" w:color="000000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84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000000" w:sz="4" w:space="0" w:themeColor="accent1"/>
      </w:tblBorders>
    </w:tblPr>
    <w:tblStylePr w:type="band1Horz">
      <w:rPr>
        <w:color w:val="245D8D" w:themeColor="accent1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color w:val="245D8D" w:themeColor="accent1" w:themeShade="95"/>
        <w:sz w:val="22"/>
      </w:rPr>
    </w:tblStylePr>
  </w:style>
  <w:style w:type="table" w:styleId="819">
    <w:name w:val="List Table 7 Colorful - Accent 2"/>
    <w:basedOn w:val="84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000000" w:sz="4" w:space="0" w:themeColor="accent2" w:themeTint="97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/>
          <w:bottom w:val="none" w:color="000000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/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820">
    <w:name w:val="List Table 7 Colorful - Accent 3"/>
    <w:basedOn w:val="84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000000" w:sz="4" w:space="0" w:themeColor="accent3" w:themeTint="98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/>
          <w:bottom w:val="none" w:color="000000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/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821">
    <w:name w:val="List Table 7 Colorful - Accent 4"/>
    <w:basedOn w:val="84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000000" w:sz="4" w:space="0" w:themeColor="accent4" w:themeTint="9A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/>
          <w:bottom w:val="none" w:color="000000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/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822">
    <w:name w:val="List Table 7 Colorful - Accent 5"/>
    <w:basedOn w:val="84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000000" w:sz="4" w:space="0" w:themeColor="accent5" w:themeTint="9A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/>
          <w:bottom w:val="none" w:color="000000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  <w:tblStylePr w:type="wholeTable">
      <w:rPr>
        <w:color w:val="335E9E" w:themeColor="accent5" w:themeTint="9A" w:themeShade="95"/>
        <w:sz w:val="22"/>
      </w:rPr>
    </w:tblStylePr>
  </w:style>
  <w:style w:type="table" w:styleId="823">
    <w:name w:val="List Table 7 Colorful - Accent 6"/>
    <w:basedOn w:val="845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000000" w:sz="4" w:space="0" w:themeColor="accent6" w:themeTint="98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/>
      </w:tcPr>
    </w:tblStylePr>
    <w:tblStylePr w:type="band1Vert">
      <w:tcPr>
        <w:shd w:val="clear" w:color="FFFFFF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/>
          <w:bottom w:val="none" w:color="000000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824">
    <w:name w:val="Lined - Accent"/>
    <w:basedOn w:val="84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/>
      </w:tcPr>
    </w:tblStylePr>
    <w:tblStylePr w:type="band2Vert">
      <w:rPr>
        <w:sz w:val="22"/>
      </w:rPr>
      <w:tcPr>
        <w:shd w:val="clear" w:color="FFFFFF"/>
      </w:tcPr>
    </w:tblStylePr>
    <w:tblStylePr w:type="firstCol">
      <w:rPr>
        <w:sz w:val="22"/>
      </w:rPr>
      <w:tcPr>
        <w:shd w:val="clear" w:color="FFFFFF"/>
      </w:tcPr>
    </w:tblStylePr>
    <w:tblStylePr w:type="firstRow">
      <w:rPr>
        <w:sz w:val="22"/>
      </w:rPr>
      <w:tcPr>
        <w:shd w:val="clear" w:color="FFFFFF"/>
      </w:tcPr>
    </w:tblStylePr>
    <w:tblStylePr w:type="lastCol">
      <w:rPr>
        <w:sz w:val="22"/>
      </w:rPr>
      <w:tcPr>
        <w:shd w:val="clear" w:color="FFFFFF"/>
      </w:tcPr>
    </w:tblStylePr>
    <w:tblStylePr w:type="lastRow">
      <w:rPr>
        <w:sz w:val="22"/>
      </w:rPr>
      <w:tcPr>
        <w:shd w:val="clear" w:color="FFFFFF"/>
      </w:tcPr>
    </w:tblStylePr>
  </w:style>
  <w:style w:type="table" w:styleId="825">
    <w:name w:val="Lined - Accent 1"/>
    <w:basedOn w:val="84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/>
      </w:tcPr>
    </w:tblStylePr>
    <w:tblStylePr w:type="band2Vert">
      <w:rPr>
        <w:sz w:val="22"/>
      </w:rPr>
      <w:tcPr>
        <w:shd w:val="clear" w:color="FFFFFF"/>
      </w:tcPr>
    </w:tblStylePr>
    <w:tblStylePr w:type="firstCol">
      <w:rPr>
        <w:sz w:val="22"/>
      </w:rPr>
      <w:tcPr>
        <w:shd w:val="clear" w:color="FFFFFF"/>
      </w:tcPr>
    </w:tblStylePr>
    <w:tblStylePr w:type="firstRow">
      <w:rPr>
        <w:sz w:val="22"/>
      </w:rPr>
      <w:tcPr>
        <w:shd w:val="clear" w:color="FFFFFF"/>
      </w:tcPr>
    </w:tblStylePr>
    <w:tblStylePr w:type="lastCol">
      <w:rPr>
        <w:sz w:val="22"/>
      </w:rPr>
      <w:tcPr>
        <w:shd w:val="clear" w:color="FFFFFF"/>
      </w:tcPr>
    </w:tblStylePr>
    <w:tblStylePr w:type="lastRow">
      <w:rPr>
        <w:sz w:val="22"/>
      </w:rPr>
      <w:tcPr>
        <w:shd w:val="clear" w:color="FFFFFF"/>
      </w:tcPr>
    </w:tblStylePr>
  </w:style>
  <w:style w:type="table" w:styleId="826">
    <w:name w:val="Lined - Accent 2"/>
    <w:basedOn w:val="84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/>
      </w:tcPr>
    </w:tblStylePr>
    <w:tblStylePr w:type="band2Vert">
      <w:rPr>
        <w:sz w:val="22"/>
      </w:rPr>
      <w:tcPr>
        <w:shd w:val="clear" w:color="FFFFFF"/>
      </w:tcPr>
    </w:tblStylePr>
    <w:tblStylePr w:type="firstCol">
      <w:rPr>
        <w:sz w:val="22"/>
      </w:rPr>
      <w:tcPr>
        <w:shd w:val="clear" w:color="FFFFFF"/>
      </w:tcPr>
    </w:tblStylePr>
    <w:tblStylePr w:type="firstRow">
      <w:rPr>
        <w:sz w:val="22"/>
      </w:rPr>
      <w:tcPr>
        <w:shd w:val="clear" w:color="FFFFFF"/>
      </w:tcPr>
    </w:tblStylePr>
    <w:tblStylePr w:type="lastCol">
      <w:rPr>
        <w:sz w:val="22"/>
      </w:rPr>
      <w:tcPr>
        <w:shd w:val="clear" w:color="FFFFFF"/>
      </w:tcPr>
    </w:tblStylePr>
    <w:tblStylePr w:type="lastRow">
      <w:rPr>
        <w:sz w:val="22"/>
      </w:rPr>
      <w:tcPr>
        <w:shd w:val="clear" w:color="FFFFFF"/>
      </w:tcPr>
    </w:tblStylePr>
  </w:style>
  <w:style w:type="table" w:styleId="827">
    <w:name w:val="Lined - Accent 3"/>
    <w:basedOn w:val="84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/>
      </w:tcPr>
    </w:tblStylePr>
    <w:tblStylePr w:type="band2Vert">
      <w:rPr>
        <w:sz w:val="22"/>
      </w:rPr>
      <w:tcPr>
        <w:shd w:val="clear" w:color="FFFFFF"/>
      </w:tcPr>
    </w:tblStylePr>
    <w:tblStylePr w:type="firstCol">
      <w:rPr>
        <w:sz w:val="22"/>
      </w:rPr>
      <w:tcPr>
        <w:shd w:val="clear" w:color="FFFFFF"/>
      </w:tcPr>
    </w:tblStylePr>
    <w:tblStylePr w:type="firstRow">
      <w:rPr>
        <w:sz w:val="22"/>
      </w:rPr>
      <w:tcPr>
        <w:shd w:val="clear" w:color="FFFFFF"/>
      </w:tcPr>
    </w:tblStylePr>
    <w:tblStylePr w:type="lastCol">
      <w:rPr>
        <w:sz w:val="22"/>
      </w:rPr>
      <w:tcPr>
        <w:shd w:val="clear" w:color="FFFFFF"/>
      </w:tcPr>
    </w:tblStylePr>
    <w:tblStylePr w:type="lastRow">
      <w:rPr>
        <w:sz w:val="22"/>
      </w:rPr>
      <w:tcPr>
        <w:shd w:val="clear" w:color="FFFFFF"/>
      </w:tcPr>
    </w:tblStylePr>
  </w:style>
  <w:style w:type="table" w:styleId="828">
    <w:name w:val="Lined - Accent 4"/>
    <w:basedOn w:val="84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/>
      </w:tcPr>
    </w:tblStylePr>
    <w:tblStylePr w:type="band2Vert">
      <w:rPr>
        <w:sz w:val="22"/>
      </w:rPr>
      <w:tcPr>
        <w:shd w:val="clear" w:color="FFFFFF"/>
      </w:tcPr>
    </w:tblStylePr>
    <w:tblStylePr w:type="firstCol">
      <w:rPr>
        <w:sz w:val="22"/>
      </w:rPr>
      <w:tcPr>
        <w:shd w:val="clear" w:color="FFFFFF"/>
      </w:tcPr>
    </w:tblStylePr>
    <w:tblStylePr w:type="firstRow">
      <w:rPr>
        <w:sz w:val="22"/>
      </w:rPr>
      <w:tcPr>
        <w:shd w:val="clear" w:color="FFFFFF"/>
      </w:tcPr>
    </w:tblStylePr>
    <w:tblStylePr w:type="lastCol">
      <w:rPr>
        <w:sz w:val="22"/>
      </w:rPr>
      <w:tcPr>
        <w:shd w:val="clear" w:color="FFFFFF"/>
      </w:tcPr>
    </w:tblStylePr>
    <w:tblStylePr w:type="lastRow">
      <w:rPr>
        <w:sz w:val="22"/>
      </w:rPr>
      <w:tcPr>
        <w:shd w:val="clear" w:color="FFFFFF"/>
      </w:tcPr>
    </w:tblStylePr>
  </w:style>
  <w:style w:type="table" w:styleId="829">
    <w:name w:val="Lined - Accent 5"/>
    <w:basedOn w:val="84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/>
      </w:tcPr>
    </w:tblStylePr>
    <w:tblStylePr w:type="band2Vert">
      <w:rPr>
        <w:sz w:val="22"/>
      </w:rPr>
      <w:tcPr>
        <w:shd w:val="clear" w:color="FFFFFF"/>
      </w:tcPr>
    </w:tblStylePr>
    <w:tblStylePr w:type="firstCol">
      <w:rPr>
        <w:sz w:val="22"/>
      </w:rPr>
      <w:tcPr>
        <w:shd w:val="clear" w:color="FFFFFF"/>
      </w:tcPr>
    </w:tblStylePr>
    <w:tblStylePr w:type="firstRow">
      <w:rPr>
        <w:sz w:val="22"/>
      </w:rPr>
      <w:tcPr>
        <w:shd w:val="clear" w:color="FFFFFF"/>
      </w:tcPr>
    </w:tblStylePr>
    <w:tblStylePr w:type="lastCol">
      <w:rPr>
        <w:sz w:val="22"/>
      </w:rPr>
      <w:tcPr>
        <w:shd w:val="clear" w:color="FFFFFF"/>
      </w:tcPr>
    </w:tblStylePr>
    <w:tblStylePr w:type="lastRow">
      <w:rPr>
        <w:sz w:val="22"/>
      </w:rPr>
      <w:tcPr>
        <w:shd w:val="clear" w:color="FFFFFF"/>
      </w:tcPr>
    </w:tblStylePr>
  </w:style>
  <w:style w:type="table" w:styleId="830">
    <w:name w:val="Lined - Accent 6"/>
    <w:basedOn w:val="845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/>
      </w:tcPr>
    </w:tblStylePr>
    <w:tblStylePr w:type="band2Vert">
      <w:rPr>
        <w:sz w:val="22"/>
      </w:rPr>
      <w:tcPr>
        <w:shd w:val="clear" w:color="FFFFFF"/>
      </w:tcPr>
    </w:tblStylePr>
    <w:tblStylePr w:type="firstCol">
      <w:rPr>
        <w:sz w:val="22"/>
      </w:rPr>
      <w:tcPr>
        <w:shd w:val="clear" w:color="FFFFFF"/>
      </w:tcPr>
    </w:tblStylePr>
    <w:tblStylePr w:type="firstRow">
      <w:rPr>
        <w:sz w:val="22"/>
      </w:rPr>
      <w:tcPr>
        <w:shd w:val="clear" w:color="FFFFFF"/>
      </w:tcPr>
    </w:tblStylePr>
    <w:tblStylePr w:type="lastCol">
      <w:rPr>
        <w:sz w:val="22"/>
      </w:rPr>
      <w:tcPr>
        <w:shd w:val="clear" w:color="FFFFFF"/>
      </w:tcPr>
    </w:tblStylePr>
    <w:tblStylePr w:type="lastRow">
      <w:rPr>
        <w:sz w:val="22"/>
      </w:rPr>
      <w:tcPr>
        <w:shd w:val="clear" w:color="FFFFFF"/>
      </w:tcPr>
    </w:tblStylePr>
  </w:style>
  <w:style w:type="table" w:styleId="831">
    <w:name w:val="Bordered &amp; Lined - Accent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/>
      </w:tcPr>
    </w:tblStylePr>
    <w:tblStylePr w:type="band2Vert">
      <w:rPr>
        <w:sz w:val="22"/>
      </w:rPr>
      <w:tcPr>
        <w:shd w:val="clear" w:color="FFFFFF"/>
      </w:tcPr>
    </w:tblStylePr>
    <w:tblStylePr w:type="firstCol">
      <w:rPr>
        <w:sz w:val="22"/>
      </w:rPr>
      <w:tcPr>
        <w:shd w:val="clear" w:color="FFFFFF"/>
      </w:tcPr>
    </w:tblStylePr>
    <w:tblStylePr w:type="firstRow">
      <w:rPr>
        <w:sz w:val="22"/>
      </w:rPr>
      <w:tcPr>
        <w:shd w:val="clear" w:color="FFFFFF"/>
      </w:tcPr>
    </w:tblStylePr>
    <w:tblStylePr w:type="lastCol">
      <w:rPr>
        <w:sz w:val="22"/>
      </w:rPr>
      <w:tcPr>
        <w:shd w:val="clear" w:color="FFFFFF"/>
      </w:tcPr>
    </w:tblStylePr>
    <w:tblStylePr w:type="lastRow">
      <w:rPr>
        <w:sz w:val="22"/>
      </w:rPr>
      <w:tcPr>
        <w:shd w:val="clear" w:color="FFFFFF"/>
      </w:tcPr>
    </w:tblStylePr>
  </w:style>
  <w:style w:type="table" w:styleId="832">
    <w:name w:val="Bordered &amp; Lined - Accent 1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  <w:insideV w:val="single" w:color="000000" w:sz="4" w:space="0" w:themeColor="accent1"/>
        <w:insideH w:val="single" w:color="000000" w:sz="4" w:space="0" w:themeColor="accent1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/>
      </w:tcPr>
    </w:tblStylePr>
    <w:tblStylePr w:type="band2Vert">
      <w:rPr>
        <w:sz w:val="22"/>
      </w:rPr>
      <w:tcPr>
        <w:shd w:val="clear" w:color="FFFFFF"/>
      </w:tcPr>
    </w:tblStylePr>
    <w:tblStylePr w:type="firstCol">
      <w:rPr>
        <w:sz w:val="22"/>
      </w:rPr>
      <w:tcPr>
        <w:shd w:val="clear" w:color="FFFFFF"/>
      </w:tcPr>
    </w:tblStylePr>
    <w:tblStylePr w:type="firstRow">
      <w:rPr>
        <w:sz w:val="22"/>
      </w:rPr>
      <w:tcPr>
        <w:shd w:val="clear" w:color="FFFFFF"/>
      </w:tcPr>
    </w:tblStylePr>
    <w:tblStylePr w:type="lastCol">
      <w:rPr>
        <w:sz w:val="22"/>
      </w:rPr>
      <w:tcPr>
        <w:shd w:val="clear" w:color="FFFFFF"/>
      </w:tcPr>
    </w:tblStylePr>
    <w:tblStylePr w:type="lastRow">
      <w:rPr>
        <w:sz w:val="22"/>
      </w:rPr>
      <w:tcPr>
        <w:shd w:val="clear" w:color="FFFFFF"/>
      </w:tcPr>
    </w:tblStylePr>
  </w:style>
  <w:style w:type="table" w:styleId="833">
    <w:name w:val="Bordered &amp; Lined - Accent 2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2"/>
        <w:top w:val="single" w:color="000000" w:sz="4" w:space="0" w:themeColor="accent2"/>
        <w:right w:val="single" w:color="000000" w:sz="4" w:space="0" w:themeColor="accent2"/>
        <w:bottom w:val="single" w:color="000000" w:sz="4" w:space="0" w:themeColor="accent2"/>
        <w:insideV w:val="single" w:color="000000" w:sz="4" w:space="0" w:themeColor="accent2"/>
        <w:insideH w:val="single" w:color="000000" w:sz="4" w:space="0" w:themeColor="accent2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/>
      </w:tcPr>
    </w:tblStylePr>
    <w:tblStylePr w:type="band2Vert">
      <w:rPr>
        <w:sz w:val="22"/>
      </w:rPr>
      <w:tcPr>
        <w:shd w:val="clear" w:color="FFFFFF"/>
      </w:tcPr>
    </w:tblStylePr>
    <w:tblStylePr w:type="firstCol">
      <w:rPr>
        <w:sz w:val="22"/>
      </w:rPr>
      <w:tcPr>
        <w:shd w:val="clear" w:color="FFFFFF"/>
      </w:tcPr>
    </w:tblStylePr>
    <w:tblStylePr w:type="firstRow">
      <w:rPr>
        <w:sz w:val="22"/>
      </w:rPr>
      <w:tcPr>
        <w:shd w:val="clear" w:color="FFFFFF"/>
      </w:tcPr>
    </w:tblStylePr>
    <w:tblStylePr w:type="lastCol">
      <w:rPr>
        <w:sz w:val="22"/>
      </w:rPr>
      <w:tcPr>
        <w:shd w:val="clear" w:color="FFFFFF"/>
      </w:tcPr>
    </w:tblStylePr>
    <w:tblStylePr w:type="lastRow">
      <w:rPr>
        <w:sz w:val="22"/>
      </w:rPr>
      <w:tcPr>
        <w:shd w:val="clear" w:color="FFFFFF"/>
      </w:tcPr>
    </w:tblStylePr>
  </w:style>
  <w:style w:type="table" w:styleId="834">
    <w:name w:val="Bordered &amp; Lined - Accent 3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3"/>
        <w:top w:val="single" w:color="000000" w:sz="4" w:space="0" w:themeColor="accent3"/>
        <w:right w:val="single" w:color="000000" w:sz="4" w:space="0" w:themeColor="accent3"/>
        <w:bottom w:val="single" w:color="000000" w:sz="4" w:space="0" w:themeColor="accent3"/>
        <w:insideV w:val="single" w:color="000000" w:sz="4" w:space="0" w:themeColor="accent3"/>
        <w:insideH w:val="single" w:color="000000" w:sz="4" w:space="0" w:themeColor="accent3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/>
      </w:tcPr>
    </w:tblStylePr>
    <w:tblStylePr w:type="band2Vert">
      <w:rPr>
        <w:sz w:val="22"/>
      </w:rPr>
      <w:tcPr>
        <w:shd w:val="clear" w:color="FFFFFF"/>
      </w:tcPr>
    </w:tblStylePr>
    <w:tblStylePr w:type="firstCol">
      <w:rPr>
        <w:sz w:val="22"/>
      </w:rPr>
      <w:tcPr>
        <w:shd w:val="clear" w:color="FFFFFF"/>
      </w:tcPr>
    </w:tblStylePr>
    <w:tblStylePr w:type="firstRow">
      <w:rPr>
        <w:sz w:val="22"/>
      </w:rPr>
      <w:tcPr>
        <w:shd w:val="clear" w:color="FFFFFF"/>
      </w:tcPr>
    </w:tblStylePr>
    <w:tblStylePr w:type="lastCol">
      <w:rPr>
        <w:sz w:val="22"/>
      </w:rPr>
      <w:tcPr>
        <w:shd w:val="clear" w:color="FFFFFF"/>
      </w:tcPr>
    </w:tblStylePr>
    <w:tblStylePr w:type="lastRow">
      <w:rPr>
        <w:sz w:val="22"/>
      </w:rPr>
      <w:tcPr>
        <w:shd w:val="clear" w:color="FFFFFF"/>
      </w:tcPr>
    </w:tblStylePr>
  </w:style>
  <w:style w:type="table" w:styleId="835">
    <w:name w:val="Bordered &amp; Lined - Accent 4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4"/>
        <w:top w:val="single" w:color="000000" w:sz="4" w:space="0" w:themeColor="accent4"/>
        <w:right w:val="single" w:color="000000" w:sz="4" w:space="0" w:themeColor="accent4"/>
        <w:bottom w:val="single" w:color="000000" w:sz="4" w:space="0" w:themeColor="accent4"/>
        <w:insideV w:val="single" w:color="000000" w:sz="4" w:space="0" w:themeColor="accent4"/>
        <w:insideH w:val="single" w:color="000000" w:sz="4" w:space="0" w:themeColor="accent4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/>
      </w:tcPr>
    </w:tblStylePr>
    <w:tblStylePr w:type="band2Vert">
      <w:rPr>
        <w:sz w:val="22"/>
      </w:rPr>
      <w:tcPr>
        <w:shd w:val="clear" w:color="FFFFFF"/>
      </w:tcPr>
    </w:tblStylePr>
    <w:tblStylePr w:type="firstCol">
      <w:rPr>
        <w:sz w:val="22"/>
      </w:rPr>
      <w:tcPr>
        <w:shd w:val="clear" w:color="FFFFFF"/>
      </w:tcPr>
    </w:tblStylePr>
    <w:tblStylePr w:type="firstRow">
      <w:rPr>
        <w:sz w:val="22"/>
      </w:rPr>
      <w:tcPr>
        <w:shd w:val="clear" w:color="FFFFFF"/>
      </w:tcPr>
    </w:tblStylePr>
    <w:tblStylePr w:type="lastCol">
      <w:rPr>
        <w:sz w:val="22"/>
      </w:rPr>
      <w:tcPr>
        <w:shd w:val="clear" w:color="FFFFFF"/>
      </w:tcPr>
    </w:tblStylePr>
    <w:tblStylePr w:type="lastRow">
      <w:rPr>
        <w:sz w:val="22"/>
      </w:rPr>
      <w:tcPr>
        <w:shd w:val="clear" w:color="FFFFFF"/>
      </w:tcPr>
    </w:tblStylePr>
  </w:style>
  <w:style w:type="table" w:styleId="836">
    <w:name w:val="Bordered &amp; Lined - Accent 5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/>
      </w:tcPr>
    </w:tblStylePr>
    <w:tblStylePr w:type="band2Vert">
      <w:rPr>
        <w:sz w:val="22"/>
      </w:rPr>
      <w:tcPr>
        <w:shd w:val="clear" w:color="FFFFFF"/>
      </w:tcPr>
    </w:tblStylePr>
    <w:tblStylePr w:type="firstCol">
      <w:rPr>
        <w:sz w:val="22"/>
      </w:rPr>
      <w:tcPr>
        <w:shd w:val="clear" w:color="FFFFFF"/>
      </w:tcPr>
    </w:tblStylePr>
    <w:tblStylePr w:type="firstRow">
      <w:rPr>
        <w:sz w:val="22"/>
      </w:rPr>
      <w:tcPr>
        <w:shd w:val="clear" w:color="FFFFFF"/>
      </w:tcPr>
    </w:tblStylePr>
    <w:tblStylePr w:type="lastCol">
      <w:rPr>
        <w:sz w:val="22"/>
      </w:rPr>
      <w:tcPr>
        <w:shd w:val="clear" w:color="FFFFFF"/>
      </w:tcPr>
    </w:tblStylePr>
    <w:tblStylePr w:type="lastRow">
      <w:rPr>
        <w:sz w:val="22"/>
      </w:rPr>
      <w:tcPr>
        <w:shd w:val="clear" w:color="FFFFFF"/>
      </w:tcPr>
    </w:tblStylePr>
  </w:style>
  <w:style w:type="table" w:styleId="837">
    <w:name w:val="Bordered &amp; Lined - Accent 6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/>
      </w:tcPr>
    </w:tblStylePr>
    <w:tblStylePr w:type="band2Vert">
      <w:rPr>
        <w:sz w:val="22"/>
      </w:rPr>
      <w:tcPr>
        <w:shd w:val="clear" w:color="FFFFFF"/>
      </w:tcPr>
    </w:tblStylePr>
    <w:tblStylePr w:type="firstCol">
      <w:rPr>
        <w:sz w:val="22"/>
      </w:rPr>
      <w:tcPr>
        <w:shd w:val="clear" w:color="FFFFFF"/>
      </w:tcPr>
    </w:tblStylePr>
    <w:tblStylePr w:type="firstRow">
      <w:rPr>
        <w:sz w:val="22"/>
      </w:rPr>
      <w:tcPr>
        <w:shd w:val="clear" w:color="FFFFFF"/>
      </w:tcPr>
    </w:tblStylePr>
    <w:tblStylePr w:type="lastCol">
      <w:rPr>
        <w:sz w:val="22"/>
      </w:rPr>
      <w:tcPr>
        <w:shd w:val="clear" w:color="FFFFFF"/>
      </w:tcPr>
    </w:tblStylePr>
    <w:tblStylePr w:type="lastRow">
      <w:rPr>
        <w:sz w:val="22"/>
      </w:rPr>
      <w:tcPr>
        <w:shd w:val="clear" w:color="FFFFFF"/>
      </w:tcPr>
    </w:tblStylePr>
  </w:style>
  <w:style w:type="table" w:styleId="838">
    <w:name w:val="Bordered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sz="12" w:space="0" w:themeColor="text1"/>
        </w:tcBorders>
      </w:tcPr>
    </w:tblStylePr>
    <w:tblStylePr w:type="lastCol">
      <w:rPr>
        <w:sz w:val="22"/>
      </w:rPr>
      <w:tcPr>
        <w:tcBorders>
          <w:left w:val="single" w:color="000000" w:sz="12" w:space="0" w:themeColor="text1"/>
        </w:tcBorders>
      </w:tcPr>
    </w:tblStylePr>
    <w:tblStylePr w:type="lastRow">
      <w:rPr>
        <w:sz w:val="22"/>
      </w:rPr>
      <w:tcPr>
        <w:tcBorders>
          <w:top w:val="single" w:color="000000" w:sz="12" w:space="0" w:themeColor="text1"/>
        </w:tcBorders>
      </w:tcPr>
    </w:tblStylePr>
  </w:style>
  <w:style w:type="table" w:styleId="839">
    <w:name w:val="Bordered - Accent 1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sz w:val="22"/>
      </w:rPr>
      <w:tcPr>
        <w:tcBorders>
          <w:left w:val="single" w:color="000000" w:sz="4" w:space="0" w:themeColor="accent1"/>
          <w:top w:val="single" w:color="000000" w:sz="4" w:space="0" w:themeColor="accent1"/>
          <w:right w:val="single" w:color="000000" w:sz="4" w:space="0" w:themeColor="accent1"/>
          <w:bottom w:val="single" w:color="000000" w:sz="4" w:space="0" w:themeColor="accent1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40">
    <w:name w:val="Bordered - Accent 2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sz w:val="22"/>
      </w:rPr>
      <w:tcPr>
        <w:tcBorders>
          <w:left w:val="single" w:color="000000" w:sz="4" w:space="0" w:themeColor="accent2"/>
          <w:top w:val="single" w:color="000000" w:sz="4" w:space="0" w:themeColor="accent2"/>
          <w:right w:val="single" w:color="000000" w:sz="4" w:space="0" w:themeColor="accent2"/>
          <w:bottom w:val="single" w:color="000000" w:sz="4" w:space="0" w:themeColor="accent2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sz="12" w:space="0" w:themeColor="accent2"/>
        </w:tcBorders>
      </w:tcPr>
    </w:tblStylePr>
    <w:tblStylePr w:type="lastCol">
      <w:rPr>
        <w:sz w:val="22"/>
      </w:rPr>
      <w:tcPr>
        <w:tcBorders>
          <w:left w:val="single" w:color="000000" w:sz="12" w:space="0" w:themeColor="accent2"/>
        </w:tcBorders>
      </w:tcPr>
    </w:tblStylePr>
    <w:tblStylePr w:type="lastRow">
      <w:rPr>
        <w:sz w:val="22"/>
      </w:rPr>
      <w:tcPr>
        <w:tcBorders>
          <w:top w:val="single" w:color="000000" w:sz="12" w:space="0" w:themeColor="accent2"/>
        </w:tcBorders>
      </w:tcPr>
    </w:tblStylePr>
  </w:style>
  <w:style w:type="table" w:styleId="841">
    <w:name w:val="Bordered - Accent 3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sz w:val="22"/>
      </w:rPr>
      <w:tcPr>
        <w:tcBorders>
          <w:left w:val="single" w:color="000000" w:sz="4" w:space="0" w:themeColor="accent3"/>
          <w:top w:val="single" w:color="000000" w:sz="4" w:space="0" w:themeColor="accent3"/>
          <w:right w:val="single" w:color="000000" w:sz="4" w:space="0" w:themeColor="accent3"/>
          <w:bottom w:val="single" w:color="000000" w:sz="4" w:space="0" w:themeColor="accent3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sz="12" w:space="0" w:themeColor="accent3"/>
        </w:tcBorders>
      </w:tcPr>
    </w:tblStylePr>
    <w:tblStylePr w:type="lastCol">
      <w:rPr>
        <w:sz w:val="22"/>
      </w:rPr>
      <w:tcPr>
        <w:tcBorders>
          <w:left w:val="single" w:color="000000" w:sz="12" w:space="0" w:themeColor="accent3"/>
        </w:tcBorders>
      </w:tcPr>
    </w:tblStylePr>
    <w:tblStylePr w:type="lastRow">
      <w:rPr>
        <w:sz w:val="22"/>
      </w:rPr>
      <w:tcPr>
        <w:tcBorders>
          <w:top w:val="single" w:color="000000" w:sz="12" w:space="0" w:themeColor="accent3"/>
        </w:tcBorders>
      </w:tcPr>
    </w:tblStylePr>
  </w:style>
  <w:style w:type="table" w:styleId="842">
    <w:name w:val="Bordered - Accent 4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sz w:val="22"/>
      </w:rPr>
      <w:tcPr>
        <w:tcBorders>
          <w:left w:val="single" w:color="000000" w:sz="4" w:space="0" w:themeColor="accent4"/>
          <w:top w:val="single" w:color="000000" w:sz="4" w:space="0" w:themeColor="accent4"/>
          <w:right w:val="single" w:color="000000" w:sz="4" w:space="0" w:themeColor="accent4"/>
          <w:bottom w:val="single" w:color="000000" w:sz="4" w:space="0" w:themeColor="accent4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sz="12" w:space="0" w:themeColor="accent4"/>
        </w:tcBorders>
      </w:tcPr>
    </w:tblStylePr>
    <w:tblStylePr w:type="lastCol">
      <w:rPr>
        <w:sz w:val="22"/>
      </w:rPr>
      <w:tcPr>
        <w:tcBorders>
          <w:left w:val="single" w:color="000000" w:sz="12" w:space="0" w:themeColor="accent4"/>
        </w:tcBorders>
      </w:tcPr>
    </w:tblStylePr>
    <w:tblStylePr w:type="lastRow">
      <w:rPr>
        <w:sz w:val="22"/>
      </w:rPr>
      <w:tcPr>
        <w:tcBorders>
          <w:top w:val="single" w:color="000000" w:sz="12" w:space="0" w:themeColor="accent4"/>
        </w:tcBorders>
      </w:tcPr>
    </w:tblStylePr>
  </w:style>
  <w:style w:type="table" w:styleId="843">
    <w:name w:val="Bordered - Accent 5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sz w:val="22"/>
      </w:rPr>
      <w:tcPr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sz="12" w:space="0" w:themeColor="accent5"/>
        </w:tcBorders>
      </w:tcPr>
    </w:tblStylePr>
    <w:tblStylePr w:type="lastCol">
      <w:rPr>
        <w:sz w:val="22"/>
      </w:rPr>
      <w:tcPr>
        <w:tcBorders>
          <w:left w:val="single" w:color="000000" w:sz="12" w:space="0" w:themeColor="accent5"/>
        </w:tcBorders>
      </w:tcPr>
    </w:tblStylePr>
    <w:tblStylePr w:type="lastRow">
      <w:rPr>
        <w:sz w:val="22"/>
      </w:rPr>
      <w:tcPr>
        <w:tcBorders>
          <w:top w:val="single" w:color="000000" w:sz="12" w:space="0" w:themeColor="accent5"/>
        </w:tcBorders>
      </w:tcPr>
    </w:tblStylePr>
  </w:style>
  <w:style w:type="table" w:styleId="844">
    <w:name w:val="Bordered - Accent 6"/>
    <w:basedOn w:val="845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sz w:val="22"/>
      </w:rPr>
      <w:tcPr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sz="12" w:space="0" w:themeColor="accent6"/>
        </w:tcBorders>
      </w:tcPr>
    </w:tblStylePr>
    <w:tblStylePr w:type="lastCol">
      <w:rPr>
        <w:sz w:val="22"/>
      </w:rPr>
      <w:tcPr>
        <w:tcBorders>
          <w:left w:val="single" w:color="000000" w:sz="12" w:space="0" w:themeColor="accent6"/>
        </w:tcBorders>
      </w:tcPr>
    </w:tblStylePr>
    <w:tblStylePr w:type="lastRow">
      <w:rPr>
        <w:sz w:val="22"/>
      </w:rPr>
      <w:tcPr>
        <w:tcBorders>
          <w:top w:val="single" w:color="000000" w:sz="12" w:space="0" w:themeColor="accent6"/>
        </w:tcBorders>
      </w:tcPr>
    </w:tblStylePr>
  </w:style>
  <w:style w:type="table" w:styleId="845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Зыкина Екатерина Олеговна</dc:creator>
  <dc:description/>
  <dc:language>ru-RU</dc:language>
  <cp:revision>8</cp:revision>
  <dcterms:created xsi:type="dcterms:W3CDTF">2026-02-20T13:29:00Z</dcterms:created>
  <dcterms:modified xsi:type="dcterms:W3CDTF">2026-08-13T10:44:42Z</dcterms:modified>
</cp:coreProperties>
</file>