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227E8291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4B051F" w:rsidRPr="004B051F">
        <w:rPr>
          <w:rFonts w:ascii="Times New Roman" w:hAnsi="Times New Roman" w:cs="Times New Roman"/>
          <w:color w:val="383838"/>
          <w:shd w:val="clear" w:color="auto" w:fill="FFFFFF"/>
        </w:rPr>
        <w:t>мониторов 23.8"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6E5F4F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C7622">
        <w:rPr>
          <w:rFonts w:ascii="Times New Roman" w:hAnsi="Times New Roman" w:cs="Times New Roman"/>
          <w:sz w:val="24"/>
        </w:rPr>
        <w:t>Графова Юрия Германовича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</w:t>
      </w:r>
      <w:r w:rsidR="00F66566">
        <w:rPr>
          <w:rFonts w:ascii="Times New Roman" w:hAnsi="Times New Roman" w:cs="Times New Roman"/>
          <w:sz w:val="24"/>
        </w:rPr>
        <w:br/>
      </w:r>
      <w:r w:rsidR="00F66566" w:rsidRPr="007215A7">
        <w:rPr>
          <w:rFonts w:ascii="Times New Roman" w:hAnsi="Times New Roman" w:cs="Times New Roman"/>
          <w:sz w:val="24"/>
        </w:rPr>
        <w:t xml:space="preserve">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4C7622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C7622" w:rsidRPr="004C7622">
        <w:rPr>
          <w:rFonts w:ascii="Times New Roman" w:hAnsi="Times New Roman" w:cs="Times New Roman"/>
          <w:sz w:val="24"/>
        </w:rPr>
        <w:t>f27d6cc4-6af5-453c-9230-2074f9c37341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F66566">
        <w:rPr>
          <w:rFonts w:ascii="Times New Roman" w:hAnsi="Times New Roman" w:cs="Times New Roman"/>
          <w:sz w:val="24"/>
        </w:rPr>
        <w:br/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132792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132792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F66524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0EF4502D" w:rsidR="00630DA9" w:rsidRPr="005D1645" w:rsidRDefault="003B3D83" w:rsidP="00D0768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</w:t>
      </w:r>
      <w:r w:rsidR="00BB721D" w:rsidRPr="004C7622">
        <w:rPr>
          <w:rFonts w:ascii="Times New Roman" w:hAnsi="Times New Roman" w:cs="Times New Roman"/>
          <w:sz w:val="24"/>
          <w:szCs w:val="24"/>
        </w:rPr>
        <w:t>поставить</w:t>
      </w:r>
      <w:r w:rsidR="00BB721D" w:rsidRPr="004C7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51F" w:rsidRPr="004B051F">
        <w:rPr>
          <w:rFonts w:ascii="Times New Roman" w:hAnsi="Times New Roman" w:cs="Times New Roman"/>
          <w:b/>
          <w:sz w:val="24"/>
          <w:szCs w:val="24"/>
        </w:rPr>
        <w:t>монитор</w:t>
      </w:r>
      <w:r w:rsidR="004B051F" w:rsidRPr="004B051F">
        <w:rPr>
          <w:rFonts w:ascii="Times New Roman" w:hAnsi="Times New Roman" w:cs="Times New Roman"/>
          <w:b/>
          <w:sz w:val="24"/>
          <w:szCs w:val="24"/>
        </w:rPr>
        <w:t>ы</w:t>
      </w:r>
      <w:r w:rsidR="004B051F" w:rsidRPr="004B051F">
        <w:rPr>
          <w:rFonts w:ascii="Times New Roman" w:hAnsi="Times New Roman" w:cs="Times New Roman"/>
          <w:b/>
          <w:sz w:val="24"/>
          <w:szCs w:val="24"/>
        </w:rPr>
        <w:t xml:space="preserve"> 23.8"</w:t>
      </w:r>
      <w:r w:rsidR="004C7622" w:rsidRPr="004C7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5BEA651D" w:rsidR="004645DD" w:rsidRPr="00841C1E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841C1E" w:rsidRPr="00841C1E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D0768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0E1B2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2C4C5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17765613" w:rsidR="00630DA9" w:rsidRDefault="004260EA" w:rsidP="00AF28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4C7622">
        <w:rPr>
          <w:rFonts w:ascii="Times New Roman" w:hAnsi="Times New Roman" w:cs="Times New Roman"/>
          <w:sz w:val="24"/>
        </w:rPr>
        <w:t>1</w:t>
      </w:r>
      <w:r w:rsidR="004B051F">
        <w:rPr>
          <w:rFonts w:ascii="Times New Roman" w:hAnsi="Times New Roman" w:cs="Times New Roman"/>
          <w:sz w:val="24"/>
        </w:rPr>
        <w:t>5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4B051F">
        <w:rPr>
          <w:rFonts w:ascii="Times New Roman" w:hAnsi="Times New Roman" w:cs="Times New Roman"/>
          <w:sz w:val="24"/>
        </w:rPr>
        <w:t>пятнадцати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C7622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2A2A6DDD" w:rsidR="007445DF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4C7622">
        <w:rPr>
          <w:rFonts w:ascii="Times New Roman" w:hAnsi="Times New Roman" w:cs="Times New Roman"/>
          <w:sz w:val="24"/>
        </w:rPr>
        <w:t xml:space="preserve"> (согласно Приложению №3)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4C7622">
        <w:rPr>
          <w:rFonts w:ascii="Times New Roman" w:hAnsi="Times New Roman" w:cs="Times New Roman"/>
          <w:sz w:val="24"/>
        </w:rPr>
        <w:t>,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 xml:space="preserve">по телефону </w:t>
      </w:r>
      <w:r w:rsidR="00F66566">
        <w:rPr>
          <w:rFonts w:ascii="Times New Roman" w:hAnsi="Times New Roman" w:cs="Times New Roman"/>
          <w:sz w:val="24"/>
        </w:rPr>
        <w:t>или по электронной почте</w:t>
      </w:r>
      <w:r w:rsidR="004C7622">
        <w:rPr>
          <w:rFonts w:ascii="Times New Roman" w:hAnsi="Times New Roman" w:cs="Times New Roman"/>
          <w:sz w:val="24"/>
        </w:rPr>
        <w:t xml:space="preserve">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4C7622">
        <w:rPr>
          <w:rFonts w:ascii="Times New Roman" w:hAnsi="Times New Roman" w:cs="Times New Roman"/>
          <w:sz w:val="24"/>
        </w:rPr>
        <w:br/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lastRenderedPageBreak/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3C095F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3C095F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3C095F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77008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lastRenderedPageBreak/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BC0D9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7B024C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A034E6">
      <w:pPr>
        <w:pStyle w:val="a7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A034E6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lastRenderedPageBreak/>
        <w:t>Поставщик обязан:</w:t>
      </w:r>
    </w:p>
    <w:p w14:paraId="23B17A9D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353506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992960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lastRenderedPageBreak/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EA705F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EA70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D00BC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D00BC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D00BC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</w:t>
      </w:r>
      <w:r w:rsidRPr="00233AC6">
        <w:rPr>
          <w:rFonts w:ascii="Times New Roman" w:hAnsi="Times New Roman" w:cs="Times New Roman"/>
          <w:sz w:val="24"/>
        </w:rPr>
        <w:lastRenderedPageBreak/>
        <w:t>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205BB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205BB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EA70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205BB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6A75DC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205BB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lastRenderedPageBreak/>
        <w:t>- 100000 рублей, если Цена Контракта превышает 100 млн рублей.</w:t>
      </w:r>
    </w:p>
    <w:p w14:paraId="7F66E83E" w14:textId="77777777" w:rsidR="00C64E6F" w:rsidRPr="00EE492B" w:rsidRDefault="00C64E6F" w:rsidP="00C64E6F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C64E6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017F5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B438B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3C0BD6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3C0BD6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</w:t>
      </w:r>
      <w:r w:rsidRPr="00B438B5">
        <w:rPr>
          <w:rFonts w:ascii="Times New Roman" w:hAnsi="Times New Roman" w:cs="Times New Roman"/>
          <w:sz w:val="24"/>
        </w:rPr>
        <w:lastRenderedPageBreak/>
        <w:t xml:space="preserve">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3C0BD6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3C0BD6">
      <w:pPr>
        <w:pStyle w:val="a9"/>
        <w:numPr>
          <w:ilvl w:val="1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3C0BD6">
      <w:pPr>
        <w:pStyle w:val="a9"/>
        <w:numPr>
          <w:ilvl w:val="1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3C0BD6">
      <w:pPr>
        <w:pStyle w:val="a9"/>
        <w:numPr>
          <w:ilvl w:val="1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lastRenderedPageBreak/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3C0BD6">
      <w:pPr>
        <w:pStyle w:val="a9"/>
        <w:numPr>
          <w:ilvl w:val="1"/>
          <w:numId w:val="4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3C0BD6">
      <w:pPr>
        <w:pStyle w:val="a9"/>
        <w:numPr>
          <w:ilvl w:val="1"/>
          <w:numId w:val="4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0E7EBCA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</w:t>
      </w:r>
      <w:r w:rsidR="009F2DAA">
        <w:rPr>
          <w:rFonts w:ascii="Times New Roman" w:hAnsi="Times New Roman" w:cs="Times New Roman"/>
          <w:sz w:val="24"/>
        </w:rPr>
        <w:t>ение № 1 – Техническое задание;</w:t>
      </w:r>
    </w:p>
    <w:p w14:paraId="572A7EE9" w14:textId="647B2EB3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</w:t>
      </w:r>
      <w:r w:rsidR="004C7622">
        <w:rPr>
          <w:rFonts w:ascii="Times New Roman" w:hAnsi="Times New Roman" w:cs="Times New Roman"/>
          <w:sz w:val="24"/>
        </w:rPr>
        <w:t>икация;</w:t>
      </w:r>
    </w:p>
    <w:p w14:paraId="64BB67F6" w14:textId="36AAED37" w:rsidR="004C7622" w:rsidRDefault="004C762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3 – График поставки.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</w:t>
      </w:r>
      <w:bookmarkStart w:id="0" w:name="_GoBack"/>
      <w:bookmarkEnd w:id="0"/>
      <w:r w:rsidRPr="003C0BD6">
        <w:rPr>
          <w:rFonts w:ascii="Times New Roman" w:hAnsi="Times New Roman" w:cs="Times New Roman"/>
          <w:sz w:val="24"/>
        </w:rPr>
        <w:t>положений настоящей статьи Контракта.</w:t>
      </w:r>
    </w:p>
    <w:p w14:paraId="652149E5" w14:textId="059B3A47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Pr="00673279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3128D42A" w:rsidR="002E5C9E" w:rsidRPr="00F66566" w:rsidRDefault="004C7622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63E588DD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4C7622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0E59A997" w14:textId="47E6000B" w:rsidR="00F66566" w:rsidRPr="0065166D" w:rsidRDefault="004C7622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Приложению №3 (График поставки)</w:t>
      </w:r>
    </w:p>
    <w:p w14:paraId="0379859D" w14:textId="12C941EE" w:rsidR="003715EA" w:rsidRPr="00F66566" w:rsidRDefault="004C7622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5F311C8C" w:rsidR="00DA3F95" w:rsidRPr="00F66566" w:rsidRDefault="004C7622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67337D6B" w14:textId="77777777" w:rsidR="004C7622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</w:p>
    <w:p w14:paraId="3B06E0CA" w14:textId="5DCEF255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DC81682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4C7622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3D6D25CA" w14:textId="77777777" w:rsidR="004C7622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</w:p>
    <w:p w14:paraId="509532C2" w14:textId="2A9BFE0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C7622" w14:paraId="138BDD94" w14:textId="77777777" w:rsidTr="003A5584">
        <w:tc>
          <w:tcPr>
            <w:tcW w:w="4536" w:type="dxa"/>
            <w:vAlign w:val="bottom"/>
          </w:tcPr>
          <w:p w14:paraId="6DFBA41F" w14:textId="7572B062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7622" w14:paraId="241718BB" w14:textId="77777777" w:rsidTr="00DA3F95">
        <w:tc>
          <w:tcPr>
            <w:tcW w:w="4536" w:type="dxa"/>
          </w:tcPr>
          <w:p w14:paraId="77C027FE" w14:textId="40B2504B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4C7622" w:rsidRPr="00DA3F95" w:rsidRDefault="004C7622" w:rsidP="004C7622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C7622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27652780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5170C136" w14:textId="77777777" w:rsidR="004C7622" w:rsidRDefault="004C7622" w:rsidP="004C76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6CF3B1AB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3065F90E" w14:textId="71FE29DC" w:rsidR="00F66566" w:rsidRPr="001E2DAC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4B051F" w:rsidRPr="004B051F">
        <w:rPr>
          <w:rFonts w:ascii="Times New Roman" w:hAnsi="Times New Roman" w:cs="Times New Roman"/>
          <w:sz w:val="24"/>
          <w:szCs w:val="24"/>
        </w:rPr>
        <w:t>мониторов 23.8"</w:t>
      </w:r>
    </w:p>
    <w:p w14:paraId="5BF3E827" w14:textId="77777777" w:rsidR="00F66566" w:rsidRDefault="00F66566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4B051F" w14:paraId="58768497" w14:textId="77777777" w:rsidTr="00164D5B">
        <w:tc>
          <w:tcPr>
            <w:tcW w:w="421" w:type="dxa"/>
          </w:tcPr>
          <w:p w14:paraId="05B1B763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DD4FADA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Общие положения</w:t>
            </w:r>
          </w:p>
        </w:tc>
        <w:tc>
          <w:tcPr>
            <w:tcW w:w="11344" w:type="dxa"/>
          </w:tcPr>
          <w:p w14:paraId="3EA84547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4B051F" w14:paraId="6898015E" w14:textId="77777777" w:rsidTr="00164D5B">
        <w:tc>
          <w:tcPr>
            <w:tcW w:w="421" w:type="dxa"/>
          </w:tcPr>
          <w:p w14:paraId="55C97FDA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E3AB6B9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</w:tcPr>
          <w:p w14:paraId="1D809999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производство (приобретение) товара;</w:t>
            </w:r>
          </w:p>
          <w:p w14:paraId="69913382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0271F386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товара.</w:t>
            </w:r>
          </w:p>
        </w:tc>
      </w:tr>
      <w:tr w:rsidR="004B051F" w14:paraId="6667F6E4" w14:textId="77777777" w:rsidTr="00164D5B">
        <w:tc>
          <w:tcPr>
            <w:tcW w:w="421" w:type="dxa"/>
          </w:tcPr>
          <w:p w14:paraId="2A795B01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CA4F668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Сопутствующие работы (услуги), входящие в цену Контракта</w:t>
            </w:r>
          </w:p>
        </w:tc>
        <w:tc>
          <w:tcPr>
            <w:tcW w:w="11344" w:type="dxa"/>
          </w:tcPr>
          <w:p w14:paraId="2F8D9A5F" w14:textId="77777777" w:rsidR="004B051F" w:rsidRPr="00A372F8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4B051F" w14:paraId="367B5133" w14:textId="77777777" w:rsidTr="00164D5B">
        <w:tc>
          <w:tcPr>
            <w:tcW w:w="421" w:type="dxa"/>
          </w:tcPr>
          <w:p w14:paraId="3D777480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ABD2D04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Документы, подтверждающие выполнение сопутствующих работ (оказание сопутствующих услуг)</w:t>
            </w:r>
          </w:p>
        </w:tc>
        <w:tc>
          <w:tcPr>
            <w:tcW w:w="11344" w:type="dxa"/>
          </w:tcPr>
          <w:p w14:paraId="3674B61D" w14:textId="77777777" w:rsidR="004B051F" w:rsidRPr="00A372F8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4B051F" w14:paraId="3D40CE22" w14:textId="77777777" w:rsidTr="00164D5B">
        <w:tc>
          <w:tcPr>
            <w:tcW w:w="421" w:type="dxa"/>
          </w:tcPr>
          <w:p w14:paraId="33E6E320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BA4150C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поставки товара</w:t>
            </w:r>
          </w:p>
        </w:tc>
        <w:tc>
          <w:tcPr>
            <w:tcW w:w="11344" w:type="dxa"/>
          </w:tcPr>
          <w:p w14:paraId="20C83FB5" w14:textId="77777777" w:rsidR="004B051F" w:rsidRPr="00E1639D" w:rsidRDefault="004B051F" w:rsidP="00164D5B">
            <w:pPr>
              <w:rPr>
                <w:highlight w:val="yellow"/>
              </w:rPr>
            </w:pPr>
            <w:r w:rsidRPr="00472115">
              <w:rPr>
                <w:rFonts w:ascii="Times New Roman" w:eastAsia="Times New Roman" w:hAnsi="Times New Roman" w:cs="Times New Roman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</w:rPr>
              <w:t>Москва, пр-кт Вернадского, д. 78.</w:t>
            </w:r>
          </w:p>
        </w:tc>
      </w:tr>
      <w:tr w:rsidR="004B051F" w14:paraId="5AC73093" w14:textId="77777777" w:rsidTr="00164D5B">
        <w:trPr>
          <w:trHeight w:val="522"/>
        </w:trPr>
        <w:tc>
          <w:tcPr>
            <w:tcW w:w="421" w:type="dxa"/>
          </w:tcPr>
          <w:p w14:paraId="7A30BDD9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AF02352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поставки товара</w:t>
            </w:r>
          </w:p>
        </w:tc>
        <w:tc>
          <w:tcPr>
            <w:tcW w:w="11344" w:type="dxa"/>
          </w:tcPr>
          <w:p w14:paraId="2987D370" w14:textId="77777777" w:rsidR="004B051F" w:rsidRPr="00E1639D" w:rsidRDefault="004B051F" w:rsidP="00164D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Pr="00C76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пятнадцати</w:t>
            </w:r>
            <w:r w:rsidRPr="00C76A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 даты заключения Контракт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4B051F" w14:paraId="2231B2BD" w14:textId="77777777" w:rsidTr="00164D5B">
        <w:tc>
          <w:tcPr>
            <w:tcW w:w="421" w:type="dxa"/>
          </w:tcPr>
          <w:p w14:paraId="269F5CC8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AB73547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поставке товара</w:t>
            </w:r>
          </w:p>
        </w:tc>
        <w:tc>
          <w:tcPr>
            <w:tcW w:w="11344" w:type="dxa"/>
          </w:tcPr>
          <w:p w14:paraId="7183CFB7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68C48109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5597234A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Закона от 30.03.1999 г. № 52-ФЗ «О санитарно-эпидемиологическом благополучии населения».</w:t>
            </w:r>
          </w:p>
        </w:tc>
      </w:tr>
      <w:tr w:rsidR="004B051F" w14:paraId="7F5556F9" w14:textId="77777777" w:rsidTr="00164D5B">
        <w:tc>
          <w:tcPr>
            <w:tcW w:w="421" w:type="dxa"/>
          </w:tcPr>
          <w:p w14:paraId="67A2C2DE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A1AA00E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</w:tcPr>
          <w:p w14:paraId="1A7B1806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4B051F" w14:paraId="75E7B05F" w14:textId="77777777" w:rsidTr="00164D5B">
        <w:tc>
          <w:tcPr>
            <w:tcW w:w="421" w:type="dxa"/>
          </w:tcPr>
          <w:p w14:paraId="07F68286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6FA1018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товару</w:t>
            </w:r>
          </w:p>
        </w:tc>
        <w:tc>
          <w:tcPr>
            <w:tcW w:w="11344" w:type="dxa"/>
          </w:tcPr>
          <w:p w14:paraId="12483227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 производителя, предъявляемых к соответствующей категории товара.</w:t>
            </w:r>
          </w:p>
          <w:p w14:paraId="76B8B5F1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2728CC19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с соблюдением требований к транспортировке и хранению.</w:t>
            </w:r>
          </w:p>
          <w:p w14:paraId="632AA423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4B051F" w14:paraId="6DBEA0E5" w14:textId="77777777" w:rsidTr="00164D5B">
        <w:tc>
          <w:tcPr>
            <w:tcW w:w="421" w:type="dxa"/>
          </w:tcPr>
          <w:p w14:paraId="54662EA9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F18F6DD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</w:tcPr>
          <w:p w14:paraId="2BC36496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01F6A257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</w:tc>
      </w:tr>
      <w:tr w:rsidR="004B051F" w14:paraId="669A73CF" w14:textId="77777777" w:rsidTr="00164D5B">
        <w:tc>
          <w:tcPr>
            <w:tcW w:w="421" w:type="dxa"/>
          </w:tcPr>
          <w:p w14:paraId="452F615D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5B6F40B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</w:tcPr>
          <w:p w14:paraId="16BD19DF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в соответствующей заводской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6F964B9D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73DFAA70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4B051F" w14:paraId="3AFBB102" w14:textId="77777777" w:rsidTr="00164D5B">
        <w:tc>
          <w:tcPr>
            <w:tcW w:w="421" w:type="dxa"/>
          </w:tcPr>
          <w:p w14:paraId="4E59C668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51D676F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маркировке товара</w:t>
            </w:r>
          </w:p>
        </w:tc>
        <w:tc>
          <w:tcPr>
            <w:tcW w:w="11344" w:type="dxa"/>
          </w:tcPr>
          <w:p w14:paraId="3415FD7E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4AAAA164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Поставщика;</w:t>
            </w:r>
          </w:p>
          <w:p w14:paraId="0EFE5245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дату и номер Контракта, в соответствии с которым осуществляется поставка товара;</w:t>
            </w:r>
          </w:p>
          <w:p w14:paraId="4DA6EBD8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номер упаковки и общее количество упаковок поставляемых товаров; </w:t>
            </w:r>
          </w:p>
          <w:p w14:paraId="17B2A1F3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4B051F" w14:paraId="6CC194E4" w14:textId="77777777" w:rsidTr="00164D5B">
        <w:tc>
          <w:tcPr>
            <w:tcW w:w="421" w:type="dxa"/>
          </w:tcPr>
          <w:p w14:paraId="64C26960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15164F0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Гарантийный срок</w:t>
            </w:r>
          </w:p>
        </w:tc>
        <w:tc>
          <w:tcPr>
            <w:tcW w:w="11344" w:type="dxa"/>
          </w:tcPr>
          <w:p w14:paraId="7A9A1597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Устанавливается с момента подписания Заказчиком Документа о приемке.</w:t>
            </w:r>
          </w:p>
          <w:p w14:paraId="043B29DC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Гарантийный срок на поставляемый товар составляет – 36 (тридцать шесть) месяцев.</w:t>
            </w:r>
          </w:p>
        </w:tc>
      </w:tr>
      <w:tr w:rsidR="004B051F" w14:paraId="3C7DDA3A" w14:textId="77777777" w:rsidTr="00164D5B">
        <w:tc>
          <w:tcPr>
            <w:tcW w:w="421" w:type="dxa"/>
          </w:tcPr>
          <w:p w14:paraId="5979E2F7" w14:textId="77777777" w:rsidR="004B051F" w:rsidRDefault="004B051F" w:rsidP="004B051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4050C8D" w14:textId="77777777" w:rsidR="004B051F" w:rsidRDefault="004B051F" w:rsidP="00164D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Гарантийные обязательства</w:t>
            </w:r>
          </w:p>
        </w:tc>
        <w:tc>
          <w:tcPr>
            <w:tcW w:w="11344" w:type="dxa"/>
          </w:tcPr>
          <w:p w14:paraId="40BF4980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Контракту. Объем предоставления гарантий качества – гарантия качества распространяется на весь Товар по Контракту, включая комплектующие и составные части.</w:t>
            </w:r>
          </w:p>
          <w:p w14:paraId="057389E5" w14:textId="77777777" w:rsidR="004B051F" w:rsidRDefault="004B051F" w:rsidP="00164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4FD24783" w:rsidR="001028C9" w:rsidRPr="004B051F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51F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510E521E" w14:textId="77777777" w:rsidR="00F66566" w:rsidRPr="004B051F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561"/>
        <w:gridCol w:w="2953"/>
        <w:gridCol w:w="2465"/>
        <w:gridCol w:w="2879"/>
        <w:gridCol w:w="1837"/>
        <w:gridCol w:w="1828"/>
        <w:gridCol w:w="1931"/>
      </w:tblGrid>
      <w:tr w:rsidR="004B051F" w14:paraId="544436A3" w14:textId="77777777" w:rsidTr="00164D5B">
        <w:trPr>
          <w:cantSplit/>
          <w:tblHeader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14:paraId="33BC43AA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87C8F9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953" w:type="dxa"/>
            <w:vMerge w:val="restart"/>
            <w:shd w:val="clear" w:color="auto" w:fill="FFFFFF" w:themeFill="background1"/>
            <w:vAlign w:val="center"/>
          </w:tcPr>
          <w:p w14:paraId="3D9EAFD0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товара, указание на товарный знак (при наличии)</w:t>
            </w:r>
          </w:p>
          <w:p w14:paraId="0BCB8B5E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ОКПД 2, КТРУ</w:t>
            </w:r>
          </w:p>
        </w:tc>
        <w:tc>
          <w:tcPr>
            <w:tcW w:w="5344" w:type="dxa"/>
            <w:gridSpan w:val="2"/>
            <w:shd w:val="clear" w:color="auto" w:fill="FFFFFF" w:themeFill="background1"/>
            <w:vAlign w:val="center"/>
          </w:tcPr>
          <w:p w14:paraId="1AAE4F98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  <w:tc>
          <w:tcPr>
            <w:tcW w:w="1837" w:type="dxa"/>
            <w:vMerge w:val="restart"/>
            <w:shd w:val="clear" w:color="auto" w:fill="FFFFFF" w:themeFill="background1"/>
            <w:vAlign w:val="center"/>
          </w:tcPr>
          <w:p w14:paraId="2C3047C5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828" w:type="dxa"/>
            <w:vMerge w:val="restart"/>
            <w:shd w:val="clear" w:color="auto" w:fill="FFFFFF" w:themeFill="background1"/>
            <w:vAlign w:val="center"/>
          </w:tcPr>
          <w:p w14:paraId="533E2A54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Единицы измерения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  <w:vAlign w:val="center"/>
          </w:tcPr>
          <w:p w14:paraId="12EAC996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</w:tr>
      <w:tr w:rsidR="004B051F" w14:paraId="61F5CE4D" w14:textId="77777777" w:rsidTr="00164D5B">
        <w:tc>
          <w:tcPr>
            <w:tcW w:w="561" w:type="dxa"/>
            <w:vMerge/>
            <w:shd w:val="clear" w:color="auto" w:fill="FFFFFF" w:themeFill="background1"/>
            <w:vAlign w:val="center"/>
          </w:tcPr>
          <w:p w14:paraId="57F0FF6D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953" w:type="dxa"/>
            <w:vMerge/>
            <w:shd w:val="clear" w:color="auto" w:fill="FFFFFF" w:themeFill="background1"/>
            <w:vAlign w:val="center"/>
          </w:tcPr>
          <w:p w14:paraId="5383EE3C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465" w:type="dxa"/>
            <w:shd w:val="clear" w:color="auto" w:fill="FFFFFF" w:themeFill="background1"/>
            <w:vAlign w:val="center"/>
          </w:tcPr>
          <w:p w14:paraId="07575462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Требуемый параметр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3C4CEC3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Требуемое значение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6E101303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79B64A08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14:paraId="6142FD21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4B051F" w14:paraId="3F399104" w14:textId="77777777" w:rsidTr="00164D5B">
        <w:tc>
          <w:tcPr>
            <w:tcW w:w="561" w:type="dxa"/>
            <w:vAlign w:val="center"/>
          </w:tcPr>
          <w:p w14:paraId="2DF84EB8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53" w:type="dxa"/>
            <w:vAlign w:val="center"/>
          </w:tcPr>
          <w:p w14:paraId="29F0AE27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65" w:type="dxa"/>
            <w:vAlign w:val="center"/>
          </w:tcPr>
          <w:p w14:paraId="1155E8A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79" w:type="dxa"/>
            <w:vAlign w:val="center"/>
          </w:tcPr>
          <w:p w14:paraId="27CC453C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37" w:type="dxa"/>
            <w:vAlign w:val="center"/>
          </w:tcPr>
          <w:p w14:paraId="6288E975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8" w:type="dxa"/>
            <w:vAlign w:val="center"/>
          </w:tcPr>
          <w:p w14:paraId="39712577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1" w:type="dxa"/>
          </w:tcPr>
          <w:p w14:paraId="44B718A7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B051F" w14:paraId="1F051C9D" w14:textId="77777777" w:rsidTr="00164D5B">
        <w:trPr>
          <w:trHeight w:val="567"/>
        </w:trPr>
        <w:tc>
          <w:tcPr>
            <w:tcW w:w="561" w:type="dxa"/>
            <w:vMerge w:val="restart"/>
          </w:tcPr>
          <w:p w14:paraId="1E7D11D5" w14:textId="77777777" w:rsidR="004B051F" w:rsidRPr="00BA2B5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2170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53" w:type="dxa"/>
            <w:vMerge w:val="restart"/>
          </w:tcPr>
          <w:p w14:paraId="3F21E7E1" w14:textId="77777777" w:rsidR="004B051F" w:rsidRDefault="004B051F" w:rsidP="00164D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 MSI PRO MP2412, 23.8", чё</w:t>
            </w:r>
            <w:r w:rsidRPr="00AA1B74">
              <w:rPr>
                <w:rFonts w:ascii="Times New Roman" w:hAnsi="Times New Roman"/>
                <w:b/>
                <w:sz w:val="24"/>
                <w:szCs w:val="24"/>
              </w:rPr>
              <w:t>рный</w:t>
            </w:r>
          </w:p>
          <w:p w14:paraId="12C971DE" w14:textId="77777777" w:rsidR="004B051F" w:rsidRPr="00C420E6" w:rsidRDefault="004B051F" w:rsidP="0016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позиции по ОКПД2 </w:t>
            </w:r>
            <w:r w:rsidRPr="00AA1B74">
              <w:rPr>
                <w:rFonts w:ascii="Times New Roman" w:hAnsi="Times New Roman"/>
                <w:sz w:val="24"/>
                <w:szCs w:val="24"/>
              </w:rPr>
              <w:t>26.20.17.110</w:t>
            </w:r>
          </w:p>
        </w:tc>
        <w:tc>
          <w:tcPr>
            <w:tcW w:w="2465" w:type="dxa"/>
            <w:vAlign w:val="center"/>
          </w:tcPr>
          <w:p w14:paraId="5521FDEE" w14:textId="77777777" w:rsidR="004B051F" w:rsidRPr="00EC6B9E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Диагональ экрана</w:t>
            </w:r>
          </w:p>
        </w:tc>
        <w:tc>
          <w:tcPr>
            <w:tcW w:w="2879" w:type="dxa"/>
            <w:vAlign w:val="center"/>
          </w:tcPr>
          <w:p w14:paraId="14177AB7" w14:textId="77777777" w:rsidR="004B051F" w:rsidRPr="00425C6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23.8</w:t>
            </w:r>
          </w:p>
        </w:tc>
        <w:tc>
          <w:tcPr>
            <w:tcW w:w="1837" w:type="dxa"/>
            <w:vAlign w:val="center"/>
          </w:tcPr>
          <w:p w14:paraId="63CB7D7E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109A41C3" w14:textId="77777777" w:rsidR="004B051F" w:rsidRPr="008700A3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1931" w:type="dxa"/>
            <w:vMerge w:val="restart"/>
          </w:tcPr>
          <w:p w14:paraId="08D99A67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шт.</w:t>
            </w:r>
          </w:p>
        </w:tc>
      </w:tr>
      <w:tr w:rsidR="004B051F" w14:paraId="05DB95A0" w14:textId="77777777" w:rsidTr="00164D5B">
        <w:trPr>
          <w:trHeight w:val="567"/>
        </w:trPr>
        <w:tc>
          <w:tcPr>
            <w:tcW w:w="561" w:type="dxa"/>
            <w:vMerge/>
          </w:tcPr>
          <w:p w14:paraId="2227798B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5F6EA069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320CD0F5" w14:textId="77777777" w:rsidR="004B051F" w:rsidRPr="000A7709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разрешени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2879" w:type="dxa"/>
            <w:vAlign w:val="center"/>
          </w:tcPr>
          <w:p w14:paraId="30B927AA" w14:textId="77777777" w:rsidR="004B051F" w:rsidRPr="00425C6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1920x1080</w:t>
            </w:r>
          </w:p>
        </w:tc>
        <w:tc>
          <w:tcPr>
            <w:tcW w:w="1837" w:type="dxa"/>
            <w:vAlign w:val="center"/>
          </w:tcPr>
          <w:p w14:paraId="4A33645F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309E7285" w14:textId="77777777" w:rsidR="004B051F" w:rsidRPr="008700A3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499C2245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5C4FB5B7" w14:textId="77777777" w:rsidTr="00164D5B">
        <w:trPr>
          <w:trHeight w:val="580"/>
        </w:trPr>
        <w:tc>
          <w:tcPr>
            <w:tcW w:w="561" w:type="dxa"/>
            <w:vMerge/>
          </w:tcPr>
          <w:p w14:paraId="5407C575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492F0B65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2CD4FF21" w14:textId="77777777" w:rsidR="004B051F" w:rsidRPr="001F4C8C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Соотношение сторон</w:t>
            </w:r>
          </w:p>
        </w:tc>
        <w:tc>
          <w:tcPr>
            <w:tcW w:w="2879" w:type="dxa"/>
            <w:vAlign w:val="center"/>
          </w:tcPr>
          <w:p w14:paraId="024C5BE0" w14:textId="77777777" w:rsidR="004B051F" w:rsidRPr="00425C6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16:9</w:t>
            </w:r>
          </w:p>
        </w:tc>
        <w:tc>
          <w:tcPr>
            <w:tcW w:w="1837" w:type="dxa"/>
            <w:vAlign w:val="center"/>
          </w:tcPr>
          <w:p w14:paraId="466D4D68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6A3F6EFD" w14:textId="77777777" w:rsidR="004B051F" w:rsidRPr="008700A3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1E91D972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35652782" w14:textId="77777777" w:rsidTr="00164D5B">
        <w:trPr>
          <w:trHeight w:val="567"/>
        </w:trPr>
        <w:tc>
          <w:tcPr>
            <w:tcW w:w="561" w:type="dxa"/>
            <w:vMerge/>
          </w:tcPr>
          <w:p w14:paraId="78FB1C5F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547C621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42CD119C" w14:textId="77777777" w:rsidR="004B051F" w:rsidRPr="005005C7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Тип матрицы</w:t>
            </w:r>
          </w:p>
        </w:tc>
        <w:tc>
          <w:tcPr>
            <w:tcW w:w="2879" w:type="dxa"/>
            <w:vAlign w:val="center"/>
          </w:tcPr>
          <w:p w14:paraId="5029590D" w14:textId="77777777" w:rsidR="004B051F" w:rsidRPr="005005C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</w:p>
        </w:tc>
        <w:tc>
          <w:tcPr>
            <w:tcW w:w="1837" w:type="dxa"/>
            <w:vAlign w:val="center"/>
          </w:tcPr>
          <w:p w14:paraId="5D4A1738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7E69B4D4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384B2207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18A2ED2E" w14:textId="77777777" w:rsidTr="00164D5B">
        <w:trPr>
          <w:trHeight w:val="567"/>
        </w:trPr>
        <w:tc>
          <w:tcPr>
            <w:tcW w:w="561" w:type="dxa"/>
            <w:vMerge/>
          </w:tcPr>
          <w:p w14:paraId="04A96C37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72A9201E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5D420A32" w14:textId="77777777" w:rsidR="004B051F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Тип подсветки экрана</w:t>
            </w:r>
          </w:p>
        </w:tc>
        <w:tc>
          <w:tcPr>
            <w:tcW w:w="2879" w:type="dxa"/>
            <w:vAlign w:val="center"/>
          </w:tcPr>
          <w:p w14:paraId="498DFE33" w14:textId="77777777" w:rsidR="004B051F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LED</w:t>
            </w:r>
          </w:p>
        </w:tc>
        <w:tc>
          <w:tcPr>
            <w:tcW w:w="1837" w:type="dxa"/>
            <w:vAlign w:val="center"/>
          </w:tcPr>
          <w:p w14:paraId="675DC2CA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1306BE8A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04C870FB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68846346" w14:textId="77777777" w:rsidTr="00164D5B">
        <w:trPr>
          <w:trHeight w:val="567"/>
        </w:trPr>
        <w:tc>
          <w:tcPr>
            <w:tcW w:w="561" w:type="dxa"/>
            <w:vMerge/>
          </w:tcPr>
          <w:p w14:paraId="3D71C6B1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50E04AFE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47A9D22E" w14:textId="77777777" w:rsidR="004B051F" w:rsidRPr="000A7709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Угол обзора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по вертикали</w:t>
            </w:r>
          </w:p>
        </w:tc>
        <w:tc>
          <w:tcPr>
            <w:tcW w:w="2879" w:type="dxa"/>
            <w:vAlign w:val="center"/>
          </w:tcPr>
          <w:p w14:paraId="58F11BBB" w14:textId="77777777" w:rsidR="004B051F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178</w:t>
            </w:r>
          </w:p>
        </w:tc>
        <w:tc>
          <w:tcPr>
            <w:tcW w:w="1837" w:type="dxa"/>
            <w:vAlign w:val="center"/>
          </w:tcPr>
          <w:p w14:paraId="34C1B9CA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07014098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1931" w:type="dxa"/>
            <w:vMerge/>
          </w:tcPr>
          <w:p w14:paraId="5617C243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24B829D0" w14:textId="77777777" w:rsidTr="00164D5B">
        <w:trPr>
          <w:trHeight w:val="567"/>
        </w:trPr>
        <w:tc>
          <w:tcPr>
            <w:tcW w:w="561" w:type="dxa"/>
            <w:vMerge/>
          </w:tcPr>
          <w:p w14:paraId="39E15397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1450958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72865049" w14:textId="77777777" w:rsidR="004B051F" w:rsidRPr="00C420E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Угол обзора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горизонтали</w:t>
            </w:r>
          </w:p>
        </w:tc>
        <w:tc>
          <w:tcPr>
            <w:tcW w:w="2879" w:type="dxa"/>
            <w:vAlign w:val="center"/>
          </w:tcPr>
          <w:p w14:paraId="25C2E959" w14:textId="77777777" w:rsidR="004B051F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178</w:t>
            </w:r>
          </w:p>
        </w:tc>
        <w:tc>
          <w:tcPr>
            <w:tcW w:w="1837" w:type="dxa"/>
            <w:vAlign w:val="center"/>
          </w:tcPr>
          <w:p w14:paraId="417EB34E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34B1851D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1931" w:type="dxa"/>
            <w:vMerge/>
          </w:tcPr>
          <w:p w14:paraId="194C71D8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2AF8FD59" w14:textId="77777777" w:rsidTr="00164D5B">
        <w:trPr>
          <w:trHeight w:val="567"/>
        </w:trPr>
        <w:tc>
          <w:tcPr>
            <w:tcW w:w="561" w:type="dxa"/>
            <w:vMerge/>
          </w:tcPr>
          <w:p w14:paraId="4828C8D5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5FAD7D07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1DA253BB" w14:textId="77777777" w:rsidR="004B051F" w:rsidRPr="000A7709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Глубина цвета</w:t>
            </w:r>
          </w:p>
        </w:tc>
        <w:tc>
          <w:tcPr>
            <w:tcW w:w="2879" w:type="dxa"/>
            <w:vAlign w:val="center"/>
          </w:tcPr>
          <w:p w14:paraId="7772ECC5" w14:textId="77777777" w:rsidR="004B051F" w:rsidRPr="00425C6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6bit+FRC</w:t>
            </w:r>
          </w:p>
        </w:tc>
        <w:tc>
          <w:tcPr>
            <w:tcW w:w="1837" w:type="dxa"/>
            <w:vAlign w:val="center"/>
          </w:tcPr>
          <w:p w14:paraId="0EF2387B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7D6D8459" w14:textId="77777777" w:rsidR="004B051F" w:rsidRPr="008700A3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6D7B36FA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4E2E7BE6" w14:textId="77777777" w:rsidTr="00164D5B">
        <w:trPr>
          <w:trHeight w:val="567"/>
        </w:trPr>
        <w:tc>
          <w:tcPr>
            <w:tcW w:w="561" w:type="dxa"/>
            <w:vMerge/>
          </w:tcPr>
          <w:p w14:paraId="2D1C01CB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267DA702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3D7CBE89" w14:textId="77777777" w:rsidR="004B051F" w:rsidRPr="005005C7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Яркость</w:t>
            </w:r>
          </w:p>
        </w:tc>
        <w:tc>
          <w:tcPr>
            <w:tcW w:w="2879" w:type="dxa"/>
            <w:vAlign w:val="center"/>
          </w:tcPr>
          <w:p w14:paraId="75A65A32" w14:textId="77777777" w:rsidR="004B051F" w:rsidRPr="00425C6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300</w:t>
            </w:r>
          </w:p>
        </w:tc>
        <w:tc>
          <w:tcPr>
            <w:tcW w:w="1837" w:type="dxa"/>
            <w:vAlign w:val="center"/>
          </w:tcPr>
          <w:p w14:paraId="09DF147F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4E220801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Кд/м</w:t>
            </w:r>
            <w:r w:rsidRPr="004272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1" w:type="dxa"/>
            <w:vMerge/>
          </w:tcPr>
          <w:p w14:paraId="0A99ED3A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657418DC" w14:textId="77777777" w:rsidTr="00164D5B">
        <w:trPr>
          <w:trHeight w:val="567"/>
        </w:trPr>
        <w:tc>
          <w:tcPr>
            <w:tcW w:w="561" w:type="dxa"/>
            <w:vMerge/>
          </w:tcPr>
          <w:p w14:paraId="6853F860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786C6233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71002ADF" w14:textId="77777777" w:rsidR="004B051F" w:rsidRPr="005005C7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Контрастность</w:t>
            </w:r>
          </w:p>
        </w:tc>
        <w:tc>
          <w:tcPr>
            <w:tcW w:w="2879" w:type="dxa"/>
            <w:vAlign w:val="center"/>
          </w:tcPr>
          <w:p w14:paraId="2E79A007" w14:textId="77777777" w:rsidR="004B051F" w:rsidRPr="005005C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4000:1</w:t>
            </w:r>
          </w:p>
        </w:tc>
        <w:tc>
          <w:tcPr>
            <w:tcW w:w="1837" w:type="dxa"/>
            <w:vAlign w:val="center"/>
          </w:tcPr>
          <w:p w14:paraId="0AFCFF7E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26E23B2C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5004DBE1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11B8F59A" w14:textId="77777777" w:rsidTr="00164D5B">
        <w:trPr>
          <w:trHeight w:val="567"/>
        </w:trPr>
        <w:tc>
          <w:tcPr>
            <w:tcW w:w="561" w:type="dxa"/>
            <w:vMerge/>
          </w:tcPr>
          <w:p w14:paraId="31EA8CC2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0E26CA58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012D399C" w14:textId="77777777" w:rsidR="004B051F" w:rsidRPr="005005C7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частота обновления экрана</w:t>
            </w:r>
          </w:p>
        </w:tc>
        <w:tc>
          <w:tcPr>
            <w:tcW w:w="2879" w:type="dxa"/>
            <w:vAlign w:val="center"/>
          </w:tcPr>
          <w:p w14:paraId="3F07CC85" w14:textId="77777777" w:rsidR="004B051F" w:rsidRPr="00425C67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100</w:t>
            </w:r>
          </w:p>
        </w:tc>
        <w:tc>
          <w:tcPr>
            <w:tcW w:w="1837" w:type="dxa"/>
            <w:vAlign w:val="center"/>
          </w:tcPr>
          <w:p w14:paraId="293DE2A9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462D3241" w14:textId="77777777" w:rsidR="004B051F" w:rsidRPr="008700A3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</w:t>
            </w:r>
          </w:p>
        </w:tc>
        <w:tc>
          <w:tcPr>
            <w:tcW w:w="1931" w:type="dxa"/>
            <w:vMerge/>
          </w:tcPr>
          <w:p w14:paraId="4EEDBEAE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37B05FA2" w14:textId="77777777" w:rsidTr="00164D5B">
        <w:trPr>
          <w:trHeight w:val="567"/>
        </w:trPr>
        <w:tc>
          <w:tcPr>
            <w:tcW w:w="561" w:type="dxa"/>
            <w:vMerge/>
          </w:tcPr>
          <w:p w14:paraId="7FB2C6FE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08890B5E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0C85C9D4" w14:textId="77777777" w:rsidR="004B051F" w:rsidRPr="005005C7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динамического обновления экрана</w:t>
            </w:r>
          </w:p>
        </w:tc>
        <w:tc>
          <w:tcPr>
            <w:tcW w:w="2879" w:type="dxa"/>
            <w:vAlign w:val="center"/>
          </w:tcPr>
          <w:p w14:paraId="039C71BB" w14:textId="77777777" w:rsidR="004B051F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AMD FreeSync</w:t>
            </w:r>
          </w:p>
        </w:tc>
        <w:tc>
          <w:tcPr>
            <w:tcW w:w="1837" w:type="dxa"/>
            <w:vAlign w:val="center"/>
          </w:tcPr>
          <w:p w14:paraId="23C3D0C0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2A2C29F9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7B52EF39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66B12AF8" w14:textId="77777777" w:rsidTr="00164D5B">
        <w:trPr>
          <w:trHeight w:val="480"/>
        </w:trPr>
        <w:tc>
          <w:tcPr>
            <w:tcW w:w="561" w:type="dxa"/>
            <w:vMerge/>
          </w:tcPr>
          <w:p w14:paraId="0451A27F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4AD3910B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Merge w:val="restart"/>
            <w:vAlign w:val="center"/>
          </w:tcPr>
          <w:p w14:paraId="31702199" w14:textId="77777777" w:rsidR="004B051F" w:rsidRPr="005005C7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Видеоразъемы</w:t>
            </w:r>
          </w:p>
        </w:tc>
        <w:tc>
          <w:tcPr>
            <w:tcW w:w="2879" w:type="dxa"/>
            <w:vAlign w:val="center"/>
          </w:tcPr>
          <w:p w14:paraId="35C5B2D0" w14:textId="77777777" w:rsidR="004B051F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</w:p>
        </w:tc>
        <w:tc>
          <w:tcPr>
            <w:tcW w:w="1837" w:type="dxa"/>
            <w:vAlign w:val="center"/>
          </w:tcPr>
          <w:p w14:paraId="7C69B34B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E104D5D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5274D235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14:paraId="77D5756D" w14:textId="77777777" w:rsidTr="00164D5B">
        <w:trPr>
          <w:trHeight w:val="480"/>
        </w:trPr>
        <w:tc>
          <w:tcPr>
            <w:tcW w:w="561" w:type="dxa"/>
            <w:vMerge/>
          </w:tcPr>
          <w:p w14:paraId="35CA65A1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30A99CCB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Merge/>
            <w:vAlign w:val="center"/>
          </w:tcPr>
          <w:p w14:paraId="75F0E046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14:paraId="34D8D70A" w14:textId="77777777" w:rsidR="004B051F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HDMI</w:t>
            </w:r>
          </w:p>
        </w:tc>
        <w:tc>
          <w:tcPr>
            <w:tcW w:w="1837" w:type="dxa"/>
            <w:vAlign w:val="center"/>
          </w:tcPr>
          <w:p w14:paraId="7DBE6CFA" w14:textId="77777777" w:rsidR="004B051F" w:rsidRPr="001A627D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Merge/>
            <w:vAlign w:val="center"/>
          </w:tcPr>
          <w:p w14:paraId="0D67A491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5C20F7F6" w14:textId="77777777" w:rsidR="004B051F" w:rsidRPr="005B2034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:rsidRPr="004272A6" w14:paraId="15C0A938" w14:textId="77777777" w:rsidTr="00164D5B">
        <w:trPr>
          <w:trHeight w:val="278"/>
        </w:trPr>
        <w:tc>
          <w:tcPr>
            <w:tcW w:w="561" w:type="dxa"/>
            <w:vMerge/>
          </w:tcPr>
          <w:p w14:paraId="5306C75D" w14:textId="77777777" w:rsidR="004B051F" w:rsidRPr="0032170C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461B22DC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Merge w:val="restart"/>
            <w:vAlign w:val="center"/>
          </w:tcPr>
          <w:p w14:paraId="1A15373A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защиты зрения</w:t>
            </w:r>
          </w:p>
        </w:tc>
        <w:tc>
          <w:tcPr>
            <w:tcW w:w="2879" w:type="dxa"/>
            <w:vAlign w:val="center"/>
          </w:tcPr>
          <w:p w14:paraId="3AF475BA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Flicker Free</w:t>
            </w:r>
          </w:p>
        </w:tc>
        <w:tc>
          <w:tcPr>
            <w:tcW w:w="1837" w:type="dxa"/>
            <w:vAlign w:val="center"/>
          </w:tcPr>
          <w:p w14:paraId="4F552940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11C5D6F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Merge/>
          </w:tcPr>
          <w:p w14:paraId="0839355B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51F" w:rsidRPr="004272A6" w14:paraId="574D61BE" w14:textId="77777777" w:rsidTr="00164D5B">
        <w:trPr>
          <w:trHeight w:val="277"/>
        </w:trPr>
        <w:tc>
          <w:tcPr>
            <w:tcW w:w="561" w:type="dxa"/>
            <w:vMerge/>
          </w:tcPr>
          <w:p w14:paraId="1B2895EC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953" w:type="dxa"/>
            <w:vMerge/>
          </w:tcPr>
          <w:p w14:paraId="7F0C4AA2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65" w:type="dxa"/>
            <w:vMerge/>
            <w:vAlign w:val="center"/>
          </w:tcPr>
          <w:p w14:paraId="15982922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Align w:val="center"/>
          </w:tcPr>
          <w:p w14:paraId="096EAFA2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Low Blue Light</w:t>
            </w:r>
          </w:p>
        </w:tc>
        <w:tc>
          <w:tcPr>
            <w:tcW w:w="1837" w:type="dxa"/>
            <w:vAlign w:val="center"/>
          </w:tcPr>
          <w:p w14:paraId="765488C1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240F4914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Merge/>
          </w:tcPr>
          <w:p w14:paraId="79734C91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51F" w:rsidRPr="004272A6" w14:paraId="56D3689D" w14:textId="77777777" w:rsidTr="00164D5B">
        <w:trPr>
          <w:trHeight w:val="480"/>
        </w:trPr>
        <w:tc>
          <w:tcPr>
            <w:tcW w:w="561" w:type="dxa"/>
            <w:vMerge/>
          </w:tcPr>
          <w:p w14:paraId="4EAB94A8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953" w:type="dxa"/>
            <w:vMerge/>
          </w:tcPr>
          <w:p w14:paraId="2772DAAF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65" w:type="dxa"/>
            <w:vAlign w:val="center"/>
          </w:tcPr>
          <w:p w14:paraId="7C3C2364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Размер VESA</w:t>
            </w:r>
          </w:p>
        </w:tc>
        <w:tc>
          <w:tcPr>
            <w:tcW w:w="2879" w:type="dxa"/>
            <w:vAlign w:val="center"/>
          </w:tcPr>
          <w:p w14:paraId="2A26BFE5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75x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</w:p>
        </w:tc>
        <w:tc>
          <w:tcPr>
            <w:tcW w:w="1837" w:type="dxa"/>
            <w:vAlign w:val="center"/>
          </w:tcPr>
          <w:p w14:paraId="2B9C84BE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28" w:type="dxa"/>
            <w:vAlign w:val="center"/>
          </w:tcPr>
          <w:p w14:paraId="2E9D2A9E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  <w:tc>
          <w:tcPr>
            <w:tcW w:w="1931" w:type="dxa"/>
            <w:vMerge/>
          </w:tcPr>
          <w:p w14:paraId="5E78AEB6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51F" w:rsidRPr="004272A6" w14:paraId="1908CEFC" w14:textId="77777777" w:rsidTr="00164D5B">
        <w:trPr>
          <w:trHeight w:val="480"/>
        </w:trPr>
        <w:tc>
          <w:tcPr>
            <w:tcW w:w="561" w:type="dxa"/>
            <w:vMerge/>
          </w:tcPr>
          <w:p w14:paraId="0761297A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953" w:type="dxa"/>
            <w:vMerge/>
          </w:tcPr>
          <w:p w14:paraId="3580EA03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65" w:type="dxa"/>
            <w:vAlign w:val="center"/>
          </w:tcPr>
          <w:p w14:paraId="2D9E53E0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Регулировка наклона</w:t>
            </w:r>
          </w:p>
        </w:tc>
        <w:tc>
          <w:tcPr>
            <w:tcW w:w="2879" w:type="dxa"/>
            <w:vAlign w:val="center"/>
          </w:tcPr>
          <w:p w14:paraId="2E048999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7" w:type="dxa"/>
            <w:vAlign w:val="center"/>
          </w:tcPr>
          <w:p w14:paraId="7F1F8885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28" w:type="dxa"/>
            <w:vAlign w:val="center"/>
          </w:tcPr>
          <w:p w14:paraId="77C563A1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Merge/>
          </w:tcPr>
          <w:p w14:paraId="6A8C0781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51F" w:rsidRPr="004272A6" w14:paraId="5EBCA37E" w14:textId="77777777" w:rsidTr="00164D5B">
        <w:trPr>
          <w:trHeight w:val="480"/>
        </w:trPr>
        <w:tc>
          <w:tcPr>
            <w:tcW w:w="561" w:type="dxa"/>
            <w:vMerge/>
          </w:tcPr>
          <w:p w14:paraId="01F95B57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953" w:type="dxa"/>
            <w:vMerge/>
          </w:tcPr>
          <w:p w14:paraId="5631B826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65" w:type="dxa"/>
            <w:vAlign w:val="center"/>
          </w:tcPr>
          <w:p w14:paraId="4C7275B4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Расположение блока питания</w:t>
            </w:r>
          </w:p>
        </w:tc>
        <w:tc>
          <w:tcPr>
            <w:tcW w:w="2879" w:type="dxa"/>
            <w:vAlign w:val="center"/>
          </w:tcPr>
          <w:p w14:paraId="5E1A5A72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</w:t>
            </w:r>
          </w:p>
        </w:tc>
        <w:tc>
          <w:tcPr>
            <w:tcW w:w="1837" w:type="dxa"/>
            <w:vAlign w:val="center"/>
          </w:tcPr>
          <w:p w14:paraId="340CC25F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28" w:type="dxa"/>
            <w:vAlign w:val="center"/>
          </w:tcPr>
          <w:p w14:paraId="6889931F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Merge/>
          </w:tcPr>
          <w:p w14:paraId="00DDF996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51F" w:rsidRPr="004272A6" w14:paraId="1657A29D" w14:textId="77777777" w:rsidTr="00164D5B">
        <w:trPr>
          <w:trHeight w:val="480"/>
        </w:trPr>
        <w:tc>
          <w:tcPr>
            <w:tcW w:w="561" w:type="dxa"/>
            <w:vMerge/>
          </w:tcPr>
          <w:p w14:paraId="05D8F4DE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953" w:type="dxa"/>
            <w:vMerge/>
          </w:tcPr>
          <w:p w14:paraId="6F368A4A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65" w:type="dxa"/>
            <w:vAlign w:val="center"/>
          </w:tcPr>
          <w:p w14:paraId="1A642814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абель 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HDMI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4272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комплекте поставки</w:t>
            </w:r>
          </w:p>
        </w:tc>
        <w:tc>
          <w:tcPr>
            <w:tcW w:w="2879" w:type="dxa"/>
            <w:vAlign w:val="center"/>
          </w:tcPr>
          <w:p w14:paraId="0F625006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7" w:type="dxa"/>
            <w:vAlign w:val="center"/>
          </w:tcPr>
          <w:p w14:paraId="49A4B7F7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4F326B00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5C3FCAE5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1F" w:rsidRPr="004272A6" w14:paraId="33F67653" w14:textId="77777777" w:rsidTr="00164D5B">
        <w:trPr>
          <w:trHeight w:val="480"/>
        </w:trPr>
        <w:tc>
          <w:tcPr>
            <w:tcW w:w="561" w:type="dxa"/>
            <w:vMerge/>
          </w:tcPr>
          <w:p w14:paraId="3B061855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3" w:type="dxa"/>
            <w:vMerge/>
          </w:tcPr>
          <w:p w14:paraId="73E050AA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7F837726" w14:textId="77777777" w:rsidR="004B051F" w:rsidRPr="004272A6" w:rsidRDefault="004B051F" w:rsidP="00164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0">
              <w:rPr>
                <w:rFonts w:ascii="Times New Roman" w:hAnsi="Times New Roman" w:cs="Times New Roman"/>
                <w:bCs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2879" w:type="dxa"/>
            <w:vAlign w:val="center"/>
          </w:tcPr>
          <w:p w14:paraId="717EF47F" w14:textId="77777777" w:rsidR="004B051F" w:rsidRPr="004272A6" w:rsidRDefault="004B051F" w:rsidP="00164D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0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1837" w:type="dxa"/>
            <w:vAlign w:val="center"/>
          </w:tcPr>
          <w:p w14:paraId="2E76AA8B" w14:textId="77777777" w:rsidR="004B051F" w:rsidRPr="004272A6" w:rsidRDefault="004B051F" w:rsidP="00164D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19795A75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14:paraId="5F900AAD" w14:textId="77777777" w:rsidR="004B051F" w:rsidRPr="004272A6" w:rsidRDefault="004B051F" w:rsidP="0016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7E737" w14:textId="77777777" w:rsidR="00CF7B72" w:rsidRPr="000A2DCF" w:rsidRDefault="00CF7B72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C7622" w14:paraId="5CD8B226" w14:textId="77777777" w:rsidTr="003F5153">
        <w:tc>
          <w:tcPr>
            <w:tcW w:w="4536" w:type="dxa"/>
            <w:vAlign w:val="bottom"/>
          </w:tcPr>
          <w:p w14:paraId="29EFB254" w14:textId="4985A048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7622" w14:paraId="52BE7903" w14:textId="77777777" w:rsidTr="00CF7B72">
        <w:tc>
          <w:tcPr>
            <w:tcW w:w="4536" w:type="dxa"/>
          </w:tcPr>
          <w:p w14:paraId="003737F9" w14:textId="37BDAB86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4C7622" w:rsidRPr="00DA3F95" w:rsidRDefault="004C7622" w:rsidP="004C7622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C7622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3703369B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4845C114" w14:textId="77777777" w:rsidR="004C7622" w:rsidRDefault="004C7622" w:rsidP="004C76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AB16650" w14:textId="77777777" w:rsidR="001028C9" w:rsidRPr="0082676B" w:rsidRDefault="001028C9" w:rsidP="00571E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536B41">
          <w:pgSz w:w="16838" w:h="11906" w:orient="landscape"/>
          <w:pgMar w:top="141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417"/>
        <w:gridCol w:w="993"/>
        <w:gridCol w:w="849"/>
        <w:gridCol w:w="1419"/>
        <w:gridCol w:w="1418"/>
      </w:tblGrid>
      <w:tr w:rsidR="00F66566" w:rsidRPr="00576DFF" w14:paraId="347EC897" w14:textId="77777777" w:rsidTr="008312DF">
        <w:tc>
          <w:tcPr>
            <w:tcW w:w="567" w:type="dxa"/>
            <w:vAlign w:val="center"/>
          </w:tcPr>
          <w:p w14:paraId="2686082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268" w:type="dxa"/>
            <w:vAlign w:val="center"/>
          </w:tcPr>
          <w:p w14:paraId="5BF908E3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7BD6D65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993" w:type="dxa"/>
            <w:vAlign w:val="center"/>
          </w:tcPr>
          <w:p w14:paraId="4AEC5AB8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849" w:type="dxa"/>
            <w:vAlign w:val="center"/>
          </w:tcPr>
          <w:p w14:paraId="6FAC7F3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47992B1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Цена товара (в том числе НДС), руб. </w:t>
            </w:r>
          </w:p>
        </w:tc>
        <w:tc>
          <w:tcPr>
            <w:tcW w:w="1418" w:type="dxa"/>
            <w:vAlign w:val="center"/>
          </w:tcPr>
          <w:p w14:paraId="5A16B731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Сумма (в том числе НДС), руб. </w:t>
            </w:r>
          </w:p>
        </w:tc>
      </w:tr>
      <w:tr w:rsidR="00F66566" w:rsidRPr="00576DFF" w14:paraId="25F34E43" w14:textId="77777777" w:rsidTr="008312DF">
        <w:trPr>
          <w:trHeight w:val="316"/>
        </w:trPr>
        <w:tc>
          <w:tcPr>
            <w:tcW w:w="567" w:type="dxa"/>
            <w:vAlign w:val="center"/>
          </w:tcPr>
          <w:p w14:paraId="7EE21102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1B376DB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CE39696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40B395EA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48B100B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F66566" w:rsidRPr="00576DFF" w14:paraId="039FD677" w14:textId="77777777" w:rsidTr="008312DF">
        <w:tc>
          <w:tcPr>
            <w:tcW w:w="567" w:type="dxa"/>
            <w:vAlign w:val="center"/>
          </w:tcPr>
          <w:p w14:paraId="020E3922" w14:textId="77777777" w:rsidR="00F66566" w:rsidRPr="00576DFF" w:rsidRDefault="00F66566" w:rsidP="008312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2037DDD5" w:rsidR="00F66566" w:rsidRPr="00B273E1" w:rsidRDefault="004B051F" w:rsidP="008312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051F">
              <w:rPr>
                <w:rFonts w:ascii="Times New Roman" w:hAnsi="Times New Roman" w:cs="Times New Roman"/>
                <w:color w:val="000000" w:themeColor="text1"/>
              </w:rPr>
              <w:t>Монитор MSI PRO MP2412, 23.8", чёрный</w:t>
            </w:r>
          </w:p>
        </w:tc>
        <w:tc>
          <w:tcPr>
            <w:tcW w:w="1560" w:type="dxa"/>
            <w:vAlign w:val="center"/>
          </w:tcPr>
          <w:p w14:paraId="3A6C6686" w14:textId="28A9BC20" w:rsidR="00F66566" w:rsidRPr="00576DFF" w:rsidRDefault="004B051F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051F">
              <w:rPr>
                <w:rFonts w:ascii="Times New Roman" w:hAnsi="Times New Roman" w:cs="Times New Roman"/>
                <w:color w:val="000000" w:themeColor="text1"/>
              </w:rPr>
              <w:t>26.20.17.110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030EC02F" w:rsidR="00F66566" w:rsidRPr="00576DFF" w:rsidRDefault="004B051F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5DC4E644" w:rsidR="00F66566" w:rsidRPr="00576DFF" w:rsidRDefault="004B051F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15F68A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8312DF">
        <w:tc>
          <w:tcPr>
            <w:tcW w:w="9073" w:type="dxa"/>
            <w:gridSpan w:val="7"/>
            <w:vAlign w:val="center"/>
          </w:tcPr>
          <w:p w14:paraId="25F34DE7" w14:textId="77777777" w:rsidR="00F66566" w:rsidRDefault="00F66566" w:rsidP="008312D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  <w:p w14:paraId="02005304" w14:textId="102F5353" w:rsidR="00F66566" w:rsidRPr="00576DFF" w:rsidRDefault="00F66566" w:rsidP="00F1534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</w:t>
            </w:r>
            <w:r w:rsidR="00F1534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%, руб.:</w:t>
            </w:r>
          </w:p>
        </w:tc>
        <w:tc>
          <w:tcPr>
            <w:tcW w:w="1418" w:type="dxa"/>
            <w:vAlign w:val="center"/>
          </w:tcPr>
          <w:p w14:paraId="617D677D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1DE0DC04" w:rsidR="00F079FF" w:rsidRPr="00F079FF" w:rsidRDefault="00F079FF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F1534F">
        <w:rPr>
          <w:rFonts w:ascii="Times New Roman" w:hAnsi="Times New Roman" w:cs="Times New Roman"/>
          <w:sz w:val="24"/>
        </w:rPr>
        <w:t>1</w:t>
      </w:r>
      <w:r w:rsidR="004B051F">
        <w:rPr>
          <w:rFonts w:ascii="Times New Roman" w:hAnsi="Times New Roman" w:cs="Times New Roman"/>
          <w:sz w:val="24"/>
        </w:rPr>
        <w:t>5</w:t>
      </w:r>
      <w:r w:rsidR="00F66566">
        <w:rPr>
          <w:rFonts w:ascii="Times New Roman" w:hAnsi="Times New Roman" w:cs="Times New Roman"/>
          <w:sz w:val="24"/>
        </w:rPr>
        <w:t xml:space="preserve"> (</w:t>
      </w:r>
      <w:r w:rsidR="004B051F">
        <w:rPr>
          <w:rFonts w:ascii="Times New Roman" w:hAnsi="Times New Roman" w:cs="Times New Roman"/>
          <w:sz w:val="24"/>
        </w:rPr>
        <w:t>пятнадцати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F1534F">
        <w:rPr>
          <w:rFonts w:ascii="Times New Roman" w:hAnsi="Times New Roman" w:cs="Times New Roman"/>
          <w:sz w:val="24"/>
        </w:rPr>
        <w:t>рабочих</w:t>
      </w:r>
      <w:r w:rsidR="00CF7B72">
        <w:rPr>
          <w:rFonts w:ascii="Times New Roman" w:hAnsi="Times New Roman" w:cs="Times New Roman"/>
          <w:sz w:val="24"/>
        </w:rPr>
        <w:t xml:space="preserve"> дней 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3823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606B82DD" w14:textId="77777777" w:rsidTr="003B01CE">
        <w:tc>
          <w:tcPr>
            <w:tcW w:w="4536" w:type="dxa"/>
            <w:vAlign w:val="bottom"/>
          </w:tcPr>
          <w:p w14:paraId="6C0F0630" w14:textId="2B34FB66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0D137079" w14:textId="77777777" w:rsidTr="006C28C7">
        <w:tc>
          <w:tcPr>
            <w:tcW w:w="4536" w:type="dxa"/>
          </w:tcPr>
          <w:p w14:paraId="17883546" w14:textId="6CAF9A27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2418F28" w:rsidR="00F66566" w:rsidRDefault="00F66566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4C7622">
              <w:rPr>
                <w:rFonts w:ascii="Times New Roman" w:hAnsi="Times New Roman" w:cs="Times New Roman"/>
                <w:sz w:val="24"/>
              </w:rPr>
              <w:t>Графов Ю.Г.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396E47A4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63FD5B73" w:rsidR="00F1534F" w:rsidRDefault="00F153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64B23A8" w14:textId="341B1749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</w:t>
      </w:r>
      <w:r w:rsidR="00532987">
        <w:rPr>
          <w:rFonts w:ascii="Times New Roman" w:hAnsi="Times New Roman" w:cs="Times New Roman"/>
          <w:sz w:val="24"/>
        </w:rPr>
        <w:t>3</w:t>
      </w:r>
    </w:p>
    <w:p w14:paraId="2BA3B794" w14:textId="77777777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2C6708C" w14:textId="77777777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51D88526" w14:textId="77777777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A78D7EC" w14:textId="77777777" w:rsidR="00F1534F" w:rsidRDefault="00F1534F" w:rsidP="00F1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005FC4" w14:textId="1C810B7F" w:rsidR="00F1534F" w:rsidRDefault="00F1534F" w:rsidP="00F1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ПОСТАВКИ</w:t>
      </w:r>
    </w:p>
    <w:p w14:paraId="09AA31CF" w14:textId="39B005BE" w:rsidR="005135D8" w:rsidRDefault="005135D8" w:rsidP="00CF7B72">
      <w:pPr>
        <w:rPr>
          <w:rFonts w:ascii="Times New Roman" w:hAnsi="Times New Roman" w:cs="Times New Roman"/>
          <w:sz w:val="24"/>
        </w:rPr>
      </w:pPr>
    </w:p>
    <w:tbl>
      <w:tblPr>
        <w:tblStyle w:val="ab"/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554"/>
        <w:gridCol w:w="1052"/>
        <w:gridCol w:w="725"/>
        <w:gridCol w:w="2316"/>
        <w:gridCol w:w="3845"/>
      </w:tblGrid>
      <w:tr w:rsidR="004B051F" w:rsidRPr="00E5068C" w14:paraId="4A3F53C6" w14:textId="77777777" w:rsidTr="00164D5B">
        <w:trPr>
          <w:jc w:val="center"/>
        </w:trPr>
        <w:tc>
          <w:tcPr>
            <w:tcW w:w="560" w:type="dxa"/>
            <w:vAlign w:val="center"/>
          </w:tcPr>
          <w:p w14:paraId="072C27D3" w14:textId="77777777" w:rsidR="004B051F" w:rsidRPr="00625C9A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554" w:type="dxa"/>
            <w:vAlign w:val="center"/>
          </w:tcPr>
          <w:p w14:paraId="440088F8" w14:textId="77777777" w:rsidR="004B051F" w:rsidRPr="00625C9A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Наименование товара</w:t>
            </w:r>
          </w:p>
        </w:tc>
        <w:tc>
          <w:tcPr>
            <w:tcW w:w="1052" w:type="dxa"/>
          </w:tcPr>
          <w:p w14:paraId="6393583A" w14:textId="77777777" w:rsidR="004B051F" w:rsidRPr="00625C9A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725" w:type="dxa"/>
            <w:vAlign w:val="center"/>
          </w:tcPr>
          <w:p w14:paraId="26AC8383" w14:textId="77777777" w:rsidR="004B051F" w:rsidRPr="00625C9A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2316" w:type="dxa"/>
            <w:vAlign w:val="center"/>
          </w:tcPr>
          <w:p w14:paraId="433DF548" w14:textId="77777777" w:rsidR="004B051F" w:rsidRPr="00625C9A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Адрес поставки</w:t>
            </w:r>
          </w:p>
        </w:tc>
        <w:tc>
          <w:tcPr>
            <w:tcW w:w="3845" w:type="dxa"/>
            <w:vAlign w:val="center"/>
          </w:tcPr>
          <w:p w14:paraId="3AF7A9F1" w14:textId="77777777" w:rsidR="004B051F" w:rsidRPr="00625C9A" w:rsidRDefault="004B051F" w:rsidP="00164D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Контактное лицо</w:t>
            </w:r>
          </w:p>
        </w:tc>
      </w:tr>
      <w:tr w:rsidR="004B051F" w:rsidRPr="00D12BF3" w14:paraId="46C17A11" w14:textId="77777777" w:rsidTr="00164D5B">
        <w:trPr>
          <w:trHeight w:val="395"/>
          <w:jc w:val="center"/>
        </w:trPr>
        <w:tc>
          <w:tcPr>
            <w:tcW w:w="560" w:type="dxa"/>
            <w:vMerge w:val="restart"/>
            <w:vAlign w:val="center"/>
          </w:tcPr>
          <w:p w14:paraId="7A7DA8DF" w14:textId="77777777" w:rsidR="004B051F" w:rsidRPr="00E5068C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41C459F7" w14:textId="77777777" w:rsidR="004B051F" w:rsidRPr="00F06F8F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  <w:r w:rsidRPr="00736745">
              <w:rPr>
                <w:rFonts w:ascii="Times New Roman" w:hAnsi="Times New Roman" w:cs="Times New Roman"/>
              </w:rPr>
              <w:t>Монитор MSI PRO MP2412, 23.8", чёрный</w:t>
            </w:r>
          </w:p>
        </w:tc>
        <w:tc>
          <w:tcPr>
            <w:tcW w:w="1052" w:type="dxa"/>
            <w:vMerge w:val="restart"/>
            <w:vAlign w:val="center"/>
          </w:tcPr>
          <w:p w14:paraId="24BC2263" w14:textId="77777777" w:rsidR="004B051F" w:rsidRPr="000F5B72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25" w:type="dxa"/>
            <w:vAlign w:val="center"/>
          </w:tcPr>
          <w:p w14:paraId="607FF8A5" w14:textId="77777777" w:rsidR="004B051F" w:rsidRPr="00AD6E89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16" w:type="dxa"/>
            <w:vMerge w:val="restart"/>
            <w:vAlign w:val="center"/>
          </w:tcPr>
          <w:p w14:paraId="2872B320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</w:t>
            </w:r>
          </w:p>
          <w:p w14:paraId="534E9CA7" w14:textId="77777777" w:rsidR="004B051F" w:rsidRPr="00D12BF3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Вернадского,</w:t>
            </w:r>
            <w:r>
              <w:rPr>
                <w:rFonts w:ascii="Times New Roman" w:hAnsi="Times New Roman" w:cs="Times New Roman"/>
              </w:rPr>
              <w:br/>
              <w:t>д. 78</w:t>
            </w:r>
          </w:p>
        </w:tc>
        <w:tc>
          <w:tcPr>
            <w:tcW w:w="3845" w:type="dxa"/>
            <w:vAlign w:val="center"/>
          </w:tcPr>
          <w:p w14:paraId="09DC9E32" w14:textId="77777777" w:rsidR="004B051F" w:rsidRPr="00736745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6745">
              <w:rPr>
                <w:rFonts w:ascii="Times New Roman" w:hAnsi="Times New Roman" w:cs="Times New Roman"/>
                <w:sz w:val="24"/>
              </w:rPr>
              <w:t>Шорыгина Марина Михайловна,</w:t>
            </w:r>
          </w:p>
          <w:p w14:paraId="6FAD8A60" w14:textId="77777777" w:rsidR="004B051F" w:rsidRPr="00736745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6745">
              <w:rPr>
                <w:rFonts w:ascii="Times New Roman" w:hAnsi="Times New Roman" w:cs="Times New Roman"/>
                <w:sz w:val="24"/>
              </w:rPr>
              <w:t>тел.: +7 (499) 600-80-80 доб. 20407,</w:t>
            </w:r>
          </w:p>
          <w:p w14:paraId="6FA27723" w14:textId="77777777" w:rsidR="004B051F" w:rsidRPr="00D12BF3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6745">
              <w:rPr>
                <w:rFonts w:ascii="Times New Roman" w:hAnsi="Times New Roman" w:cs="Times New Roman"/>
                <w:sz w:val="24"/>
              </w:rPr>
              <w:t>почта: shorygina@mirea.ru</w:t>
            </w:r>
          </w:p>
        </w:tc>
      </w:tr>
      <w:tr w:rsidR="004B051F" w:rsidRPr="00D12BF3" w14:paraId="7B67E32B" w14:textId="77777777" w:rsidTr="00164D5B">
        <w:trPr>
          <w:trHeight w:val="395"/>
          <w:jc w:val="center"/>
        </w:trPr>
        <w:tc>
          <w:tcPr>
            <w:tcW w:w="560" w:type="dxa"/>
            <w:vMerge/>
            <w:vAlign w:val="center"/>
          </w:tcPr>
          <w:p w14:paraId="0774BDDD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24A4790A" w14:textId="77777777" w:rsidR="004B051F" w:rsidRPr="00736745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54C43F7C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07C4637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16" w:type="dxa"/>
            <w:vMerge/>
            <w:vAlign w:val="center"/>
          </w:tcPr>
          <w:p w14:paraId="1429C4C0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vAlign w:val="center"/>
          </w:tcPr>
          <w:p w14:paraId="216DA36A" w14:textId="77777777" w:rsidR="004B051F" w:rsidRPr="00BD6BAD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BAD">
              <w:rPr>
                <w:rFonts w:ascii="Times New Roman" w:hAnsi="Times New Roman" w:cs="Times New Roman"/>
                <w:sz w:val="24"/>
              </w:rPr>
              <w:t>Карпова Александра Васильевна,</w:t>
            </w:r>
          </w:p>
          <w:p w14:paraId="0622CCB0" w14:textId="77777777" w:rsidR="004B051F" w:rsidRPr="00BD6BAD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BAD">
              <w:rPr>
                <w:rFonts w:ascii="Times New Roman" w:hAnsi="Times New Roman" w:cs="Times New Roman"/>
                <w:sz w:val="24"/>
              </w:rPr>
              <w:t>тел.: +7 (499) 600-80-80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6BAD">
              <w:rPr>
                <w:rFonts w:ascii="Times New Roman" w:hAnsi="Times New Roman" w:cs="Times New Roman"/>
                <w:sz w:val="24"/>
              </w:rPr>
              <w:t>доб. 20595,</w:t>
            </w:r>
          </w:p>
          <w:p w14:paraId="001331BE" w14:textId="77777777" w:rsidR="004B051F" w:rsidRPr="00BF53EB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BAD">
              <w:rPr>
                <w:rFonts w:ascii="Times New Roman" w:hAnsi="Times New Roman" w:cs="Times New Roman"/>
                <w:sz w:val="24"/>
              </w:rPr>
              <w:t>почта: karpova_alv@mirea.ru</w:t>
            </w:r>
          </w:p>
        </w:tc>
      </w:tr>
      <w:tr w:rsidR="004B051F" w:rsidRPr="00D12BF3" w14:paraId="39EF6C6E" w14:textId="77777777" w:rsidTr="00164D5B">
        <w:trPr>
          <w:trHeight w:val="395"/>
          <w:jc w:val="center"/>
        </w:trPr>
        <w:tc>
          <w:tcPr>
            <w:tcW w:w="560" w:type="dxa"/>
            <w:vMerge/>
            <w:vAlign w:val="center"/>
          </w:tcPr>
          <w:p w14:paraId="5B82DBB6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4633BCBE" w14:textId="77777777" w:rsidR="004B051F" w:rsidRPr="00736745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49DCA6E1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30FAE81F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16" w:type="dxa"/>
            <w:vMerge/>
            <w:vAlign w:val="center"/>
          </w:tcPr>
          <w:p w14:paraId="24A7B3B2" w14:textId="77777777" w:rsidR="004B051F" w:rsidRDefault="004B051F" w:rsidP="0016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vAlign w:val="center"/>
          </w:tcPr>
          <w:p w14:paraId="50A5839D" w14:textId="77777777" w:rsidR="004B051F" w:rsidRPr="00736745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6745">
              <w:rPr>
                <w:rFonts w:ascii="Times New Roman" w:hAnsi="Times New Roman" w:cs="Times New Roman"/>
                <w:sz w:val="24"/>
              </w:rPr>
              <w:t>Кучмин Иван Васильевич,</w:t>
            </w:r>
          </w:p>
          <w:p w14:paraId="78B6F09A" w14:textId="77777777" w:rsidR="004B051F" w:rsidRPr="00736745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6745">
              <w:rPr>
                <w:rFonts w:ascii="Times New Roman" w:hAnsi="Times New Roman" w:cs="Times New Roman"/>
                <w:sz w:val="24"/>
              </w:rPr>
              <w:t>тел.: +7 (499) 600-80-80 доб. 20360,</w:t>
            </w:r>
          </w:p>
          <w:p w14:paraId="1D394A98" w14:textId="77777777" w:rsidR="004B051F" w:rsidRPr="00BF53EB" w:rsidRDefault="004B051F" w:rsidP="0016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6745">
              <w:rPr>
                <w:rFonts w:ascii="Times New Roman" w:hAnsi="Times New Roman" w:cs="Times New Roman"/>
                <w:sz w:val="24"/>
              </w:rPr>
              <w:t>почта: kuchmin@mirea.ru</w:t>
            </w:r>
          </w:p>
        </w:tc>
      </w:tr>
    </w:tbl>
    <w:p w14:paraId="30D90C69" w14:textId="052C211D" w:rsidR="00F1534F" w:rsidRDefault="00F1534F" w:rsidP="00CF7B72">
      <w:pPr>
        <w:rPr>
          <w:rFonts w:ascii="Times New Roman" w:hAnsi="Times New Roman" w:cs="Times New Roman"/>
          <w:sz w:val="24"/>
        </w:rPr>
      </w:pPr>
    </w:p>
    <w:p w14:paraId="02931E03" w14:textId="77777777" w:rsidR="00F1534F" w:rsidRPr="00335405" w:rsidRDefault="00F1534F" w:rsidP="00F1534F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0F30F69" w14:textId="77777777" w:rsidR="00F1534F" w:rsidRDefault="00F1534F" w:rsidP="00F1534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F1534F" w14:paraId="3DC0DC9C" w14:textId="77777777" w:rsidTr="000D10D1">
        <w:tc>
          <w:tcPr>
            <w:tcW w:w="4536" w:type="dxa"/>
          </w:tcPr>
          <w:p w14:paraId="67A3236F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78934691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07226F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1534F" w14:paraId="253666B9" w14:textId="77777777" w:rsidTr="000D10D1">
        <w:tc>
          <w:tcPr>
            <w:tcW w:w="4536" w:type="dxa"/>
            <w:vAlign w:val="bottom"/>
          </w:tcPr>
          <w:p w14:paraId="2ADC0FCF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5757487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A832BDC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534F" w14:paraId="32D4179A" w14:textId="77777777" w:rsidTr="000D10D1">
        <w:tc>
          <w:tcPr>
            <w:tcW w:w="4536" w:type="dxa"/>
          </w:tcPr>
          <w:p w14:paraId="330F8BD8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6749FA1" w14:textId="77777777" w:rsidR="00F1534F" w:rsidRPr="00DA3F95" w:rsidRDefault="00F1534F" w:rsidP="000D10D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731CCC3C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1534F" w14:paraId="6524ED2A" w14:textId="77777777" w:rsidTr="000D10D1">
        <w:tc>
          <w:tcPr>
            <w:tcW w:w="4536" w:type="dxa"/>
            <w:tcBorders>
              <w:bottom w:val="single" w:sz="4" w:space="0" w:color="auto"/>
            </w:tcBorders>
          </w:tcPr>
          <w:p w14:paraId="0D9A47E3" w14:textId="77777777" w:rsidR="00F1534F" w:rsidRDefault="00F1534F" w:rsidP="000D10D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72C49A3E" w14:textId="77777777" w:rsidR="00F1534F" w:rsidRDefault="00F1534F" w:rsidP="000D10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B5E2100" w14:textId="77777777" w:rsidR="00F1534F" w:rsidRDefault="00F1534F" w:rsidP="000D10D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F1534F" w14:paraId="2EBF3964" w14:textId="77777777" w:rsidTr="000D10D1">
        <w:tc>
          <w:tcPr>
            <w:tcW w:w="4536" w:type="dxa"/>
            <w:tcBorders>
              <w:top w:val="single" w:sz="4" w:space="0" w:color="auto"/>
            </w:tcBorders>
          </w:tcPr>
          <w:p w14:paraId="54AB6150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4DC119F8" w14:textId="77777777" w:rsidR="00F1534F" w:rsidRPr="00DA3F95" w:rsidRDefault="00F1534F" w:rsidP="000D10D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40E2C1E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8FEF888" w14:textId="77777777" w:rsidR="00F1534F" w:rsidRDefault="00F1534F" w:rsidP="00CF7B72">
      <w:pPr>
        <w:rPr>
          <w:rFonts w:ascii="Times New Roman" w:hAnsi="Times New Roman" w:cs="Times New Roman"/>
          <w:sz w:val="24"/>
        </w:rPr>
      </w:pPr>
    </w:p>
    <w:sectPr w:rsidR="00F1534F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6784" w14:textId="77777777" w:rsidR="00162C70" w:rsidRDefault="00162C70" w:rsidP="00630DA9">
      <w:pPr>
        <w:spacing w:after="0" w:line="240" w:lineRule="auto"/>
      </w:pPr>
      <w:r>
        <w:separator/>
      </w:r>
    </w:p>
  </w:endnote>
  <w:endnote w:type="continuationSeparator" w:id="0">
    <w:p w14:paraId="058FF38C" w14:textId="77777777" w:rsidR="00162C70" w:rsidRDefault="00162C70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0E1B21" w:rsidRPr="0035379A" w:rsidRDefault="000E1B21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0E1B21" w:rsidRPr="0035379A" w:rsidRDefault="000E1B21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0E1B21" w:rsidRPr="007347D4" w:rsidRDefault="000E1B21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57ACCC5B" w:rsidR="000E1B21" w:rsidRPr="003B3D83" w:rsidRDefault="000E1B21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673279">
      <w:rPr>
        <w:rFonts w:ascii="Bookman Old Style" w:hAnsi="Bookman Old Style"/>
        <w:noProof/>
        <w:color w:val="1F3864" w:themeColor="accent5" w:themeShade="80"/>
      </w:rPr>
      <w:t>19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673279">
      <w:rPr>
        <w:rFonts w:ascii="Bookman Old Style" w:hAnsi="Bookman Old Style"/>
        <w:noProof/>
        <w:color w:val="1F3864" w:themeColor="accent5" w:themeShade="80"/>
      </w:rPr>
      <w:t>19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0E1B21" w:rsidRPr="00630DA9" w:rsidRDefault="000E1B21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A44CF" w14:textId="77777777" w:rsidR="00162C70" w:rsidRDefault="00162C70" w:rsidP="00630DA9">
      <w:pPr>
        <w:spacing w:after="0" w:line="240" w:lineRule="auto"/>
      </w:pPr>
      <w:r>
        <w:separator/>
      </w:r>
    </w:p>
  </w:footnote>
  <w:footnote w:type="continuationSeparator" w:id="0">
    <w:p w14:paraId="1EA78ECF" w14:textId="77777777" w:rsidR="00162C70" w:rsidRDefault="00162C70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79B5"/>
    <w:multiLevelType w:val="multilevel"/>
    <w:tmpl w:val="F0A203B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142AB"/>
    <w:multiLevelType w:val="multilevel"/>
    <w:tmpl w:val="9EF0E1C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0"/>
  </w:num>
  <w:num w:numId="4">
    <w:abstractNumId w:val="5"/>
  </w:num>
  <w:num w:numId="5">
    <w:abstractNumId w:val="47"/>
  </w:num>
  <w:num w:numId="6">
    <w:abstractNumId w:val="27"/>
  </w:num>
  <w:num w:numId="7">
    <w:abstractNumId w:val="2"/>
  </w:num>
  <w:num w:numId="8">
    <w:abstractNumId w:val="35"/>
  </w:num>
  <w:num w:numId="9">
    <w:abstractNumId w:val="22"/>
  </w:num>
  <w:num w:numId="10">
    <w:abstractNumId w:val="9"/>
  </w:num>
  <w:num w:numId="11">
    <w:abstractNumId w:val="34"/>
  </w:num>
  <w:num w:numId="12">
    <w:abstractNumId w:val="36"/>
  </w:num>
  <w:num w:numId="13">
    <w:abstractNumId w:val="37"/>
  </w:num>
  <w:num w:numId="14">
    <w:abstractNumId w:val="20"/>
  </w:num>
  <w:num w:numId="15">
    <w:abstractNumId w:val="4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9"/>
  </w:num>
  <w:num w:numId="23">
    <w:abstractNumId w:val="3"/>
  </w:num>
  <w:num w:numId="24">
    <w:abstractNumId w:val="44"/>
  </w:num>
  <w:num w:numId="25">
    <w:abstractNumId w:val="28"/>
  </w:num>
  <w:num w:numId="26">
    <w:abstractNumId w:val="24"/>
  </w:num>
  <w:num w:numId="27">
    <w:abstractNumId w:val="42"/>
  </w:num>
  <w:num w:numId="28">
    <w:abstractNumId w:val="17"/>
  </w:num>
  <w:num w:numId="29">
    <w:abstractNumId w:val="31"/>
  </w:num>
  <w:num w:numId="30">
    <w:abstractNumId w:val="13"/>
  </w:num>
  <w:num w:numId="31">
    <w:abstractNumId w:val="29"/>
  </w:num>
  <w:num w:numId="32">
    <w:abstractNumId w:val="45"/>
  </w:num>
  <w:num w:numId="33">
    <w:abstractNumId w:val="25"/>
  </w:num>
  <w:num w:numId="34">
    <w:abstractNumId w:val="46"/>
  </w:num>
  <w:num w:numId="35">
    <w:abstractNumId w:val="26"/>
  </w:num>
  <w:num w:numId="36">
    <w:abstractNumId w:val="21"/>
  </w:num>
  <w:num w:numId="37">
    <w:abstractNumId w:val="41"/>
  </w:num>
  <w:num w:numId="38">
    <w:abstractNumId w:val="18"/>
  </w:num>
  <w:num w:numId="39">
    <w:abstractNumId w:val="32"/>
  </w:num>
  <w:num w:numId="40">
    <w:abstractNumId w:val="8"/>
  </w:num>
  <w:num w:numId="41">
    <w:abstractNumId w:val="23"/>
  </w:num>
  <w:num w:numId="42">
    <w:abstractNumId w:val="3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0"/>
  </w:num>
  <w:num w:numId="46">
    <w:abstractNumId w:val="43"/>
  </w:num>
  <w:num w:numId="47">
    <w:abstractNumId w:val="33"/>
  </w:num>
  <w:num w:numId="48">
    <w:abstractNumId w:val="30"/>
  </w:num>
  <w:num w:numId="49">
    <w:abstractNumId w:val="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2792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2C70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B1D2B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403615"/>
    <w:rsid w:val="00407CB9"/>
    <w:rsid w:val="00413384"/>
    <w:rsid w:val="00425351"/>
    <w:rsid w:val="004260EA"/>
    <w:rsid w:val="004262A4"/>
    <w:rsid w:val="0042691D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051F"/>
    <w:rsid w:val="004B308F"/>
    <w:rsid w:val="004B7A47"/>
    <w:rsid w:val="004C53B5"/>
    <w:rsid w:val="004C7622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121DF"/>
    <w:rsid w:val="005135D8"/>
    <w:rsid w:val="005205BB"/>
    <w:rsid w:val="005229D4"/>
    <w:rsid w:val="00527D6F"/>
    <w:rsid w:val="00527DA2"/>
    <w:rsid w:val="005304D6"/>
    <w:rsid w:val="00532987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73279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9325B"/>
    <w:rsid w:val="00795E13"/>
    <w:rsid w:val="007A50DE"/>
    <w:rsid w:val="007B024C"/>
    <w:rsid w:val="007B5734"/>
    <w:rsid w:val="007B6EF5"/>
    <w:rsid w:val="007B75E1"/>
    <w:rsid w:val="007C2D6E"/>
    <w:rsid w:val="007C3B67"/>
    <w:rsid w:val="007C4794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41C1E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2DAA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4AC1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C646A"/>
    <w:rsid w:val="00AC689B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7683"/>
    <w:rsid w:val="00D120DA"/>
    <w:rsid w:val="00D12899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8ED"/>
    <w:rsid w:val="00F0034D"/>
    <w:rsid w:val="00F02F93"/>
    <w:rsid w:val="00F0549C"/>
    <w:rsid w:val="00F05F67"/>
    <w:rsid w:val="00F079FF"/>
    <w:rsid w:val="00F11332"/>
    <w:rsid w:val="00F1534F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12EB-C783-4692-9961-ED1E8CDE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6187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 Ярослав Владимирович</cp:lastModifiedBy>
  <cp:revision>17</cp:revision>
  <cp:lastPrinted>2024-03-28T07:07:00Z</cp:lastPrinted>
  <dcterms:created xsi:type="dcterms:W3CDTF">2025-05-22T14:52:00Z</dcterms:created>
  <dcterms:modified xsi:type="dcterms:W3CDTF">2026-06-01T11:51:00Z</dcterms:modified>
</cp:coreProperties>
</file>