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E849" w14:textId="0F0DEEE4" w:rsidR="00050672" w:rsidRDefault="00051FD6" w:rsidP="00000990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</w:t>
      </w:r>
      <w:r w:rsidR="008F469C" w:rsidRPr="008F469C">
        <w:rPr>
          <w:b/>
          <w:sz w:val="28"/>
          <w:szCs w:val="28"/>
          <w:lang w:eastAsia="zh-CN"/>
        </w:rPr>
        <w:t>поставку игрового оборудования для организации занятий по конструированию с детьми</w:t>
      </w:r>
    </w:p>
    <w:p w14:paraId="273C73AF" w14:textId="77777777" w:rsidR="00050672" w:rsidRPr="00050672" w:rsidRDefault="00050672" w:rsidP="00050672">
      <w:pPr>
        <w:rPr>
          <w:sz w:val="28"/>
          <w:szCs w:val="28"/>
          <w:lang w:eastAsia="zh-CN"/>
        </w:rPr>
      </w:pPr>
    </w:p>
    <w:tbl>
      <w:tblPr>
        <w:tblW w:w="525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14"/>
        <w:gridCol w:w="5109"/>
        <w:gridCol w:w="2091"/>
        <w:gridCol w:w="877"/>
        <w:gridCol w:w="850"/>
      </w:tblGrid>
      <w:tr w:rsidR="00D97E7B" w:rsidRPr="000843FF" w14:paraId="335F70C0" w14:textId="77777777" w:rsidTr="00FA2E28">
        <w:trPr>
          <w:trHeight w:val="878"/>
        </w:trPr>
        <w:tc>
          <w:tcPr>
            <w:tcW w:w="231" w:type="pct"/>
            <w:shd w:val="clear" w:color="auto" w:fill="auto"/>
            <w:vAlign w:val="center"/>
          </w:tcPr>
          <w:p w14:paraId="60D60B58" w14:textId="77777777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E7E26C8" w14:textId="229A8DED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товара, комплектность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18A28B25" w14:textId="0C3F769B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товара</w:t>
            </w:r>
          </w:p>
        </w:tc>
        <w:tc>
          <w:tcPr>
            <w:tcW w:w="937" w:type="pct"/>
          </w:tcPr>
          <w:p w14:paraId="0CB0F6C0" w14:textId="5E0E5A0F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393" w:type="pct"/>
          </w:tcPr>
          <w:p w14:paraId="06E4BBAD" w14:textId="4B12F86F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kern w:val="0"/>
                <w:sz w:val="22"/>
                <w:szCs w:val="22"/>
                <w:lang w:eastAsia="ru-RU"/>
              </w:rPr>
              <w:t>Ед.изм</w:t>
            </w:r>
            <w:proofErr w:type="spellEnd"/>
            <w:r>
              <w:rPr>
                <w:kern w:val="0"/>
                <w:sz w:val="22"/>
                <w:szCs w:val="22"/>
                <w:lang w:eastAsia="ru-RU"/>
              </w:rPr>
              <w:t>-я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EC0BEAB" w14:textId="70083BA2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FA2E28" w:rsidRPr="000843FF" w14:paraId="4583F1CB" w14:textId="77777777" w:rsidTr="00FA2E28">
        <w:trPr>
          <w:trHeight w:val="867"/>
        </w:trPr>
        <w:tc>
          <w:tcPr>
            <w:tcW w:w="231" w:type="pct"/>
            <w:shd w:val="clear" w:color="auto" w:fill="auto"/>
            <w:vAlign w:val="center"/>
          </w:tcPr>
          <w:p w14:paraId="6F754C4A" w14:textId="08D2DFF8" w:rsidR="00D97E7B" w:rsidRPr="000843FF" w:rsidRDefault="00483934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68" w:type="pct"/>
            <w:shd w:val="clear" w:color="auto" w:fill="auto"/>
          </w:tcPr>
          <w:p w14:paraId="01FCAB39" w14:textId="77777777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Стол для конструирования </w:t>
            </w:r>
          </w:p>
          <w:p w14:paraId="55415264" w14:textId="3EC5C4B6" w:rsidR="00D97E7B" w:rsidRPr="008C3405" w:rsidRDefault="008C3405" w:rsidP="000843FF">
            <w:pPr>
              <w:suppressAutoHyphens w:val="0"/>
              <w:ind w:firstLine="0"/>
              <w:jc w:val="center"/>
              <w:rPr>
                <w:iCs/>
                <w:kern w:val="0"/>
                <w:sz w:val="22"/>
                <w:szCs w:val="22"/>
                <w:lang w:eastAsia="ru-RU"/>
              </w:rPr>
            </w:pPr>
            <w:r w:rsidRPr="008C3405">
              <w:rPr>
                <w:iCs/>
                <w:kern w:val="0"/>
                <w:sz w:val="22"/>
                <w:szCs w:val="22"/>
                <w:lang w:eastAsia="ru-RU"/>
              </w:rPr>
              <w:t xml:space="preserve">АЛМА 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3B83209E" w14:textId="07FD7E10" w:rsidR="00D97E7B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Стол для конструирования для индивидуальных и групповых игр.</w:t>
            </w:r>
          </w:p>
          <w:p w14:paraId="30872271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Цвет основной – белый с рельефом дерева.</w:t>
            </w:r>
          </w:p>
          <w:p w14:paraId="4B41291C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Структура древесины – Узоры годичных колец на спиле древесины, матовые и глянцевые участки в древесной текстуре.</w:t>
            </w:r>
          </w:p>
          <w:p w14:paraId="1DD2EBC5" w14:textId="43F4A271" w:rsidR="00D97E7B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основания – березовая фанера с толщиной 15 мм</w:t>
            </w:r>
          </w:p>
          <w:p w14:paraId="630BFBE9" w14:textId="77777777" w:rsidR="00C553E8" w:rsidRDefault="00C553E8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  <w:p w14:paraId="7AB34AC6" w14:textId="30A73673" w:rsidR="00C553E8" w:rsidRPr="00C553E8" w:rsidRDefault="00C553E8" w:rsidP="00C553E8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Габариты стола (Ш х </w:t>
            </w:r>
            <w:proofErr w:type="gramStart"/>
            <w:r>
              <w:rPr>
                <w:kern w:val="0"/>
                <w:sz w:val="22"/>
                <w:szCs w:val="22"/>
                <w:lang w:eastAsia="ru-RU"/>
              </w:rPr>
              <w:t>В</w:t>
            </w:r>
            <w:proofErr w:type="gramEnd"/>
            <w:r>
              <w:rPr>
                <w:kern w:val="0"/>
                <w:sz w:val="22"/>
                <w:szCs w:val="22"/>
                <w:lang w:eastAsia="ru-RU"/>
              </w:rPr>
              <w:t xml:space="preserve"> х Г):</w:t>
            </w:r>
          </w:p>
          <w:p w14:paraId="4B4897DF" w14:textId="77777777" w:rsidR="00C553E8" w:rsidRPr="00C553E8" w:rsidRDefault="00C553E8" w:rsidP="00C553E8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C553E8">
              <w:rPr>
                <w:kern w:val="0"/>
                <w:sz w:val="22"/>
                <w:szCs w:val="22"/>
                <w:lang w:eastAsia="ru-RU"/>
              </w:rPr>
              <w:t xml:space="preserve">В сложенном виде: 1000 х 550 х 602 мм. </w:t>
            </w:r>
          </w:p>
          <w:p w14:paraId="4FF4AB8F" w14:textId="61549C35" w:rsidR="00C553E8" w:rsidRDefault="00C553E8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C553E8">
              <w:rPr>
                <w:kern w:val="0"/>
                <w:sz w:val="22"/>
                <w:szCs w:val="22"/>
                <w:lang w:eastAsia="ru-RU"/>
              </w:rPr>
              <w:t>В разложенном виде: 1848 х 550 х 1166 мм.</w:t>
            </w:r>
          </w:p>
          <w:p w14:paraId="78665B8C" w14:textId="77777777" w:rsidR="00C553E8" w:rsidRDefault="00C553E8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  <w:p w14:paraId="72686351" w14:textId="1B08A37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столешницы – рабочая поверхность из фанеры толщиной 15 мм и бортиками из МДФ с толщиной 8 мм.</w:t>
            </w:r>
          </w:p>
          <w:p w14:paraId="29B6FD55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Рабочая поверхность на столешнице должна быть разделена на две зоны.</w:t>
            </w:r>
          </w:p>
          <w:p w14:paraId="6C2176B9" w14:textId="5E2E1503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Размер рабочего поля –</w:t>
            </w:r>
            <w:r w:rsidR="004A5E51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>470 * 520 мм</w:t>
            </w:r>
          </w:p>
          <w:p w14:paraId="5AD49709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 каждую нишу рабочего поля должна вставляться пластина – основа для конструирования.</w:t>
            </w:r>
          </w:p>
          <w:p w14:paraId="28B3099D" w14:textId="28E90BAD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Количество пластин –2 шт.</w:t>
            </w:r>
          </w:p>
          <w:p w14:paraId="7784A19A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Размер каждой пластины должен быть 38х 38 см</w:t>
            </w:r>
          </w:p>
          <w:p w14:paraId="36387B6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Цвет пластин – серый и зеленый.</w:t>
            </w:r>
          </w:p>
          <w:p w14:paraId="2FE3960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На всей поверхности пластины должны быть выступы для крепления деталей конструктора.</w:t>
            </w:r>
          </w:p>
          <w:p w14:paraId="49007D4A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Столешница должна быть раздвижной, с наличием стопоров для безопасности.</w:t>
            </w:r>
          </w:p>
          <w:p w14:paraId="32D3506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Под раздвижными столешницами должны находиться пластины для сборки конструкторов, отсек для хранения деталей или заготовок. </w:t>
            </w:r>
          </w:p>
          <w:p w14:paraId="6FC16FEA" w14:textId="0D850A9B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Отсеки должны быть разделены съемными перегородками –5 штук, выполненными из фанеры толщиной 5 мм </w:t>
            </w:r>
          </w:p>
          <w:p w14:paraId="6AEF49AF" w14:textId="1A244956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Глубина отсека –8 см</w:t>
            </w:r>
          </w:p>
          <w:p w14:paraId="78EAAB24" w14:textId="0F71C1CB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Количество отсеков –12 шт.  </w:t>
            </w:r>
          </w:p>
          <w:p w14:paraId="5DB48BEC" w14:textId="7D1E31B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Размер каждой ячейки –172 мм х 132 мм.</w:t>
            </w:r>
          </w:p>
          <w:p w14:paraId="7268C2B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Возможность снятия перегородок для увеличения размера отсеков – наличие.</w:t>
            </w:r>
          </w:p>
          <w:p w14:paraId="3802A220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Скамья для занятий – должно быть 2 шт.</w:t>
            </w:r>
          </w:p>
          <w:p w14:paraId="58126F94" w14:textId="6FF6D2E4" w:rsidR="00D97E7B" w:rsidRPr="000843FF" w:rsidRDefault="004A5E51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Размер – </w:t>
            </w:r>
            <w:r w:rsidR="00D97E7B" w:rsidRPr="000843FF">
              <w:rPr>
                <w:kern w:val="0"/>
                <w:sz w:val="22"/>
                <w:szCs w:val="22"/>
                <w:lang w:eastAsia="ru-RU"/>
              </w:rPr>
              <w:t>249,1 х 565 мм</w:t>
            </w:r>
          </w:p>
          <w:p w14:paraId="564F6551" w14:textId="6B0572B5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Высота скамьи –285 мм</w:t>
            </w:r>
          </w:p>
          <w:p w14:paraId="3EEECB7D" w14:textId="4B0E6996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– фанера толщиной 15 мм</w:t>
            </w:r>
          </w:p>
          <w:p w14:paraId="6A0145F0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Стол и скамья должны включать в своей конструкции    окрашенные элементы.</w:t>
            </w:r>
          </w:p>
          <w:p w14:paraId="4DE4E59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Возможность выбора цвета элементов пастельно- желтый (RAL 1034) или светло- зеленый (RAL 6027) – наличие</w:t>
            </w:r>
          </w:p>
          <w:p w14:paraId="6149F201" w14:textId="45127423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элементов – МДФ с толщиной 16 мм</w:t>
            </w:r>
          </w:p>
          <w:p w14:paraId="6CD60A1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В комплекте должны быть Конструкторы, направленные на развиваемые навыки (логика и 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мышление, моторика и ловкость, творческое мышление). </w:t>
            </w:r>
          </w:p>
          <w:p w14:paraId="6A4F2778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Конструкторы должны быть представлены в виде 3 наборов. </w:t>
            </w:r>
          </w:p>
          <w:p w14:paraId="79AA091F" w14:textId="1C4877C2" w:rsidR="00D97E7B" w:rsidRPr="000843FF" w:rsidRDefault="00D97E7B" w:rsidP="000843FF">
            <w:pPr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Набор с деталями </w:t>
            </w:r>
            <w:r w:rsidRPr="000843FF">
              <w:rPr>
                <w:kern w:val="0"/>
                <w:sz w:val="22"/>
                <w:szCs w:val="22"/>
                <w:lang w:val="en-US" w:eastAsia="ru-RU"/>
              </w:rPr>
              <w:t>Lego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0843FF">
              <w:rPr>
                <w:kern w:val="0"/>
                <w:sz w:val="22"/>
                <w:szCs w:val="22"/>
                <w:lang w:val="en-US" w:eastAsia="ru-RU"/>
              </w:rPr>
              <w:t>Education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14:paraId="0B2CE4FF" w14:textId="6FFE3176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Количество деталей конструктора </w:t>
            </w:r>
            <w:proofErr w:type="gramStart"/>
            <w:r w:rsidRPr="000843FF">
              <w:rPr>
                <w:kern w:val="0"/>
                <w:sz w:val="22"/>
                <w:szCs w:val="22"/>
                <w:lang w:eastAsia="ru-RU"/>
              </w:rPr>
              <w:t>–  104</w:t>
            </w:r>
            <w:proofErr w:type="gram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деталей.</w:t>
            </w:r>
          </w:p>
          <w:p w14:paraId="5459D27E" w14:textId="05BC786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Количество мини-фигурок –24 шт. (жираф, слон, лев, бегемот, крокодил, пингвин, зебра, тигр, белый медведь, гризли, черепаха, рыба, панда)</w:t>
            </w:r>
          </w:p>
          <w:p w14:paraId="14ED0D09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Детали набора должны быть совместимы друг с другом.</w:t>
            </w:r>
          </w:p>
          <w:p w14:paraId="2770D152" w14:textId="2A63B6B3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Возможность воссоздания среды обитания животных –5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(тайга, джунгли, Антарктида, саванна, река).</w:t>
            </w:r>
          </w:p>
          <w:p w14:paraId="2E1B03BE" w14:textId="4E64BC1B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Цвета строительных блоков –8 цветов (голубой, зеленый, светло–зеленый, белый, бежевый, коричневый, серый, полупрозрачный голубой).</w:t>
            </w:r>
          </w:p>
          <w:p w14:paraId="5D6B5867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Возможность с помощью строительных блоков построить небольшие локации (среда обитания) - сосну для медведей, лед для пингвинов, водоем для крокодила, бамбук для панды - наличие</w:t>
            </w:r>
          </w:p>
          <w:p w14:paraId="7A2B531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– пластик</w:t>
            </w:r>
          </w:p>
          <w:p w14:paraId="6B1F73DE" w14:textId="23271CFA" w:rsidR="00D97E7B" w:rsidRPr="000843FF" w:rsidRDefault="00D97E7B" w:rsidP="000843FF">
            <w:pPr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Набор с деталями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Lego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0843FF">
              <w:rPr>
                <w:kern w:val="0"/>
                <w:sz w:val="22"/>
                <w:szCs w:val="22"/>
                <w:lang w:val="en-US" w:eastAsia="ru-RU"/>
              </w:rPr>
              <w:t>Education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14:paraId="30ACF5AC" w14:textId="099131CD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Количество деталей конструктора </w:t>
            </w:r>
            <w:proofErr w:type="gramStart"/>
            <w:r w:rsidRPr="000843FF">
              <w:rPr>
                <w:kern w:val="0"/>
                <w:sz w:val="22"/>
                <w:szCs w:val="22"/>
                <w:lang w:eastAsia="ru-RU"/>
              </w:rPr>
              <w:t>–  1207</w:t>
            </w:r>
            <w:proofErr w:type="gram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деталей</w:t>
            </w:r>
          </w:p>
          <w:p w14:paraId="7659A238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Детали набора должны быть совместимы друг с другом.</w:t>
            </w:r>
          </w:p>
          <w:p w14:paraId="67B13D45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Возможность самостоятельного создания игрушек из деталей – наличие</w:t>
            </w:r>
          </w:p>
          <w:p w14:paraId="158874E2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Возможность создания театральных постановок на различные темы - наличие</w:t>
            </w:r>
          </w:p>
          <w:p w14:paraId="2EF8BC66" w14:textId="2F378440" w:rsidR="00D97E7B" w:rsidRPr="000843FF" w:rsidRDefault="00FA72F7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Цвета строительных блоков </w:t>
            </w:r>
            <w:proofErr w:type="gramStart"/>
            <w:r>
              <w:rPr>
                <w:kern w:val="0"/>
                <w:sz w:val="22"/>
                <w:szCs w:val="22"/>
                <w:lang w:eastAsia="ru-RU"/>
              </w:rPr>
              <w:t xml:space="preserve">– </w:t>
            </w:r>
            <w:r w:rsidR="00D97E7B" w:rsidRPr="000843FF">
              <w:rPr>
                <w:kern w:val="0"/>
                <w:sz w:val="22"/>
                <w:szCs w:val="22"/>
                <w:lang w:eastAsia="ru-RU"/>
              </w:rPr>
              <w:t xml:space="preserve"> 12</w:t>
            </w:r>
            <w:proofErr w:type="gramEnd"/>
            <w:r w:rsidR="00D97E7B" w:rsidRPr="000843FF">
              <w:rPr>
                <w:kern w:val="0"/>
                <w:sz w:val="22"/>
                <w:szCs w:val="22"/>
                <w:lang w:eastAsia="ru-RU"/>
              </w:rPr>
              <w:t xml:space="preserve"> цветов (желтый, коричневый, голубой, синий, красный, зеленый, светло–зеленый, серый, белый, чёрный, розовый, темно –розовый)  </w:t>
            </w:r>
          </w:p>
          <w:p w14:paraId="176054AC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Мини-фигурки (паук, змея, волшебная палочка, кастрюля, жареная кура, цветы, сундук с сокровищами) - наличие</w:t>
            </w:r>
          </w:p>
          <w:p w14:paraId="659D0620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– пластик.</w:t>
            </w:r>
          </w:p>
          <w:p w14:paraId="5400E9F1" w14:textId="77777777" w:rsidR="00D97E7B" w:rsidRPr="001F7144" w:rsidRDefault="00D97E7B" w:rsidP="000843FF">
            <w:pPr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1F7144">
              <w:rPr>
                <w:kern w:val="0"/>
                <w:sz w:val="22"/>
                <w:szCs w:val="22"/>
                <w:lang w:eastAsia="ru-RU"/>
              </w:rPr>
              <w:t xml:space="preserve">Методический мягкий магнитный конструкторский набор для группы </w:t>
            </w:r>
          </w:p>
          <w:p w14:paraId="421BA71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Должен представлять собой набор деталей в виде геометрических фигур с магнитными креплениями.</w:t>
            </w:r>
          </w:p>
          <w:p w14:paraId="39E68782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Детали должны быть выполнены из мягкого и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гипоаллергенного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материала, иметь крупный размер для удобства и для исключения ситуации проглатывания.</w:t>
            </w:r>
          </w:p>
          <w:p w14:paraId="5BE951C1" w14:textId="5A0014FA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Все элементы должны содержать универсальные крепления в диапазоне от 1 до 9 шт.</w:t>
            </w:r>
            <w:r w:rsidR="00823C7D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(в </w:t>
            </w:r>
            <w:proofErr w:type="gramStart"/>
            <w:r w:rsidRPr="000843FF">
              <w:rPr>
                <w:kern w:val="0"/>
                <w:sz w:val="22"/>
                <w:szCs w:val="22"/>
                <w:lang w:eastAsia="ru-RU"/>
              </w:rPr>
              <w:t>зависимости  от</w:t>
            </w:r>
            <w:proofErr w:type="gram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детали)– наличие</w:t>
            </w:r>
          </w:p>
          <w:p w14:paraId="20F2368D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Крепления должны иметь магнитную систему для быстрого и простого процесса стыковки–расстыковки деталей, а также, в этих креплениях должен присутствовать поворотный механизм, для возможности прокрутки элементов на 360 градусов – наличие</w:t>
            </w:r>
          </w:p>
          <w:p w14:paraId="0723861C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При прокручивании должен создаваться эффект трещотки.</w:t>
            </w:r>
          </w:p>
          <w:p w14:paraId="78DC8D33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lastRenderedPageBreak/>
              <w:t>Неприкреплённые детали должны греметь как погремушки.</w:t>
            </w:r>
          </w:p>
          <w:p w14:paraId="4021E419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Все элементы конструктора должны быть раскрашены в основные однотонные цвета, что позволяет использовать их для развития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цветовосприятия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14:paraId="6F38759C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Мягкая структура снаружи и крепкая основа внутри, для развития тактильной стороны сенсорного восприятия – наличие</w:t>
            </w:r>
          </w:p>
          <w:p w14:paraId="6404DC67" w14:textId="7FD94FF5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Общее количество деталей –60</w:t>
            </w:r>
          </w:p>
          <w:p w14:paraId="298849A4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Мягкие магнитные детали:</w:t>
            </w:r>
          </w:p>
          <w:p w14:paraId="6C7DD378" w14:textId="4EDD597F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Красные кубы с магнитом на каждой стороне –5</w:t>
            </w:r>
          </w:p>
          <w:p w14:paraId="322699F5" w14:textId="01AED96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Полукруглые зеленые 3D треугольники </w:t>
            </w:r>
            <w:r w:rsidR="00FA72F7">
              <w:rPr>
                <w:kern w:val="0"/>
                <w:sz w:val="22"/>
                <w:szCs w:val="22"/>
                <w:lang w:eastAsia="ru-RU"/>
              </w:rPr>
              <w:t xml:space="preserve">- 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5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  <w:p w14:paraId="0DED0D1F" w14:textId="2BD7BBC2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Голубые 3D треугольники с магнитом с двух сторон –5</w:t>
            </w:r>
          </w:p>
          <w:p w14:paraId="5A1D0BD1" w14:textId="2238636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сферы с ма</w:t>
            </w:r>
            <w:r w:rsidR="00FA72F7">
              <w:rPr>
                <w:kern w:val="0"/>
                <w:sz w:val="22"/>
                <w:szCs w:val="22"/>
                <w:lang w:eastAsia="ru-RU"/>
              </w:rPr>
              <w:t xml:space="preserve">гнитом с шести сторон </w:t>
            </w:r>
            <w:proofErr w:type="gramStart"/>
            <w:r w:rsidR="00FA72F7">
              <w:rPr>
                <w:kern w:val="0"/>
                <w:sz w:val="22"/>
                <w:szCs w:val="22"/>
                <w:lang w:eastAsia="ru-RU"/>
              </w:rPr>
              <w:t xml:space="preserve">– </w:t>
            </w: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5</w:t>
            </w:r>
            <w:proofErr w:type="gramEnd"/>
          </w:p>
          <w:p w14:paraId="275B3B8D" w14:textId="684B259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цилиндры с полусферическими концами с магнитами на одной стороне –5 шт.</w:t>
            </w:r>
          </w:p>
          <w:p w14:paraId="720855E7" w14:textId="25EEC9C9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полусферы с магнитом на одной стороне –5</w:t>
            </w:r>
          </w:p>
          <w:p w14:paraId="44D47C46" w14:textId="54BFDE03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Фиолетовые 3D конусы с магнитом на одной стороне –5</w:t>
            </w:r>
          </w:p>
          <w:p w14:paraId="26B05EED" w14:textId="5FB5098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Фиолетовые цилиндры с магнитом с двух сторон –5</w:t>
            </w:r>
          </w:p>
          <w:p w14:paraId="5736673D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Магнитные детали:</w:t>
            </w:r>
          </w:p>
          <w:p w14:paraId="5D237164" w14:textId="5025730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Оранжевые пластины с тремя магнитами –5</w:t>
            </w:r>
          </w:p>
          <w:p w14:paraId="33C1E830" w14:textId="47BB7A76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Сгибающиеся голубые соединительные трубки с магнитами с двух сторон –10</w:t>
            </w:r>
          </w:p>
          <w:p w14:paraId="30F551A1" w14:textId="7E55D84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Красные квадратные трубы с магнитом на каждой стороне –5</w:t>
            </w:r>
          </w:p>
          <w:p w14:paraId="4E495F4F" w14:textId="56F2A9A2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Карточки с примерами моделей – н 25 карточек и 50 моделей.</w:t>
            </w:r>
          </w:p>
          <w:p w14:paraId="6FDA410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Методическое пособие:</w:t>
            </w:r>
          </w:p>
          <w:p w14:paraId="22FD6F87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Методическое пособие разработано с акцентом на проведение групповых занятий – наличие</w:t>
            </w:r>
          </w:p>
          <w:p w14:paraId="6FAC5AB1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Занятия разделены на уровни сложности – легкий, средний, сложный</w:t>
            </w:r>
          </w:p>
          <w:p w14:paraId="42203189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Количество участников от 1 до 5 человек – наличие</w:t>
            </w:r>
          </w:p>
          <w:p w14:paraId="68192AB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Разработанные модели по методическому пособию – Животные, птицы, Самолёты, вертолёты, Космолёты, Корабли, лодки, Машины, Роботы.</w:t>
            </w:r>
          </w:p>
          <w:p w14:paraId="28886F12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Подходит для проведения занятий с детьми с ОВЗ – соответствие </w:t>
            </w:r>
          </w:p>
          <w:p w14:paraId="1519CF0C" w14:textId="3662A264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Количество разработанных упражнений в методическом пособии –31 занятия</w:t>
            </w:r>
          </w:p>
          <w:p w14:paraId="1A28BA1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Разработаны занятия с. Группировкой по темам – Слуховое восприятие, Развитие речи, Мелкая и крупная моторика, Восприятие формы, Восприятие цвета, Восприятие количества больше – меньше, Восприятие размера больше – меньше.</w:t>
            </w:r>
          </w:p>
          <w:p w14:paraId="26305BAC" w14:textId="77777777" w:rsidR="00A44318" w:rsidRPr="000843FF" w:rsidRDefault="00A44318" w:rsidP="00B7129E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37" w:type="pct"/>
          </w:tcPr>
          <w:p w14:paraId="48975323" w14:textId="2F0515E2" w:rsidR="00D97E7B" w:rsidRPr="000843FF" w:rsidRDefault="00DA3743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3743">
              <w:rPr>
                <w:kern w:val="0"/>
                <w:sz w:val="22"/>
                <w:szCs w:val="22"/>
                <w:lang w:eastAsia="ru-RU"/>
              </w:rPr>
              <w:lastRenderedPageBreak/>
              <w:t>32.40.20.139</w:t>
            </w:r>
          </w:p>
        </w:tc>
        <w:tc>
          <w:tcPr>
            <w:tcW w:w="393" w:type="pct"/>
          </w:tcPr>
          <w:p w14:paraId="02E89969" w14:textId="30D4490F" w:rsidR="00D97E7B" w:rsidRPr="000843FF" w:rsidRDefault="00E774E8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1" w:type="pct"/>
            <w:shd w:val="clear" w:color="auto" w:fill="auto"/>
          </w:tcPr>
          <w:p w14:paraId="28399E8B" w14:textId="10009F36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FA2E28" w:rsidRPr="000843FF" w14:paraId="199E5D40" w14:textId="77777777" w:rsidTr="00FA2E28">
        <w:trPr>
          <w:trHeight w:val="867"/>
        </w:trPr>
        <w:tc>
          <w:tcPr>
            <w:tcW w:w="231" w:type="pct"/>
            <w:shd w:val="clear" w:color="auto" w:fill="auto"/>
            <w:vAlign w:val="center"/>
          </w:tcPr>
          <w:p w14:paraId="71DFD488" w14:textId="77777777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768" w:type="pct"/>
            <w:shd w:val="clear" w:color="auto" w:fill="auto"/>
          </w:tcPr>
          <w:p w14:paraId="08239B3C" w14:textId="77777777" w:rsidR="00D97E7B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Методический мягкий магнитный конструкторский набор для группы</w:t>
            </w:r>
            <w:r w:rsidRPr="000843FF">
              <w:rPr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2E952CD" w14:textId="45757914" w:rsidR="0049197A" w:rsidRPr="000843FF" w:rsidRDefault="0049197A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АЛМА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3C1A63CE" w14:textId="398D634F" w:rsidR="00D97E7B" w:rsidRPr="000843FF" w:rsidRDefault="008747D5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Конструктор и</w:t>
            </w:r>
            <w:r w:rsidR="009E42A4">
              <w:rPr>
                <w:kern w:val="0"/>
                <w:sz w:val="22"/>
                <w:szCs w:val="22"/>
                <w:lang w:eastAsia="ru-RU"/>
              </w:rPr>
              <w:t>з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D97E7B" w:rsidRPr="000843FF">
              <w:rPr>
                <w:kern w:val="0"/>
                <w:sz w:val="22"/>
                <w:szCs w:val="22"/>
                <w:lang w:eastAsia="ru-RU"/>
              </w:rPr>
              <w:t>геометрических фигур с магнитными креплениями.</w:t>
            </w:r>
          </w:p>
          <w:p w14:paraId="5B73ADCD" w14:textId="0D22217F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Детали выполнены из мягкого и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гипоаллергенного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8747D5">
              <w:rPr>
                <w:kern w:val="0"/>
                <w:sz w:val="22"/>
                <w:szCs w:val="22"/>
                <w:lang w:eastAsia="ru-RU"/>
              </w:rPr>
              <w:t xml:space="preserve">материала </w:t>
            </w:r>
            <w:r w:rsidR="009E42A4">
              <w:rPr>
                <w:kern w:val="0"/>
                <w:sz w:val="22"/>
                <w:szCs w:val="22"/>
                <w:lang w:eastAsia="ru-RU"/>
              </w:rPr>
              <w:t xml:space="preserve">крупного </w:t>
            </w:r>
            <w:r w:rsidR="008747D5">
              <w:rPr>
                <w:kern w:val="0"/>
                <w:sz w:val="22"/>
                <w:szCs w:val="22"/>
                <w:lang w:eastAsia="ru-RU"/>
              </w:rPr>
              <w:t>размер</w:t>
            </w:r>
            <w:r w:rsidR="009E42A4">
              <w:rPr>
                <w:kern w:val="0"/>
                <w:sz w:val="22"/>
                <w:szCs w:val="22"/>
                <w:lang w:eastAsia="ru-RU"/>
              </w:rPr>
              <w:t>а</w:t>
            </w:r>
            <w:r w:rsidR="008747D5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14:paraId="7FDF74C0" w14:textId="716BC25A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Все элементы должны содержать универсальные крепления в диапазоне от 1 до 9 </w:t>
            </w:r>
            <w:proofErr w:type="gramStart"/>
            <w:r w:rsidRPr="000843FF">
              <w:rPr>
                <w:kern w:val="0"/>
                <w:sz w:val="22"/>
                <w:szCs w:val="22"/>
                <w:lang w:eastAsia="ru-RU"/>
              </w:rPr>
              <w:t>шт.(</w:t>
            </w:r>
            <w:proofErr w:type="gramEnd"/>
            <w:r w:rsidRPr="000843FF">
              <w:rPr>
                <w:kern w:val="0"/>
                <w:sz w:val="22"/>
                <w:szCs w:val="22"/>
                <w:lang w:eastAsia="ru-RU"/>
              </w:rPr>
              <w:t>в зависи</w:t>
            </w:r>
            <w:bookmarkStart w:id="0" w:name="_GoBack"/>
            <w:bookmarkEnd w:id="0"/>
            <w:r w:rsidRPr="000843FF">
              <w:rPr>
                <w:kern w:val="0"/>
                <w:sz w:val="22"/>
                <w:szCs w:val="22"/>
                <w:lang w:eastAsia="ru-RU"/>
              </w:rPr>
              <w:t>мости  от детали)</w:t>
            </w:r>
          </w:p>
          <w:p w14:paraId="3A8EDD71" w14:textId="4E0BEE45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Крепления должны иметь магнитную систему для быстрого и простого процесса стыковки–расстыковки деталей, а также, в этих креплениях должен присутствовать поворотный механизм, для возможности прокрутки элементов на 360 градусов </w:t>
            </w:r>
          </w:p>
          <w:p w14:paraId="15D1FCEA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При прокручивании должен создаваться эффект трещотки.</w:t>
            </w:r>
          </w:p>
          <w:p w14:paraId="33E04DB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Неприкреплённые детали должны греметь как погремушки.</w:t>
            </w:r>
          </w:p>
          <w:p w14:paraId="3F121B81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Все элементы конструктора должны быть раскрашены в основные однотонные цвета, что позволяет использовать их для развития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цветовосприятия</w:t>
            </w:r>
            <w:proofErr w:type="spellEnd"/>
            <w:r w:rsidRPr="000843FF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14:paraId="34B5FC48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Мягкая структура снаружи и крепкая основа внутри, для развития тактильной стороны сенсорного восприятия – наличие</w:t>
            </w:r>
          </w:p>
          <w:p w14:paraId="449C1685" w14:textId="61B674E3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Общее количество деталей –240</w:t>
            </w:r>
          </w:p>
          <w:p w14:paraId="3318C748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Мягкие магнитные детали:</w:t>
            </w:r>
          </w:p>
          <w:p w14:paraId="58A1DC43" w14:textId="2FAF0BE5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Красные кубы с магнитом на каждой стороне –20 </w:t>
            </w:r>
            <w:proofErr w:type="spellStart"/>
            <w:r w:rsidRPr="000843FF">
              <w:rPr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  <w:p w14:paraId="548BDEA4" w14:textId="69682B74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Полукруглые зеленые 3D треугольники –20 шт.</w:t>
            </w:r>
          </w:p>
          <w:p w14:paraId="14E90D6D" w14:textId="5C57E41F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Голубые 3D треугольники с магнитом с двух сторон –20 шт.</w:t>
            </w:r>
          </w:p>
          <w:p w14:paraId="4BB4CBE3" w14:textId="32D75114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цилиндры с полусферическими концами с магнитами на одной стороне –20 шт.</w:t>
            </w:r>
          </w:p>
          <w:p w14:paraId="71FEB3A1" w14:textId="094E419D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полусферы с магнитом на одной стороне –20 шт.</w:t>
            </w:r>
          </w:p>
          <w:p w14:paraId="533E2478" w14:textId="1A37D33E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Желтые сферы с магнитом с шести сторон –20 шт.</w:t>
            </w:r>
          </w:p>
          <w:p w14:paraId="1209E889" w14:textId="6AAFB5A2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Фиолетовые 3D конусы с магнитом на одной стороне –20 шт.</w:t>
            </w:r>
          </w:p>
          <w:p w14:paraId="212A9A8D" w14:textId="71D7E5F5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Фиолетовые цилиндры с магнитом с двух сторон –20 шт.</w:t>
            </w:r>
          </w:p>
          <w:p w14:paraId="7A77D15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Магнитные детали:</w:t>
            </w:r>
          </w:p>
          <w:p w14:paraId="61A6C055" w14:textId="1400CE2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Оранжевые пластины с тремя магнитами 20 шт.</w:t>
            </w:r>
          </w:p>
          <w:p w14:paraId="552D72E4" w14:textId="7DF225A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Сгибающиеся голубые соединительные трубки с магнитами с двух сторон –40 шт.</w:t>
            </w:r>
          </w:p>
          <w:p w14:paraId="4B9D71E4" w14:textId="4D9B764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Красные квадратные трубы с магнитом на каждой стороне –20 шт.</w:t>
            </w:r>
          </w:p>
          <w:p w14:paraId="7227023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деталей – пластик, ЭВА.</w:t>
            </w:r>
          </w:p>
          <w:p w14:paraId="5D8D796F" w14:textId="60161A8C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Каталог с примерами моделей </w:t>
            </w:r>
            <w:proofErr w:type="gramStart"/>
            <w:r w:rsidRPr="000843FF">
              <w:rPr>
                <w:kern w:val="0"/>
                <w:sz w:val="22"/>
                <w:szCs w:val="22"/>
                <w:lang w:eastAsia="ru-RU"/>
              </w:rPr>
              <w:t>–  84</w:t>
            </w:r>
            <w:proofErr w:type="gramEnd"/>
            <w:r w:rsidRPr="000843FF">
              <w:rPr>
                <w:kern w:val="0"/>
                <w:sz w:val="22"/>
                <w:szCs w:val="22"/>
                <w:lang w:eastAsia="ru-RU"/>
              </w:rPr>
              <w:t xml:space="preserve"> моделей.</w:t>
            </w:r>
          </w:p>
          <w:p w14:paraId="177875A9" w14:textId="4B055E00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Контейнер для хранения –1 шт.</w:t>
            </w:r>
          </w:p>
          <w:p w14:paraId="0346A22D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Материал контейнера– пластик.</w:t>
            </w:r>
          </w:p>
          <w:p w14:paraId="67710D96" w14:textId="0EB58297" w:rsidR="00D97E7B" w:rsidRPr="000843FF" w:rsidRDefault="00D97E7B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Методическое пособие: наличие</w:t>
            </w:r>
          </w:p>
          <w:p w14:paraId="77232920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Занятия разделены на уровни сложности – легкий, средний, сложный</w:t>
            </w:r>
          </w:p>
          <w:p w14:paraId="1AEDB793" w14:textId="645F98D2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 xml:space="preserve">Количество участников от 1 до 16 человек </w:t>
            </w:r>
          </w:p>
          <w:p w14:paraId="2CA83B20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Разработанные модели по методическому пособию – Животные, Птицы, Динозавры, Техника, Самолёты, Вертолёты, Космолёты, Корабли, Лодки, Машины, Роботы.</w:t>
            </w:r>
          </w:p>
          <w:p w14:paraId="4CF1015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Модели должны быть разделены по уровням сложности:</w:t>
            </w:r>
          </w:p>
          <w:p w14:paraId="54CDEBE1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легкий уровень, средний уровень, сложный уровень.</w:t>
            </w:r>
          </w:p>
          <w:p w14:paraId="7ADEFF2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Каждая модель должна включать изображение состава и количества необходимых при сборке элементов.</w:t>
            </w:r>
          </w:p>
          <w:p w14:paraId="57F0B638" w14:textId="42769272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Подходит для проведения занятий с детьми с ОВЗ и РАС</w:t>
            </w:r>
            <w:r w:rsidR="009E42A4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14:paraId="488B5DD5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восприятие размера больше – меньше – наличие</w:t>
            </w:r>
          </w:p>
          <w:p w14:paraId="259B85E7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восприятие количества больше – меньше – наличие</w:t>
            </w:r>
          </w:p>
          <w:p w14:paraId="5A6CBA5F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восприятие цвета – наличие</w:t>
            </w:r>
          </w:p>
          <w:p w14:paraId="1836A4FB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восприятие формы – наличие</w:t>
            </w:r>
          </w:p>
          <w:p w14:paraId="0363FC31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мелкую и крупную моторику – наличие</w:t>
            </w:r>
          </w:p>
          <w:p w14:paraId="2DCE9076" w14:textId="77777777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Упражнение на развитие речи – наличие</w:t>
            </w:r>
          </w:p>
          <w:p w14:paraId="78CA2588" w14:textId="27F40A7B" w:rsidR="00D97E7B" w:rsidRPr="000843FF" w:rsidRDefault="00D97E7B" w:rsidP="000843FF">
            <w:pPr>
              <w:suppressAutoHyphens w:val="0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Упражнения на слуховое восприятие – наличие</w:t>
            </w:r>
          </w:p>
        </w:tc>
        <w:tc>
          <w:tcPr>
            <w:tcW w:w="937" w:type="pct"/>
          </w:tcPr>
          <w:p w14:paraId="4564705C" w14:textId="43176E7D" w:rsidR="00D97E7B" w:rsidRPr="000843FF" w:rsidRDefault="002A5068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A5068">
              <w:rPr>
                <w:kern w:val="0"/>
                <w:sz w:val="22"/>
                <w:szCs w:val="22"/>
                <w:lang w:eastAsia="ru-RU"/>
              </w:rPr>
              <w:lastRenderedPageBreak/>
              <w:t>32.40.20.139</w:t>
            </w:r>
          </w:p>
        </w:tc>
        <w:tc>
          <w:tcPr>
            <w:tcW w:w="393" w:type="pct"/>
          </w:tcPr>
          <w:p w14:paraId="56C44B36" w14:textId="2E40CAD7" w:rsidR="00D97E7B" w:rsidRPr="000843FF" w:rsidRDefault="002A5068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1" w:type="pct"/>
            <w:shd w:val="clear" w:color="auto" w:fill="auto"/>
          </w:tcPr>
          <w:p w14:paraId="7E0ED215" w14:textId="30520CDD" w:rsidR="00D97E7B" w:rsidRPr="000843FF" w:rsidRDefault="00D97E7B" w:rsidP="000843FF">
            <w:pPr>
              <w:suppressAutoHyphens w:val="0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843FF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</w:tbl>
    <w:p w14:paraId="7C875F57" w14:textId="77777777" w:rsidR="00050672" w:rsidRPr="00050672" w:rsidRDefault="00050672" w:rsidP="00050672">
      <w:pPr>
        <w:rPr>
          <w:sz w:val="28"/>
          <w:szCs w:val="28"/>
          <w:lang w:eastAsia="zh-CN"/>
        </w:rPr>
      </w:pPr>
    </w:p>
    <w:p w14:paraId="1548F81D" w14:textId="16CAE8DC" w:rsidR="00216D14" w:rsidRPr="00050672" w:rsidRDefault="00216D14" w:rsidP="00050672">
      <w:pPr>
        <w:tabs>
          <w:tab w:val="left" w:pos="2544"/>
        </w:tabs>
        <w:ind w:firstLine="0"/>
        <w:rPr>
          <w:sz w:val="28"/>
          <w:szCs w:val="28"/>
          <w:lang w:eastAsia="zh-CN"/>
        </w:rPr>
      </w:pPr>
    </w:p>
    <w:p w14:paraId="53EF9C9D" w14:textId="77777777" w:rsidR="00000990" w:rsidRPr="000D75A2" w:rsidRDefault="00000990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40304178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6D72B4" w:rsidRPr="006D72B4">
              <w:rPr>
                <w:kern w:val="0"/>
                <w:szCs w:val="24"/>
              </w:rPr>
              <w:t>30 рабочих дней с даты заключения контракта</w:t>
            </w:r>
          </w:p>
          <w:p w14:paraId="3A699DBF" w14:textId="772DBD87" w:rsidR="000D75A2" w:rsidRPr="006D72B4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szCs w:val="24"/>
              </w:rPr>
              <w:t xml:space="preserve">Место поставки товара: </w:t>
            </w:r>
            <w:r w:rsidR="006D72B4" w:rsidRPr="006D72B4">
              <w:rPr>
                <w:szCs w:val="24"/>
              </w:rPr>
              <w:t>г. Санкт-Петербург, пр. Ленинский, д. 101, стр.8</w:t>
            </w:r>
          </w:p>
          <w:p w14:paraId="2BA97703" w14:textId="77777777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2E5FCF1D" w:rsidR="000D75A2" w:rsidRPr="00F35D4F" w:rsidRDefault="000D75A2" w:rsidP="006D72B4">
            <w:p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szCs w:val="24"/>
              </w:rPr>
              <w:t>Поставка товара осуществляется:</w:t>
            </w:r>
            <w:r w:rsidRPr="006D72B4">
              <w:rPr>
                <w:szCs w:val="24"/>
              </w:rPr>
              <w:t xml:space="preserve"> единовременно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444F2C55" w14:textId="77777777" w:rsidR="006C12FC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  <w:p w14:paraId="0A703CEF" w14:textId="3C345144" w:rsidR="00C377AF" w:rsidRPr="00F35D4F" w:rsidRDefault="00C377AF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2C9967C6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2C27E2" w:rsidRPr="002C27E2">
              <w:rPr>
                <w:szCs w:val="24"/>
                <w:lang w:eastAsia="zh-CN"/>
              </w:rPr>
              <w:t xml:space="preserve">: </w:t>
            </w:r>
          </w:p>
          <w:p w14:paraId="4AD084B0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доставку товара до места поставки;</w:t>
            </w:r>
          </w:p>
          <w:p w14:paraId="3C7F4348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  <w:p w14:paraId="7944F7D8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подъем товара на этаж и перемещение его в помещения Заказчика по его указанию (лифт отсутствует);</w:t>
            </w:r>
          </w:p>
          <w:p w14:paraId="65E51FBD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распаковать товар, произвести проверку всех компонентов;</w:t>
            </w:r>
          </w:p>
          <w:p w14:paraId="21FF82AF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проверить функционирование каждой единицы товара;</w:t>
            </w:r>
          </w:p>
          <w:p w14:paraId="62453210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сборку, монтаж, пуско-наладочные работы, тестирование;</w:t>
            </w:r>
          </w:p>
          <w:p w14:paraId="139E7C63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ввод товара в эксплуатацию;</w:t>
            </w:r>
          </w:p>
          <w:p w14:paraId="58862B40" w14:textId="0DB890A7" w:rsidR="002C27E2" w:rsidRPr="006D72B4" w:rsidRDefault="002C27E2" w:rsidP="006D72B4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убрать помещения, вывезти упаковку и мусор, образующийся в процессе сборки, монтажа, ввода в эксплуатацию</w:t>
            </w:r>
            <w:r w:rsidR="006D72B4" w:rsidRPr="006D72B4">
              <w:rPr>
                <w:szCs w:val="24"/>
                <w:lang w:eastAsia="zh-CN"/>
              </w:rPr>
              <w:t>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169F70C2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</w:t>
            </w:r>
            <w:r w:rsidR="006D72B4">
              <w:rPr>
                <w:szCs w:val="24"/>
              </w:rPr>
              <w:t>а, тара (упаковка) невозвратная.</w:t>
            </w:r>
          </w:p>
          <w:p w14:paraId="734177CD" w14:textId="46B3098D" w:rsidR="00132BC3" w:rsidRPr="00F35D4F" w:rsidRDefault="00132BC3" w:rsidP="007F7103">
            <w:p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Pr="006D72B4">
              <w:rPr>
                <w:szCs w:val="24"/>
              </w:rPr>
              <w:t>доставка товара осуществляется силами и за счет Поставщика; погрузочно-разгрузочные работы, поднятие</w:t>
            </w:r>
            <w:r w:rsidR="00BB1EF6" w:rsidRPr="006D72B4">
              <w:rPr>
                <w:szCs w:val="24"/>
              </w:rPr>
              <w:t xml:space="preserve"> товара</w:t>
            </w:r>
            <w:r w:rsidRPr="006D72B4">
              <w:rPr>
                <w:szCs w:val="24"/>
              </w:rPr>
              <w:t xml:space="preserve"> на этаж, перемещение в помещение </w:t>
            </w:r>
            <w:r w:rsidR="00BB1EF6" w:rsidRPr="006D72B4">
              <w:rPr>
                <w:szCs w:val="24"/>
              </w:rPr>
              <w:t xml:space="preserve">по указанию </w:t>
            </w:r>
            <w:r w:rsidRPr="006D72B4">
              <w:rPr>
                <w:szCs w:val="24"/>
              </w:rPr>
              <w:t>Заказчика, осуществляю</w:t>
            </w:r>
            <w:r w:rsidR="006D72B4" w:rsidRPr="006D72B4">
              <w:rPr>
                <w:szCs w:val="24"/>
              </w:rPr>
              <w:t>тся силами и за счет Поставщика.</w:t>
            </w:r>
          </w:p>
          <w:p w14:paraId="2FA540D8" w14:textId="663E47E5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</w:t>
            </w:r>
            <w:proofErr w:type="spellStart"/>
            <w:r w:rsidR="00584BFF" w:rsidRPr="00584BFF">
              <w:rPr>
                <w:szCs w:val="24"/>
              </w:rPr>
              <w:t>ями</w:t>
            </w:r>
            <w:proofErr w:type="spellEnd"/>
            <w:r w:rsidR="00584BFF" w:rsidRPr="00584BFF">
              <w:rPr>
                <w:szCs w:val="24"/>
              </w:rPr>
              <w:t>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F83547">
              <w:rPr>
                <w:bCs/>
                <w:szCs w:val="24"/>
              </w:rPr>
              <w:t xml:space="preserve">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DD2616">
              <w:rPr>
                <w:bCs/>
                <w:color w:val="000000"/>
                <w:szCs w:val="24"/>
              </w:rPr>
              <w:t>на условиях</w:t>
            </w:r>
            <w:proofErr w:type="gramEnd"/>
            <w:r w:rsidRPr="00DD2616">
              <w:rPr>
                <w:bCs/>
                <w:color w:val="000000"/>
                <w:szCs w:val="24"/>
              </w:rPr>
              <w:t xml:space="preserve">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F83547">
              <w:rPr>
                <w:bCs/>
                <w:szCs w:val="24"/>
              </w:rPr>
              <w:t>не позднее 20 рабочих дней</w:t>
            </w:r>
            <w:r w:rsidRPr="00F83547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CE3C4D">
        <w:trPr>
          <w:trHeight w:val="1742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288D" w14:textId="41D67605" w:rsidR="00132BC3" w:rsidRPr="00F35D4F" w:rsidRDefault="0058682B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="00F83547">
              <w:rPr>
                <w:szCs w:val="24"/>
              </w:rPr>
              <w:t xml:space="preserve">аналогично обязательствам </w:t>
            </w:r>
            <w:proofErr w:type="gramStart"/>
            <w:r w:rsidR="00CE3C4D">
              <w:rPr>
                <w:szCs w:val="24"/>
              </w:rPr>
              <w:t>производителя</w:t>
            </w:r>
            <w:r w:rsidR="00F83547">
              <w:rPr>
                <w:szCs w:val="24"/>
              </w:rPr>
              <w:t>.</w:t>
            </w:r>
            <w:r w:rsidRPr="00F35D4F">
              <w:rPr>
                <w:szCs w:val="24"/>
              </w:rPr>
              <w:t>.</w:t>
            </w:r>
            <w:proofErr w:type="gramEnd"/>
            <w:r w:rsidRPr="00F35D4F">
              <w:rPr>
                <w:szCs w:val="24"/>
              </w:rPr>
              <w:t xml:space="preserve"> 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</w:p>
          <w:p w14:paraId="722F67A9" w14:textId="13D5DDB9" w:rsidR="00AF0238" w:rsidRPr="00F35D4F" w:rsidRDefault="00AF0238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5B853589" w14:textId="76F5C5EA" w:rsidR="00AC435D" w:rsidRPr="00F35D4F" w:rsidRDefault="00AC435D" w:rsidP="00A74BDA">
            <w:pPr>
              <w:spacing w:line="259" w:lineRule="auto"/>
              <w:ind w:left="29" w:firstLine="0"/>
              <w:rPr>
                <w:szCs w:val="24"/>
              </w:rPr>
            </w:pPr>
            <w:r w:rsidRPr="00CE3C4D">
              <w:rPr>
                <w:szCs w:val="24"/>
              </w:rPr>
              <w:t xml:space="preserve">безналичным путем, </w:t>
            </w:r>
            <w:r w:rsidRPr="00CE3C4D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</w:t>
            </w:r>
            <w:r w:rsidR="00384775" w:rsidRPr="00CE3C4D">
              <w:rPr>
                <w:bCs/>
                <w:szCs w:val="24"/>
              </w:rPr>
              <w:t xml:space="preserve">дней </w:t>
            </w:r>
            <w:r w:rsidR="00384775" w:rsidRPr="00CE3C4D">
              <w:t>с</w:t>
            </w:r>
            <w:r w:rsidR="00384775" w:rsidRPr="00CE3C4D">
              <w:rPr>
                <w:bCs/>
                <w:szCs w:val="24"/>
              </w:rPr>
              <w:t xml:space="preserve"> даты утверждения Заказчиком Акта приемки ТРУ по форме ОКУД 0510452</w:t>
            </w:r>
            <w:bookmarkEnd w:id="1"/>
            <w:r w:rsidR="00A74BDA">
              <w:rPr>
                <w:bCs/>
                <w:szCs w:val="24"/>
              </w:rPr>
              <w:t>.</w:t>
            </w: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CF" w14:textId="52181BA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  <w:p w14:paraId="0EA1FEB0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32AC" w14:textId="4B05961D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14:paraId="400AAF2B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6781B2BB" w:rsidR="00F35D4F" w:rsidRPr="0095119E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95119E">
              <w:rPr>
                <w:bCs/>
                <w:color w:val="000000"/>
                <w:szCs w:val="24"/>
                <w:u w:val="single"/>
              </w:rPr>
              <w:t>в зависимости от вида товара:</w:t>
            </w:r>
          </w:p>
          <w:p w14:paraId="50C420CE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техническая документация (технический паспорт и т.п.) производителя на русском языке с указанием заводских (серийных) номеров товара в количестве не менее 1 (одного) комплекта для каждого вида (наименования) товара;</w:t>
            </w:r>
          </w:p>
          <w:p w14:paraId="0F2B6544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0ED8A0CC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 xml:space="preserve">- документы, подтверждающие качество товара и его соответствие обязательным требованиям законодательства в области технического регулирования, санитарно-эпидемиологическим и иным обязательным для данного вида товара требованиям на территории Российской Федерации в количестве 1 (одного) оригинала/копии для каждого вида документа; </w:t>
            </w:r>
          </w:p>
          <w:p w14:paraId="279D6357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ГТД (грузовых таможенной декларации) по каждому виду товара прошедшего таможенное оформление, а также копии самих ГТД со штампом таможенной службы «выпуск разрешен» (в случае поставки товаров иностранного производства);</w:t>
            </w:r>
          </w:p>
          <w:p w14:paraId="5BF8C10B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документы, подтверждающие долю вторичного сырья в товаре (если таковое требование установлено);</w:t>
            </w:r>
          </w:p>
          <w:p w14:paraId="7112A4ED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734E0172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документы об обеспечении гарантийных обязательств (если такое требование установлено);</w:t>
            </w:r>
          </w:p>
          <w:p w14:paraId="129A5B3E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46AB117F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порядке; для каждой партии товара);</w:t>
            </w:r>
          </w:p>
          <w:p w14:paraId="68E509FC" w14:textId="6791BD1E" w:rsidR="00F35D4F" w:rsidRPr="00F35D4F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иные документы, предусмотренные требованиями действующего законодательства.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3C96A3CB" w:rsidR="00F35D4F" w:rsidRPr="00F35D4F" w:rsidRDefault="00F35D4F" w:rsidP="00971E19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Pr="00971E19">
              <w:rPr>
                <w:szCs w:val="24"/>
              </w:rPr>
              <w:t>наличие лицензий, аккредитаций, допусков и прочее</w:t>
            </w:r>
            <w:r w:rsidR="00971E19" w:rsidRPr="00971E19">
              <w:rPr>
                <w:szCs w:val="24"/>
              </w:rPr>
              <w:t>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46B85F3" w:rsidR="00AC435D" w:rsidRPr="00F35D4F" w:rsidRDefault="00AC435D" w:rsidP="00971E19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971E19">
              <w:rPr>
                <w:bCs/>
                <w:kern w:val="0"/>
                <w:szCs w:val="24"/>
                <w:lang w:eastAsia="ru-RU"/>
              </w:rPr>
              <w:t xml:space="preserve">действует до </w:t>
            </w:r>
            <w:r w:rsidR="00971E19" w:rsidRPr="00971E19">
              <w:rPr>
                <w:bCs/>
                <w:kern w:val="0"/>
                <w:szCs w:val="24"/>
                <w:lang w:eastAsia="ru-RU"/>
              </w:rPr>
              <w:t>31.12.2026</w:t>
            </w:r>
            <w:r w:rsidR="0058682B" w:rsidRPr="00971E19">
              <w:rPr>
                <w:bCs/>
                <w:kern w:val="0"/>
                <w:szCs w:val="24"/>
                <w:lang w:eastAsia="ru-RU"/>
              </w:rPr>
              <w:t xml:space="preserve">, </w:t>
            </w:r>
            <w:r w:rsidR="0058682B" w:rsidRPr="00F35D4F">
              <w:rPr>
                <w:bCs/>
                <w:kern w:val="0"/>
                <w:szCs w:val="24"/>
                <w:lang w:eastAsia="ru-RU"/>
              </w:rPr>
              <w:t xml:space="preserve">но не ранее </w:t>
            </w:r>
            <w:r w:rsidRPr="00F35D4F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0866E43D" w:rsidR="000D75A2" w:rsidRPr="00F35D4F" w:rsidRDefault="00F35D4F" w:rsidP="00485BE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t>Дополнительные условия Заказчика</w:t>
            </w:r>
            <w:r w:rsidR="000D75A2" w:rsidRPr="00485BEA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485BEA" w:rsidRPr="00485BEA">
              <w:rPr>
                <w:bCs/>
                <w:kern w:val="0"/>
                <w:szCs w:val="24"/>
                <w:lang w:eastAsia="ru-RU"/>
              </w:rPr>
              <w:t>нет.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8F1705E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="00AC1289" w:rsidRPr="00AC1289">
              <w:rPr>
                <w:szCs w:val="24"/>
              </w:rPr>
              <w:t xml:space="preserve"> </w:t>
            </w:r>
            <w:r w:rsidR="00AC1289"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2BCF890C" w14:textId="308DBCC9" w:rsidR="00AC1289" w:rsidRPr="00AC1289" w:rsidRDefault="00F35D4F" w:rsidP="00AC1289">
            <w:pPr>
              <w:ind w:firstLine="482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="00AC1289" w:rsidRPr="00AC1289">
              <w:rPr>
                <w:szCs w:val="24"/>
              </w:rPr>
              <w:t xml:space="preserve">Банк получателя: ОКЦ № 1 ВВГУ Банка России//УФК по Нижегородской области, г. Нижний Новгород, счет в составе ЕКС: </w:t>
            </w:r>
            <w:proofErr w:type="gramStart"/>
            <w:r w:rsidR="00AC1289" w:rsidRPr="00AC1289">
              <w:rPr>
                <w:szCs w:val="24"/>
              </w:rPr>
              <w:t>40102810745370000024  БИК</w:t>
            </w:r>
            <w:proofErr w:type="gramEnd"/>
            <w:r w:rsidR="00AC1289" w:rsidRPr="00AC1289">
              <w:rPr>
                <w:szCs w:val="24"/>
              </w:rPr>
              <w:t xml:space="preserve">: 012202102 Казначейский счет: </w:t>
            </w:r>
            <w:r w:rsidR="00AC1289" w:rsidRPr="00AC1289">
              <w:rPr>
                <w:b/>
                <w:szCs w:val="24"/>
              </w:rPr>
              <w:t>03214</w:t>
            </w:r>
            <w:r w:rsidR="00AC1289" w:rsidRPr="00AC1289">
              <w:rPr>
                <w:szCs w:val="24"/>
              </w:rPr>
              <w:t>643000000013225 Получатель: УФК по Нижегородской области (СПбГМТУ, л/</w:t>
            </w:r>
            <w:proofErr w:type="spellStart"/>
            <w:r w:rsidR="00AC1289" w:rsidRPr="00AC1289">
              <w:rPr>
                <w:szCs w:val="24"/>
              </w:rPr>
              <w:t>сч</w:t>
            </w:r>
            <w:proofErr w:type="spellEnd"/>
            <w:r w:rsidR="00AC1289" w:rsidRPr="00AC1289">
              <w:rPr>
                <w:szCs w:val="24"/>
              </w:rPr>
              <w:t xml:space="preserve"> </w:t>
            </w:r>
            <w:r w:rsidR="00442201" w:rsidRPr="00442201">
              <w:rPr>
                <w:szCs w:val="24"/>
              </w:rPr>
              <w:t>21726Х60170</w:t>
            </w:r>
            <w:r w:rsidR="00AC1289" w:rsidRPr="00AC1289">
              <w:rPr>
                <w:szCs w:val="24"/>
              </w:rPr>
              <w:t>)</w:t>
            </w:r>
          </w:p>
          <w:p w14:paraId="53C95E03" w14:textId="77777777" w:rsidR="00AC1289" w:rsidRPr="00AC1289" w:rsidRDefault="00AC1289" w:rsidP="00AC1289">
            <w:pPr>
              <w:spacing w:line="360" w:lineRule="auto"/>
              <w:rPr>
                <w:szCs w:val="24"/>
              </w:rPr>
            </w:pPr>
            <w:r w:rsidRPr="00AC1289">
              <w:rPr>
                <w:szCs w:val="24"/>
              </w:rPr>
              <w:t>ОКТМО: 40301000</w:t>
            </w:r>
          </w:p>
          <w:p w14:paraId="1CC35453" w14:textId="6170B604" w:rsidR="00F35D4F" w:rsidRPr="00F35D4F" w:rsidRDefault="00F35D4F" w:rsidP="00AC1289">
            <w:pPr>
              <w:ind w:left="29" w:firstLine="0"/>
              <w:jc w:val="left"/>
              <w:rPr>
                <w:szCs w:val="24"/>
              </w:rPr>
            </w:pPr>
          </w:p>
        </w:tc>
      </w:tr>
      <w:tr w:rsidR="00F35D4F" w:rsidRPr="00442201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04B7A3AD" w:rsidR="00F35D4F" w:rsidRPr="00442201" w:rsidRDefault="00F35D4F" w:rsidP="00442201">
            <w:pPr>
              <w:pStyle w:val="af1"/>
              <w:numPr>
                <w:ilvl w:val="0"/>
                <w:numId w:val="26"/>
              </w:numPr>
              <w:rPr>
                <w:bCs/>
                <w:szCs w:val="24"/>
              </w:rPr>
            </w:pPr>
            <w:r w:rsidRPr="00442201">
              <w:rPr>
                <w:bCs/>
                <w:szCs w:val="24"/>
              </w:rPr>
              <w:t xml:space="preserve">Ответственное лицо: </w:t>
            </w:r>
            <w:r w:rsidR="00442201" w:rsidRPr="00442201">
              <w:rPr>
                <w:bCs/>
                <w:szCs w:val="24"/>
              </w:rPr>
              <w:t>Куликова Светлана Эдуардовна, +79119775580, s.e.kulikova@smtu.ru</w:t>
            </w:r>
          </w:p>
        </w:tc>
      </w:tr>
    </w:tbl>
    <w:p w14:paraId="7E703223" w14:textId="77777777" w:rsidR="000D75A2" w:rsidRPr="00442201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5650FF8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7C66CDE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EF51EA9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48EEFCB5" w14:textId="77777777" w:rsidR="00051FD6" w:rsidRPr="006C12FC" w:rsidRDefault="00051FD6" w:rsidP="00051FD6">
      <w:pPr>
        <w:ind w:firstLine="0"/>
        <w:rPr>
          <w:szCs w:val="24"/>
        </w:rPr>
      </w:pPr>
    </w:p>
    <w:sectPr w:rsidR="00051FD6" w:rsidRPr="006C12FC" w:rsidSect="00023104">
      <w:footerReference w:type="default" r:id="rId8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4F7F" w14:textId="77777777" w:rsidR="00976785" w:rsidRDefault="00976785">
      <w:r>
        <w:separator/>
      </w:r>
    </w:p>
  </w:endnote>
  <w:endnote w:type="continuationSeparator" w:id="0">
    <w:p w14:paraId="33A2DEF8" w14:textId="77777777" w:rsidR="00976785" w:rsidRDefault="0097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09FD7EFF" w:rsidR="00417BFA" w:rsidRDefault="00417BFA">
    <w:pPr>
      <w:pStyle w:val="a9"/>
      <w:ind w:firstLine="0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9ADB4" w14:textId="77777777" w:rsidR="00976785" w:rsidRDefault="00976785">
      <w:r>
        <w:separator/>
      </w:r>
    </w:p>
  </w:footnote>
  <w:footnote w:type="continuationSeparator" w:id="0">
    <w:p w14:paraId="1189BA51" w14:textId="77777777" w:rsidR="00976785" w:rsidRDefault="0097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376A96"/>
    <w:multiLevelType w:val="hybridMultilevel"/>
    <w:tmpl w:val="7CE02822"/>
    <w:lvl w:ilvl="0" w:tplc="17846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EB1E0">
      <w:start w:val="1"/>
      <w:numFmt w:val="lowerLetter"/>
      <w:lvlText w:val="%2."/>
      <w:lvlJc w:val="left"/>
      <w:pPr>
        <w:ind w:left="1440" w:hanging="360"/>
      </w:pPr>
    </w:lvl>
    <w:lvl w:ilvl="2" w:tplc="4D9CC394">
      <w:start w:val="1"/>
      <w:numFmt w:val="lowerRoman"/>
      <w:lvlText w:val="%3."/>
      <w:lvlJc w:val="right"/>
      <w:pPr>
        <w:ind w:left="2160" w:hanging="180"/>
      </w:pPr>
    </w:lvl>
    <w:lvl w:ilvl="3" w:tplc="A3DCD26A">
      <w:start w:val="1"/>
      <w:numFmt w:val="decimal"/>
      <w:lvlText w:val="%4."/>
      <w:lvlJc w:val="left"/>
      <w:pPr>
        <w:ind w:left="2880" w:hanging="360"/>
      </w:pPr>
    </w:lvl>
    <w:lvl w:ilvl="4" w:tplc="CC2ADEB4">
      <w:start w:val="1"/>
      <w:numFmt w:val="lowerLetter"/>
      <w:lvlText w:val="%5."/>
      <w:lvlJc w:val="left"/>
      <w:pPr>
        <w:ind w:left="3600" w:hanging="360"/>
      </w:pPr>
    </w:lvl>
    <w:lvl w:ilvl="5" w:tplc="630AF5E6">
      <w:start w:val="1"/>
      <w:numFmt w:val="lowerRoman"/>
      <w:lvlText w:val="%6."/>
      <w:lvlJc w:val="right"/>
      <w:pPr>
        <w:ind w:left="4320" w:hanging="180"/>
      </w:pPr>
    </w:lvl>
    <w:lvl w:ilvl="6" w:tplc="3594FBAA">
      <w:start w:val="1"/>
      <w:numFmt w:val="decimal"/>
      <w:lvlText w:val="%7."/>
      <w:lvlJc w:val="left"/>
      <w:pPr>
        <w:ind w:left="5040" w:hanging="360"/>
      </w:pPr>
    </w:lvl>
    <w:lvl w:ilvl="7" w:tplc="6C8802E8">
      <w:start w:val="1"/>
      <w:numFmt w:val="lowerLetter"/>
      <w:lvlText w:val="%8."/>
      <w:lvlJc w:val="left"/>
      <w:pPr>
        <w:ind w:left="5760" w:hanging="360"/>
      </w:pPr>
    </w:lvl>
    <w:lvl w:ilvl="8" w:tplc="FF064A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3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1"/>
  </w:num>
  <w:num w:numId="10">
    <w:abstractNumId w:val="18"/>
  </w:num>
  <w:num w:numId="11">
    <w:abstractNumId w:val="25"/>
  </w:num>
  <w:num w:numId="12">
    <w:abstractNumId w:val="26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3"/>
  </w:num>
  <w:num w:numId="21">
    <w:abstractNumId w:val="24"/>
  </w:num>
  <w:num w:numId="22">
    <w:abstractNumId w:val="20"/>
  </w:num>
  <w:num w:numId="23">
    <w:abstractNumId w:val="22"/>
  </w:num>
  <w:num w:numId="24">
    <w:abstractNumId w:val="13"/>
  </w:num>
  <w:num w:numId="25">
    <w:abstractNumId w:val="12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0990"/>
    <w:rsid w:val="00006FAB"/>
    <w:rsid w:val="00023104"/>
    <w:rsid w:val="00025CA2"/>
    <w:rsid w:val="00032D45"/>
    <w:rsid w:val="0004311D"/>
    <w:rsid w:val="000458FA"/>
    <w:rsid w:val="00050672"/>
    <w:rsid w:val="00051FD6"/>
    <w:rsid w:val="00064035"/>
    <w:rsid w:val="00066AA1"/>
    <w:rsid w:val="000843FF"/>
    <w:rsid w:val="000866FB"/>
    <w:rsid w:val="00087A4A"/>
    <w:rsid w:val="000904E8"/>
    <w:rsid w:val="000944D3"/>
    <w:rsid w:val="00095564"/>
    <w:rsid w:val="000D75A2"/>
    <w:rsid w:val="000F1555"/>
    <w:rsid w:val="00101826"/>
    <w:rsid w:val="00103895"/>
    <w:rsid w:val="001245E4"/>
    <w:rsid w:val="00130A49"/>
    <w:rsid w:val="00130D8B"/>
    <w:rsid w:val="00132BC3"/>
    <w:rsid w:val="00133F65"/>
    <w:rsid w:val="00135873"/>
    <w:rsid w:val="00137BA5"/>
    <w:rsid w:val="001512F8"/>
    <w:rsid w:val="00174869"/>
    <w:rsid w:val="001800C5"/>
    <w:rsid w:val="001800E1"/>
    <w:rsid w:val="001821D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477E"/>
    <w:rsid w:val="001C5F39"/>
    <w:rsid w:val="001C644F"/>
    <w:rsid w:val="001D1A72"/>
    <w:rsid w:val="001D5210"/>
    <w:rsid w:val="001E2144"/>
    <w:rsid w:val="001F5865"/>
    <w:rsid w:val="001F7144"/>
    <w:rsid w:val="00201095"/>
    <w:rsid w:val="00202026"/>
    <w:rsid w:val="00207540"/>
    <w:rsid w:val="00211171"/>
    <w:rsid w:val="00214589"/>
    <w:rsid w:val="00216D14"/>
    <w:rsid w:val="002170C6"/>
    <w:rsid w:val="002177D9"/>
    <w:rsid w:val="00223A31"/>
    <w:rsid w:val="0023092E"/>
    <w:rsid w:val="00230F94"/>
    <w:rsid w:val="00241DF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631B"/>
    <w:rsid w:val="00287781"/>
    <w:rsid w:val="00294A6C"/>
    <w:rsid w:val="002A0654"/>
    <w:rsid w:val="002A2721"/>
    <w:rsid w:val="002A5068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1E0B"/>
    <w:rsid w:val="002F210F"/>
    <w:rsid w:val="002F3F4D"/>
    <w:rsid w:val="002F6340"/>
    <w:rsid w:val="003036F4"/>
    <w:rsid w:val="0030658F"/>
    <w:rsid w:val="0031599C"/>
    <w:rsid w:val="00317886"/>
    <w:rsid w:val="0035655E"/>
    <w:rsid w:val="00362C04"/>
    <w:rsid w:val="0036595E"/>
    <w:rsid w:val="00367C5A"/>
    <w:rsid w:val="0037385B"/>
    <w:rsid w:val="00374817"/>
    <w:rsid w:val="00375006"/>
    <w:rsid w:val="00383B04"/>
    <w:rsid w:val="00384775"/>
    <w:rsid w:val="00387AC5"/>
    <w:rsid w:val="00396C81"/>
    <w:rsid w:val="003A4475"/>
    <w:rsid w:val="003C5977"/>
    <w:rsid w:val="003D0D30"/>
    <w:rsid w:val="003D3775"/>
    <w:rsid w:val="003D58A3"/>
    <w:rsid w:val="003E78AF"/>
    <w:rsid w:val="003F4C2E"/>
    <w:rsid w:val="003F6F08"/>
    <w:rsid w:val="003F7641"/>
    <w:rsid w:val="004040D4"/>
    <w:rsid w:val="00410DF2"/>
    <w:rsid w:val="00417BFA"/>
    <w:rsid w:val="00423AAD"/>
    <w:rsid w:val="0042714B"/>
    <w:rsid w:val="00434259"/>
    <w:rsid w:val="00435EF1"/>
    <w:rsid w:val="0044135B"/>
    <w:rsid w:val="00442201"/>
    <w:rsid w:val="00443288"/>
    <w:rsid w:val="00446F6F"/>
    <w:rsid w:val="00451A44"/>
    <w:rsid w:val="00463B70"/>
    <w:rsid w:val="00464F98"/>
    <w:rsid w:val="00465A2E"/>
    <w:rsid w:val="00466647"/>
    <w:rsid w:val="0047207F"/>
    <w:rsid w:val="00483934"/>
    <w:rsid w:val="00485BEA"/>
    <w:rsid w:val="0049197A"/>
    <w:rsid w:val="00491CF4"/>
    <w:rsid w:val="00494598"/>
    <w:rsid w:val="004A0131"/>
    <w:rsid w:val="004A0584"/>
    <w:rsid w:val="004A5E51"/>
    <w:rsid w:val="004B1767"/>
    <w:rsid w:val="004B4CE3"/>
    <w:rsid w:val="004C5F91"/>
    <w:rsid w:val="004C68C9"/>
    <w:rsid w:val="00506D97"/>
    <w:rsid w:val="00517C67"/>
    <w:rsid w:val="005200AD"/>
    <w:rsid w:val="00522B51"/>
    <w:rsid w:val="00524516"/>
    <w:rsid w:val="00532927"/>
    <w:rsid w:val="00535128"/>
    <w:rsid w:val="00537D13"/>
    <w:rsid w:val="00540798"/>
    <w:rsid w:val="005544DA"/>
    <w:rsid w:val="00561596"/>
    <w:rsid w:val="00561E56"/>
    <w:rsid w:val="00562D79"/>
    <w:rsid w:val="0056328D"/>
    <w:rsid w:val="00584BFF"/>
    <w:rsid w:val="005865D4"/>
    <w:rsid w:val="0058682B"/>
    <w:rsid w:val="005969BF"/>
    <w:rsid w:val="005A462F"/>
    <w:rsid w:val="005A4D5B"/>
    <w:rsid w:val="005A649D"/>
    <w:rsid w:val="005A6ACB"/>
    <w:rsid w:val="005B0B8A"/>
    <w:rsid w:val="005C5E59"/>
    <w:rsid w:val="005C75CE"/>
    <w:rsid w:val="005D008D"/>
    <w:rsid w:val="005D3B4B"/>
    <w:rsid w:val="005D4164"/>
    <w:rsid w:val="005E2C4B"/>
    <w:rsid w:val="005F188F"/>
    <w:rsid w:val="005F3632"/>
    <w:rsid w:val="0061223D"/>
    <w:rsid w:val="00615D47"/>
    <w:rsid w:val="006175AA"/>
    <w:rsid w:val="00622131"/>
    <w:rsid w:val="00623E09"/>
    <w:rsid w:val="00626DD5"/>
    <w:rsid w:val="006406DA"/>
    <w:rsid w:val="00644E36"/>
    <w:rsid w:val="00645F35"/>
    <w:rsid w:val="00650C98"/>
    <w:rsid w:val="006515C0"/>
    <w:rsid w:val="006534ED"/>
    <w:rsid w:val="00661F1E"/>
    <w:rsid w:val="00664BE2"/>
    <w:rsid w:val="00665DC2"/>
    <w:rsid w:val="00667D30"/>
    <w:rsid w:val="00684DE3"/>
    <w:rsid w:val="006A01D4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D72B4"/>
    <w:rsid w:val="006E0FF3"/>
    <w:rsid w:val="006E4D2F"/>
    <w:rsid w:val="006F3AC4"/>
    <w:rsid w:val="006F5E3A"/>
    <w:rsid w:val="006F7935"/>
    <w:rsid w:val="00701E37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07BE"/>
    <w:rsid w:val="007448C3"/>
    <w:rsid w:val="00747822"/>
    <w:rsid w:val="007552F7"/>
    <w:rsid w:val="00761D75"/>
    <w:rsid w:val="00764714"/>
    <w:rsid w:val="00787F2B"/>
    <w:rsid w:val="007A05C6"/>
    <w:rsid w:val="007A13A8"/>
    <w:rsid w:val="007A706E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205D6"/>
    <w:rsid w:val="00823C7D"/>
    <w:rsid w:val="008469FB"/>
    <w:rsid w:val="00850807"/>
    <w:rsid w:val="0085576A"/>
    <w:rsid w:val="00860110"/>
    <w:rsid w:val="0086238E"/>
    <w:rsid w:val="00865587"/>
    <w:rsid w:val="008667F1"/>
    <w:rsid w:val="0086730C"/>
    <w:rsid w:val="008747D5"/>
    <w:rsid w:val="008764FA"/>
    <w:rsid w:val="0088332B"/>
    <w:rsid w:val="0089090C"/>
    <w:rsid w:val="00890F8F"/>
    <w:rsid w:val="008A155C"/>
    <w:rsid w:val="008A42A7"/>
    <w:rsid w:val="008A5F70"/>
    <w:rsid w:val="008C3405"/>
    <w:rsid w:val="008E62DD"/>
    <w:rsid w:val="008F469C"/>
    <w:rsid w:val="008F4977"/>
    <w:rsid w:val="00904271"/>
    <w:rsid w:val="00917BA5"/>
    <w:rsid w:val="00921B6E"/>
    <w:rsid w:val="00933B0E"/>
    <w:rsid w:val="009351E6"/>
    <w:rsid w:val="0094129D"/>
    <w:rsid w:val="0095119E"/>
    <w:rsid w:val="00953FC5"/>
    <w:rsid w:val="00960611"/>
    <w:rsid w:val="00966E46"/>
    <w:rsid w:val="00971E19"/>
    <w:rsid w:val="00976785"/>
    <w:rsid w:val="00984062"/>
    <w:rsid w:val="00984E5B"/>
    <w:rsid w:val="00991308"/>
    <w:rsid w:val="00992CA0"/>
    <w:rsid w:val="009969AE"/>
    <w:rsid w:val="009A1D70"/>
    <w:rsid w:val="009B02C4"/>
    <w:rsid w:val="009C1885"/>
    <w:rsid w:val="009C1D42"/>
    <w:rsid w:val="009E3F2B"/>
    <w:rsid w:val="009E42A4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44318"/>
    <w:rsid w:val="00A51A66"/>
    <w:rsid w:val="00A6687E"/>
    <w:rsid w:val="00A72FFD"/>
    <w:rsid w:val="00A74BDA"/>
    <w:rsid w:val="00A75BAB"/>
    <w:rsid w:val="00A7626C"/>
    <w:rsid w:val="00A85BD8"/>
    <w:rsid w:val="00A8758D"/>
    <w:rsid w:val="00A87CD6"/>
    <w:rsid w:val="00A91468"/>
    <w:rsid w:val="00AA1395"/>
    <w:rsid w:val="00AA2AAE"/>
    <w:rsid w:val="00AA63DA"/>
    <w:rsid w:val="00AA6A26"/>
    <w:rsid w:val="00AC1289"/>
    <w:rsid w:val="00AC23F5"/>
    <w:rsid w:val="00AC288B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4764A"/>
    <w:rsid w:val="00B7129E"/>
    <w:rsid w:val="00B71AB3"/>
    <w:rsid w:val="00B76582"/>
    <w:rsid w:val="00B93E9D"/>
    <w:rsid w:val="00BA1AA1"/>
    <w:rsid w:val="00BA7400"/>
    <w:rsid w:val="00BB1EF6"/>
    <w:rsid w:val="00BD201A"/>
    <w:rsid w:val="00BF1434"/>
    <w:rsid w:val="00BF4A6D"/>
    <w:rsid w:val="00C036D4"/>
    <w:rsid w:val="00C05E4B"/>
    <w:rsid w:val="00C063AB"/>
    <w:rsid w:val="00C1231E"/>
    <w:rsid w:val="00C22D03"/>
    <w:rsid w:val="00C2437F"/>
    <w:rsid w:val="00C352A7"/>
    <w:rsid w:val="00C377AF"/>
    <w:rsid w:val="00C50755"/>
    <w:rsid w:val="00C51B90"/>
    <w:rsid w:val="00C52A42"/>
    <w:rsid w:val="00C553E8"/>
    <w:rsid w:val="00C77F40"/>
    <w:rsid w:val="00C834F5"/>
    <w:rsid w:val="00C973F5"/>
    <w:rsid w:val="00CB46BC"/>
    <w:rsid w:val="00CC5DEF"/>
    <w:rsid w:val="00CC7218"/>
    <w:rsid w:val="00CD0E35"/>
    <w:rsid w:val="00CE23CA"/>
    <w:rsid w:val="00CE3C4D"/>
    <w:rsid w:val="00D51B6B"/>
    <w:rsid w:val="00D537F3"/>
    <w:rsid w:val="00D80ABF"/>
    <w:rsid w:val="00D838E6"/>
    <w:rsid w:val="00D97E7B"/>
    <w:rsid w:val="00DA3743"/>
    <w:rsid w:val="00DA7046"/>
    <w:rsid w:val="00DB7218"/>
    <w:rsid w:val="00DC105B"/>
    <w:rsid w:val="00DC1C3C"/>
    <w:rsid w:val="00DC28BF"/>
    <w:rsid w:val="00E00C37"/>
    <w:rsid w:val="00E024F2"/>
    <w:rsid w:val="00E107EE"/>
    <w:rsid w:val="00E16CE5"/>
    <w:rsid w:val="00E2262C"/>
    <w:rsid w:val="00E22C84"/>
    <w:rsid w:val="00E23CE6"/>
    <w:rsid w:val="00E26716"/>
    <w:rsid w:val="00E30690"/>
    <w:rsid w:val="00E5321B"/>
    <w:rsid w:val="00E737A7"/>
    <w:rsid w:val="00E774E8"/>
    <w:rsid w:val="00E8607C"/>
    <w:rsid w:val="00E86FA1"/>
    <w:rsid w:val="00E938E1"/>
    <w:rsid w:val="00E97580"/>
    <w:rsid w:val="00EA21B7"/>
    <w:rsid w:val="00EA23AE"/>
    <w:rsid w:val="00EA5193"/>
    <w:rsid w:val="00EC4D37"/>
    <w:rsid w:val="00ED1D0F"/>
    <w:rsid w:val="00ED4D64"/>
    <w:rsid w:val="00EE3920"/>
    <w:rsid w:val="00EF0C39"/>
    <w:rsid w:val="00EF68AA"/>
    <w:rsid w:val="00F02D47"/>
    <w:rsid w:val="00F036F3"/>
    <w:rsid w:val="00F20DB2"/>
    <w:rsid w:val="00F21F19"/>
    <w:rsid w:val="00F30A28"/>
    <w:rsid w:val="00F34CA1"/>
    <w:rsid w:val="00F35D4F"/>
    <w:rsid w:val="00F45727"/>
    <w:rsid w:val="00F4717B"/>
    <w:rsid w:val="00F53384"/>
    <w:rsid w:val="00F543CC"/>
    <w:rsid w:val="00F605C8"/>
    <w:rsid w:val="00F722F2"/>
    <w:rsid w:val="00F730AD"/>
    <w:rsid w:val="00F748CD"/>
    <w:rsid w:val="00F8105B"/>
    <w:rsid w:val="00F8241A"/>
    <w:rsid w:val="00F83547"/>
    <w:rsid w:val="00F86DE9"/>
    <w:rsid w:val="00F90E48"/>
    <w:rsid w:val="00F910A3"/>
    <w:rsid w:val="00F9422D"/>
    <w:rsid w:val="00F95CCA"/>
    <w:rsid w:val="00FA212C"/>
    <w:rsid w:val="00FA2E28"/>
    <w:rsid w:val="00FA72F7"/>
    <w:rsid w:val="00FB1FAE"/>
    <w:rsid w:val="00FB429E"/>
    <w:rsid w:val="00FB740D"/>
    <w:rsid w:val="00FB7FE2"/>
    <w:rsid w:val="00FC56BA"/>
    <w:rsid w:val="00FD081E"/>
    <w:rsid w:val="00FD42AC"/>
    <w:rsid w:val="00FE7124"/>
    <w:rsid w:val="00FF48A0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  <w:style w:type="character" w:styleId="af5">
    <w:name w:val="annotation reference"/>
    <w:basedOn w:val="a0"/>
    <w:uiPriority w:val="99"/>
    <w:semiHidden/>
    <w:unhideWhenUsed/>
    <w:rsid w:val="00E22C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22C84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22C84"/>
    <w:rPr>
      <w:kern w:val="1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2C8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22C84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E7D2-9F93-48D4-B2BE-FBFF4F35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3</cp:revision>
  <cp:lastPrinted>2025-02-12T13:41:00Z</cp:lastPrinted>
  <dcterms:created xsi:type="dcterms:W3CDTF">2026-06-11T11:12:00Z</dcterms:created>
  <dcterms:modified xsi:type="dcterms:W3CDTF">2026-06-15T10:25:00Z</dcterms:modified>
</cp:coreProperties>
</file>