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lang w:val="ru-RU"/>
        </w:rPr>
      </w:pPr>
      <w:r>
        <w:rPr>
          <w:b/>
          <w:sz w:val="28"/>
          <w:lang w:val="ru-RU"/>
        </w:rPr>
        <w:t>КОНТРАКТ № ______</w:t>
        <w:br/>
      </w:r>
      <w:r>
        <w:rPr>
          <w:rFonts w:ascii="Tinos" w:hAnsi="Tinos"/>
          <w:sz w:val="24"/>
          <w:szCs w:val="24"/>
          <w:lang w:val="ru-RU"/>
        </w:rPr>
        <w:t>г. Кемерово</w:t>
        <w:tab/>
        <w:tab/>
        <w:tab/>
        <w:tab/>
        <w:t xml:space="preserve">                                                     «___» ____________ 2026 г.</w:t>
      </w:r>
    </w:p>
    <w:p>
      <w:pPr>
        <w:pStyle w:val="Normal"/>
        <w:spacing w:before="0" w:after="120"/>
        <w:ind w:firstLine="706"/>
        <w:jc w:val="both"/>
        <w:rPr>
          <w:rFonts w:ascii="Tinos" w:hAnsi="Tinos"/>
          <w:sz w:val="24"/>
          <w:szCs w:val="24"/>
        </w:rPr>
      </w:pPr>
      <w:r>
        <w:rPr>
          <w:rFonts w:ascii="Tinos" w:hAnsi="Tinos"/>
          <w:sz w:val="24"/>
          <w:szCs w:val="24"/>
          <w:lang w:val="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именуемое в дальнейшем «Заказчик», с другой стороны, в лице начальника отдела материально-технического снабжения Кузнецовой Александры Евгеньевны, действующего на основании доверенности от 08.06.2026г., с одной стороны, и</w:t>
        <w:br/>
        <w:t>__________________________________________________, именуемое в дальнейшем «Исполнитель», в лице __________________________________________________, действующего на основании _________________________________, с другой стороны, совместно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контракт о нижеследующем:</w:t>
      </w:r>
    </w:p>
    <w:p>
      <w:pPr>
        <w:pStyle w:val="Normal"/>
        <w:spacing w:before="0" w:after="120"/>
        <w:ind w:firstLine="706"/>
        <w:jc w:val="center"/>
        <w:rPr>
          <w:rFonts w:ascii="Tinos" w:hAnsi="Tinos"/>
          <w:sz w:val="24"/>
          <w:szCs w:val="24"/>
          <w:lang w:val="ru-RU"/>
        </w:rPr>
      </w:pPr>
      <w:r>
        <w:rPr>
          <w:rFonts w:ascii="Tinos" w:hAnsi="Tinos"/>
          <w:b/>
          <w:bCs/>
          <w:sz w:val="24"/>
          <w:szCs w:val="24"/>
          <w:lang w:val="ru-RU"/>
        </w:rPr>
        <w:t>1. ПРЕДМЕТ КОНТРАКТА</w:t>
      </w:r>
    </w:p>
    <w:p>
      <w:pPr>
        <w:pStyle w:val="Normal"/>
        <w:spacing w:before="0" w:after="80"/>
        <w:ind w:firstLine="706"/>
        <w:jc w:val="both"/>
        <w:rPr>
          <w:rFonts w:ascii="Tinos" w:hAnsi="Tinos"/>
          <w:sz w:val="24"/>
          <w:szCs w:val="24"/>
        </w:rPr>
      </w:pPr>
      <w:r>
        <w:rPr>
          <w:rFonts w:ascii="Tinos" w:hAnsi="Tinos"/>
          <w:sz w:val="24"/>
          <w:szCs w:val="24"/>
          <w:lang w:val="ru-RU"/>
        </w:rPr>
        <w:t xml:space="preserve">1.1. Исполнитель обязуется по заданию Заказчика оказать </w:t>
      </w:r>
      <w:r>
        <w:rPr>
          <w:rFonts w:ascii="Tinos" w:hAnsi="Tinos"/>
          <w:b/>
          <w:bCs/>
          <w:sz w:val="24"/>
          <w:szCs w:val="24"/>
          <w:lang w:val="ru-RU"/>
        </w:rPr>
        <w:t xml:space="preserve">образовательные услуги </w:t>
      </w:r>
      <w:r>
        <w:rPr>
          <w:rFonts w:eastAsia="" w:cs="" w:ascii="Tinos" w:hAnsi="Tinos" w:cstheme="minorBidi" w:eastAsiaTheme="minorEastAsia"/>
          <w:b/>
          <w:bCs/>
          <w:color w:val="auto"/>
          <w:kern w:val="0"/>
          <w:sz w:val="24"/>
          <w:szCs w:val="24"/>
          <w:lang w:val="ru-RU" w:eastAsia="en-US" w:bidi="ar-SA"/>
        </w:rPr>
        <w:t xml:space="preserve">по обучению  руководителей и специалистов по безопасным методам  и приемам выполнения работ на высоте </w:t>
      </w:r>
      <w:r>
        <w:rPr>
          <w:rFonts w:ascii="Tinos" w:hAnsi="Tinos"/>
          <w:b/>
          <w:bCs/>
          <w:sz w:val="24"/>
          <w:szCs w:val="24"/>
          <w:lang w:val="ru-RU"/>
        </w:rPr>
        <w:t xml:space="preserve"> </w:t>
      </w:r>
      <w:r>
        <w:rPr>
          <w:rFonts w:ascii="Tinos" w:hAnsi="Tinos"/>
          <w:sz w:val="24"/>
          <w:szCs w:val="24"/>
          <w:lang w:val="ru-RU"/>
        </w:rPr>
        <w:t>(далее — Услуги) , а Заказчик обязуется принять и оплатить оказанные Услуги в порядке и на условиях, предусмотренных настоящим Контрактом.</w:t>
      </w:r>
    </w:p>
    <w:p>
      <w:pPr>
        <w:pStyle w:val="Normal"/>
        <w:spacing w:before="0" w:after="80"/>
        <w:ind w:firstLine="706"/>
        <w:jc w:val="both"/>
        <w:rPr>
          <w:rFonts w:ascii="Tinos" w:hAnsi="Tinos"/>
          <w:sz w:val="24"/>
          <w:szCs w:val="24"/>
          <w:lang w:val="ru-RU"/>
        </w:rPr>
      </w:pPr>
      <w:r>
        <w:rPr>
          <w:rFonts w:ascii="Tinos" w:hAnsi="Tinos"/>
          <w:sz w:val="24"/>
          <w:szCs w:val="24"/>
          <w:lang w:val="ru-RU"/>
        </w:rPr>
        <w:t>1.2. Форма обучения:  очно-заочная с применением дистанционных технологий.  Обучение должно проводиться по утвержденной и согласованной с заказчиком учебной программе</w:t>
      </w:r>
    </w:p>
    <w:p>
      <w:pPr>
        <w:pStyle w:val="Normal"/>
        <w:spacing w:before="0" w:after="80"/>
        <w:ind w:firstLine="706"/>
        <w:jc w:val="both"/>
        <w:rPr>
          <w:rFonts w:ascii="Tinos" w:hAnsi="Tinos"/>
          <w:sz w:val="24"/>
          <w:szCs w:val="24"/>
          <w:lang w:val="ru-RU"/>
        </w:rPr>
      </w:pPr>
      <w:r>
        <w:rPr>
          <w:rFonts w:ascii="Tinos" w:hAnsi="Tinos"/>
          <w:sz w:val="24"/>
          <w:szCs w:val="24"/>
          <w:lang w:val="ru-RU"/>
        </w:rPr>
        <w:t>1.3. Сроки оказания услуг: С момента заключения контракта до 30.09.2026г.</w:t>
      </w:r>
    </w:p>
    <w:p>
      <w:pPr>
        <w:pStyle w:val="Normal"/>
        <w:spacing w:before="0" w:after="80"/>
        <w:ind w:firstLine="706"/>
        <w:jc w:val="both"/>
        <w:rPr>
          <w:rFonts w:ascii="Tinos" w:hAnsi="Tinos"/>
          <w:sz w:val="24"/>
          <w:szCs w:val="24"/>
          <w:lang w:val="ru-RU"/>
        </w:rPr>
      </w:pPr>
      <w:r>
        <w:rPr>
          <w:rFonts w:ascii="Tinos" w:hAnsi="Tinos"/>
          <w:sz w:val="24"/>
          <w:szCs w:val="24"/>
          <w:lang w:val="ru-RU"/>
        </w:rPr>
        <w:t>1.4. Срок обучения: не менее 16 учебных часов.</w:t>
      </w:r>
    </w:p>
    <w:p>
      <w:pPr>
        <w:pStyle w:val="Normal"/>
        <w:keepNext w:val="true"/>
        <w:spacing w:before="240" w:after="80"/>
        <w:jc w:val="center"/>
        <w:rPr>
          <w:rFonts w:ascii="Tinos" w:hAnsi="Tinos"/>
          <w:sz w:val="24"/>
          <w:szCs w:val="24"/>
          <w:lang w:val="ru-RU"/>
        </w:rPr>
      </w:pPr>
      <w:r>
        <w:rPr>
          <w:rFonts w:ascii="Tinos" w:hAnsi="Tinos"/>
          <w:b/>
          <w:sz w:val="24"/>
          <w:szCs w:val="24"/>
          <w:lang w:val="ru-RU"/>
        </w:rPr>
        <w:t>2. ЦЕНА КОНТРАКТА И ПОРЯДОК РАСЧЕТОВ</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2.1. Цена настоящего Контракта составляет ___________ (___________________________________________) рублей ___ копеек, в том числе НДС ___% в размере ___________ рублей (либо: НДС не облагается на основании ст. 149 НК РФ).</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2.2. Цена Контракта является твердой и определяется на весь срок исполнения Контракта.</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2.3. В цену Контракта включены все расходы Исполнителя, связанные с оказанием Услуг, включая налоги, сборы и другие обязательные платежи.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2.4. Оплата за фактически оказанные Услуги производится Заказчиком в безналичном порядке путем перечисления денежных средств на расчетный счет Исполнителя в течение 10 (десяти) рабочих дней с даты подписания Заказчиком Акта оказанных услуг.</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2.5. Источник финансирования: средства бюджетного учреждения.</w:t>
      </w:r>
    </w:p>
    <w:p>
      <w:pPr>
        <w:pStyle w:val="Normal"/>
        <w:keepNext w:val="true"/>
        <w:spacing w:before="240" w:after="80"/>
        <w:jc w:val="center"/>
        <w:rPr>
          <w:rFonts w:ascii="Tinos" w:hAnsi="Tinos"/>
          <w:sz w:val="24"/>
          <w:szCs w:val="24"/>
          <w:lang w:val="ru-RU"/>
        </w:rPr>
      </w:pPr>
      <w:r>
        <w:rPr>
          <w:rFonts w:ascii="Tinos" w:hAnsi="Tinos"/>
          <w:b/>
          <w:sz w:val="24"/>
          <w:szCs w:val="24"/>
          <w:lang w:val="ru-RU"/>
        </w:rPr>
        <w:t>3. ПОРЯДОК СДАЧИ-ПРИЕМКИ УСЛУГ</w:t>
      </w:r>
    </w:p>
    <w:p>
      <w:pPr>
        <w:pStyle w:val="Normal"/>
        <w:spacing w:before="0" w:after="80"/>
        <w:ind w:firstLine="706"/>
        <w:jc w:val="both"/>
        <w:rPr>
          <w:rFonts w:ascii="Tinos" w:hAnsi="Tinos"/>
          <w:sz w:val="24"/>
          <w:szCs w:val="24"/>
          <w:lang w:val="ru-RU"/>
        </w:rPr>
      </w:pPr>
      <w:r>
        <w:rPr>
          <w:rFonts w:ascii="Tinos" w:hAnsi="Tinos"/>
          <w:sz w:val="24"/>
          <w:szCs w:val="24"/>
          <w:lang w:val="ru-RU"/>
        </w:rPr>
        <w:t>3.1.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p>
    <w:p>
      <w:pPr>
        <w:pStyle w:val="Normal"/>
        <w:spacing w:before="0" w:after="80"/>
        <w:ind w:firstLine="706"/>
        <w:jc w:val="both"/>
        <w:rPr>
          <w:rFonts w:ascii="Tinos" w:hAnsi="Tinos"/>
          <w:sz w:val="24"/>
          <w:szCs w:val="24"/>
          <w:lang w:val="ru-RU"/>
        </w:rPr>
      </w:pPr>
      <w:r>
        <w:rPr>
          <w:rFonts w:ascii="Tinos" w:hAnsi="Tinos"/>
          <w:sz w:val="24"/>
          <w:szCs w:val="24"/>
          <w:lang w:val="ru-RU"/>
        </w:rPr>
        <w:t>3.2. По факту оказания Услуг Исполнитель представляет Заказчику на подписание Акт приема-передачи оказанных услуг в двух экземплярах в срок не позднее 5 (пяти) рабочих дней с момента окончания срока оказания.</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3.3. В течение 3 рабочих дней после получения от Исполнителя Акта приема-передачи оказанных услуг Заказчик силами Комиссии по приемке проводит приемку  услуг по  качеству и при отсутствии замечаний к Услугам , составляет и подписывает Акт приемки по форме ОКУД 0510452 (Приказ Минфина от 15.04.2021 г. № 61н) (далее - Акт приемки ф.0510452).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3.4. Исполнитель имеет право присутствовать при приемке Услуг   направив для участия в приемке  своего представителя, в таком случае Заказчик производит приемку Услуг в присутствии   представителя Исполнителя. При присутствии Исполнителя при приемке  Услуг, Акт приемки ф. 0510452 составляется в двух экземплярах, подписывается Комиссией по приемке и   уполномоченным   лицом Исполнителя, в день окончания приемки. Один экземпляр Акта приемки ф. 0510452, с подписями Сторон, передается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3.5. В случае отсутствия Исполнителя при приемке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 по адресу электронной почты, указанной в разделе 14 настоящего контракта, а при его отсутствии почтовым отправлением.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3.6.  При обнаружении недостатков оказанных Услуг, Заказчик незамедлительно составляет претензию к оказанным услугам, и направляет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3.7. При признании претензии обоснованной  Исполнитель  обязуется устранить недостатки оказанных Услуг в срок не более 30 дней с момента получения письменной претензии.</w:t>
      </w:r>
    </w:p>
    <w:p>
      <w:pPr>
        <w:pStyle w:val="Normal"/>
        <w:keepNext w:val="true"/>
        <w:spacing w:before="240" w:after="80"/>
        <w:jc w:val="center"/>
        <w:rPr>
          <w:rFonts w:ascii="Tinos" w:hAnsi="Tinos"/>
          <w:sz w:val="24"/>
          <w:szCs w:val="24"/>
          <w:lang w:val="ru-RU"/>
        </w:rPr>
      </w:pPr>
      <w:r>
        <w:rPr>
          <w:rFonts w:ascii="Tinos" w:hAnsi="Tinos"/>
          <w:b/>
          <w:sz w:val="24"/>
          <w:szCs w:val="24"/>
          <w:lang w:val="ru-RU"/>
        </w:rPr>
        <w:t>4. ПРАВА И ОБЯЗАННОСТИ СТОРОН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4.1. </w:t>
      </w:r>
      <w:r>
        <w:rPr>
          <w:rFonts w:ascii="Tinos" w:hAnsi="Tinos"/>
          <w:b/>
          <w:bCs/>
          <w:sz w:val="24"/>
          <w:szCs w:val="24"/>
          <w:lang w:val="ru-RU"/>
        </w:rPr>
        <w:t>Исполнитель обязан:</w:t>
      </w:r>
    </w:p>
    <w:p>
      <w:pPr>
        <w:pStyle w:val="Normal"/>
        <w:spacing w:before="0" w:after="80"/>
        <w:ind w:firstLine="706"/>
        <w:jc w:val="both"/>
        <w:rPr>
          <w:rFonts w:ascii="Tinos" w:hAnsi="Tinos"/>
          <w:sz w:val="24"/>
          <w:szCs w:val="24"/>
          <w:lang w:val="ru-RU"/>
        </w:rPr>
      </w:pPr>
      <w:r>
        <w:rPr>
          <w:rFonts w:ascii="Tinos" w:hAnsi="Tinos"/>
          <w:sz w:val="24"/>
          <w:szCs w:val="24"/>
          <w:lang w:val="ru-RU"/>
        </w:rPr>
        <w:t>4.1.1. Иметь лицензию на осуществление образовательной деятельности в соответствии с требованием пункта 40 части 1 статьи 12 Федерального закона от 4 мая 2011 г. N 99-ФЗ "О лицензировании отдельных видов деятельности" и Постановления Правительства РФ от 28 октября 2013 г. № 966 «О лицензировании образовательной деятельности».</w:t>
      </w:r>
    </w:p>
    <w:p>
      <w:pPr>
        <w:pStyle w:val="Normal"/>
        <w:spacing w:before="0" w:after="80"/>
        <w:ind w:firstLine="706"/>
        <w:jc w:val="both"/>
        <w:rPr>
          <w:rFonts w:ascii="Tinos" w:hAnsi="Tinos"/>
          <w:szCs w:val="24"/>
          <w:lang w:val="ru-RU"/>
        </w:rPr>
      </w:pPr>
      <w:r>
        <w:rPr>
          <w:rFonts w:ascii="Tinos" w:hAnsi="Tinos"/>
          <w:szCs w:val="24"/>
          <w:lang w:val="ru-RU"/>
        </w:rPr>
        <w:t>4.1.2. Иметь аккредитацию в соответствии с 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и внесена в Реестр аккредитованных организаций, оказывающих услуги в области охраны труда.</w:t>
      </w:r>
    </w:p>
    <w:p>
      <w:pPr>
        <w:pStyle w:val="Normal"/>
        <w:spacing w:before="0" w:after="80"/>
        <w:ind w:firstLine="706"/>
        <w:jc w:val="both"/>
        <w:rPr>
          <w:rFonts w:ascii="Tinos" w:hAnsi="Tinos"/>
          <w:sz w:val="24"/>
          <w:szCs w:val="24"/>
          <w:lang w:val="ru-RU"/>
        </w:rPr>
      </w:pPr>
      <w:r>
        <w:rPr>
          <w:rFonts w:ascii="Tinos" w:hAnsi="Tinos"/>
          <w:sz w:val="24"/>
          <w:szCs w:val="24"/>
          <w:lang w:val="ru-RU"/>
        </w:rPr>
        <w:t>4.1.3. Иметь официальный сайт образовательной организации (участника) в сети "Интернет" в соответствии со статьёй 29 Федерального закона от 29 декабря 2012 г. N 273-ФЗ "Об образовании в Российской Федерации".</w:t>
      </w:r>
    </w:p>
    <w:p>
      <w:pPr>
        <w:pStyle w:val="Normal"/>
        <w:spacing w:before="0" w:after="80"/>
        <w:ind w:firstLine="706"/>
        <w:jc w:val="both"/>
        <w:rPr>
          <w:rFonts w:ascii="Tinos" w:hAnsi="Tinos"/>
          <w:sz w:val="24"/>
          <w:szCs w:val="24"/>
          <w:lang w:val="ru-RU"/>
        </w:rPr>
      </w:pPr>
      <w:r>
        <w:rPr>
          <w:rFonts w:ascii="Tinos" w:hAnsi="Tinos"/>
          <w:sz w:val="24"/>
          <w:szCs w:val="24"/>
          <w:lang w:val="ru-RU"/>
        </w:rPr>
        <w:t>4.1.4. Осуществлять обучение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pPr>
        <w:pStyle w:val="Normal"/>
        <w:spacing w:before="0" w:after="80"/>
        <w:ind w:firstLine="706"/>
        <w:jc w:val="both"/>
        <w:rPr>
          <w:rFonts w:ascii="Tinos" w:hAnsi="Tinos"/>
          <w:sz w:val="24"/>
          <w:szCs w:val="24"/>
        </w:rPr>
      </w:pPr>
      <w:r>
        <w:rPr>
          <w:rFonts w:ascii="Tinos" w:hAnsi="Tinos"/>
          <w:sz w:val="24"/>
          <w:szCs w:val="24"/>
          <w:lang w:val="ru-RU"/>
        </w:rPr>
        <w:t>4.1.5.  Выполнять работы по обучению своими силами без привлечения сторонних организаций.</w:t>
      </w:r>
    </w:p>
    <w:p>
      <w:pPr>
        <w:pStyle w:val="Normal"/>
        <w:spacing w:before="0" w:after="80"/>
        <w:ind w:firstLine="706"/>
        <w:jc w:val="both"/>
        <w:rPr>
          <w:rFonts w:ascii="Tinos" w:hAnsi="Tinos"/>
          <w:sz w:val="24"/>
          <w:szCs w:val="24"/>
          <w:lang w:val="ru-RU"/>
        </w:rPr>
      </w:pPr>
      <w:r>
        <w:rPr>
          <w:rFonts w:ascii="Tinos" w:hAnsi="Tinos"/>
          <w:sz w:val="24"/>
          <w:szCs w:val="24"/>
          <w:lang w:val="ru-RU"/>
        </w:rPr>
        <w:t>4.1.6. Обеспечить раздачу участникам обучения комплекта нормативных правовых и методических материалов (в печатном и/или электронном виде).</w:t>
      </w:r>
    </w:p>
    <w:p>
      <w:pPr>
        <w:pStyle w:val="Normal"/>
        <w:spacing w:before="0" w:after="80"/>
        <w:ind w:firstLine="706"/>
        <w:jc w:val="both"/>
        <w:rPr>
          <w:rFonts w:ascii="Tinos" w:hAnsi="Tinos"/>
          <w:sz w:val="24"/>
          <w:szCs w:val="24"/>
          <w:lang w:val="ru-RU"/>
        </w:rPr>
      </w:pPr>
      <w:r>
        <w:rPr>
          <w:rFonts w:ascii="Tinos" w:hAnsi="Tinos"/>
          <w:sz w:val="24"/>
          <w:szCs w:val="24"/>
          <w:lang w:val="ru-RU"/>
        </w:rPr>
        <w:t>4.1.7. По итогам оказания услуг вы</w:t>
      </w:r>
      <w:r>
        <w:rPr>
          <w:rFonts w:eastAsia="" w:cs="" w:ascii="Tinos" w:hAnsi="Tinos" w:cstheme="minorBidi" w:eastAsiaTheme="minorEastAsia"/>
          <w:color w:val="auto"/>
          <w:kern w:val="0"/>
          <w:sz w:val="24"/>
          <w:szCs w:val="24"/>
          <w:lang w:val="ru-RU" w:eastAsia="en-US" w:bidi="ar-SA"/>
        </w:rPr>
        <w:t>дать удостоверения установленного образца о прохождении обучения.</w:t>
      </w:r>
    </w:p>
    <w:p>
      <w:pPr>
        <w:pStyle w:val="Normal"/>
        <w:spacing w:before="0" w:after="80"/>
        <w:ind w:firstLine="706"/>
        <w:jc w:val="both"/>
        <w:rPr>
          <w:rFonts w:ascii="Tinos" w:hAnsi="Tinos"/>
          <w:sz w:val="24"/>
          <w:szCs w:val="24"/>
          <w:lang w:val="ru-RU"/>
        </w:rPr>
      </w:pPr>
      <w:r>
        <w:rPr>
          <w:rFonts w:ascii="Tinos" w:hAnsi="Tinos"/>
          <w:sz w:val="24"/>
          <w:szCs w:val="24"/>
          <w:lang w:val="ru-RU"/>
        </w:rPr>
        <w:t>4.1.8.  По окончании обучения Заказчику предоставляются Протоколы заседания комиссии по проверке знаний.</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4.2. </w:t>
      </w:r>
      <w:r>
        <w:rPr>
          <w:rFonts w:ascii="Tinos" w:hAnsi="Tinos"/>
          <w:b/>
          <w:bCs/>
          <w:sz w:val="24"/>
          <w:szCs w:val="24"/>
          <w:lang w:val="ru-RU"/>
        </w:rPr>
        <w:t>Заказчик обязан: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4.2.1. Обеспечить явку (или регистрацию на платформе) Слушателей для прохождения обучения.</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4.2.2. Провести приемку оказанных Услуг в установленные сроки.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4.2.3. Своевременно оплатить оказанные Услуги.</w:t>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t>5. КАЧЕСТВО ОКАЗЫВАЕМЫХ УСЛУГ</w:t>
      </w:r>
    </w:p>
    <w:p>
      <w:pPr>
        <w:pStyle w:val="Normal"/>
        <w:spacing w:before="0" w:after="80"/>
        <w:ind w:firstLine="706"/>
        <w:jc w:val="both"/>
        <w:rPr>
          <w:rFonts w:ascii="Tinos" w:hAnsi="Tinos"/>
          <w:sz w:val="24"/>
          <w:szCs w:val="24"/>
          <w:lang w:val="ru-RU"/>
        </w:rPr>
      </w:pPr>
      <w:r>
        <w:rPr>
          <w:rFonts w:ascii="Tinos" w:hAnsi="Tinos"/>
          <w:sz w:val="24"/>
          <w:szCs w:val="24"/>
          <w:lang w:val="ru-RU"/>
        </w:rPr>
        <w:t>5.1. Качество оказываемых услуг должно соответствовать нормативным требованиям охраны труда, действующей на территории РФ:</w:t>
      </w:r>
    </w:p>
    <w:p>
      <w:pPr>
        <w:pStyle w:val="Normal"/>
        <w:spacing w:before="0" w:after="80"/>
        <w:ind w:firstLine="706"/>
        <w:jc w:val="both"/>
        <w:rPr>
          <w:rFonts w:ascii="Tinos" w:hAnsi="Tinos"/>
          <w:szCs w:val="24"/>
          <w:lang w:val="ru-RU"/>
        </w:rPr>
      </w:pPr>
      <w:r>
        <w:rPr>
          <w:rFonts w:ascii="Tinos" w:hAnsi="Tinos"/>
          <w:szCs w:val="24"/>
          <w:lang w:val="ru-RU"/>
        </w:rPr>
        <w:t>5.1.1. Федеральный закон от 29.12.2012 г. № 273-ФЗ «Об образовании в Российской      Федерации».</w:t>
      </w:r>
    </w:p>
    <w:p>
      <w:pPr>
        <w:pStyle w:val="Normal"/>
        <w:spacing w:before="0" w:after="80"/>
        <w:ind w:firstLine="706"/>
        <w:jc w:val="both"/>
        <w:rPr>
          <w:rFonts w:ascii="Tinos" w:hAnsi="Tinos"/>
          <w:szCs w:val="24"/>
          <w:lang w:val="ru-RU"/>
        </w:rPr>
      </w:pPr>
      <w:r>
        <w:rPr>
          <w:rFonts w:ascii="Tinos" w:hAnsi="Tinos"/>
          <w:szCs w:val="24"/>
          <w:lang w:val="ru-RU"/>
        </w:rPr>
        <w:t>5.1.2. Приказ Министерства труда и социальной защиты Российской Федерации № 782н от 16 ноября 2020 года «Об утверждении правил по охране труда при работе на высоте».</w:t>
      </w:r>
    </w:p>
    <w:p>
      <w:pPr>
        <w:pStyle w:val="Normal"/>
        <w:spacing w:before="0" w:after="80"/>
        <w:ind w:firstLine="706"/>
        <w:jc w:val="center"/>
        <w:rPr>
          <w:rStyle w:val="Hyperlink"/>
          <w:rFonts w:ascii="Tinos" w:hAnsi="Tinos"/>
          <w:b/>
          <w:bCs/>
          <w:color w:val="000000"/>
          <w:sz w:val="24"/>
          <w:szCs w:val="24"/>
          <w:u w:val="none"/>
          <w:lang w:val="ru-RU"/>
        </w:rPr>
      </w:pPr>
      <w:r>
        <w:rPr>
          <w:rFonts w:ascii="Tinos" w:hAnsi="Tinos"/>
          <w:b/>
          <w:bCs/>
          <w:color w:val="000000"/>
          <w:sz w:val="24"/>
          <w:szCs w:val="24"/>
          <w:u w:val="none"/>
          <w:lang w:val="ru-RU"/>
        </w:rPr>
      </w:r>
    </w:p>
    <w:p>
      <w:pPr>
        <w:pStyle w:val="Normal"/>
        <w:spacing w:before="0" w:after="80"/>
        <w:ind w:firstLine="706"/>
        <w:jc w:val="center"/>
        <w:rPr>
          <w:rFonts w:ascii="Tinos" w:hAnsi="Tinos"/>
          <w:b/>
          <w:bCs/>
          <w:sz w:val="24"/>
          <w:szCs w:val="24"/>
          <w:lang w:val="ru-RU"/>
        </w:rPr>
      </w:pPr>
      <w:r>
        <w:rPr>
          <w:rFonts w:ascii="Tinos" w:hAnsi="Tinos"/>
          <w:b/>
          <w:bCs/>
          <w:sz w:val="24"/>
          <w:szCs w:val="24"/>
          <w:lang w:val="ru-RU"/>
        </w:rPr>
        <w:t>6. ОТВЕТСТВЕННОСТЬ СТОРОН</w:t>
      </w:r>
    </w:p>
    <w:p>
      <w:pPr>
        <w:pStyle w:val="Normal"/>
        <w:spacing w:before="0" w:after="80"/>
        <w:ind w:firstLine="706"/>
        <w:jc w:val="both"/>
        <w:rPr/>
      </w:pPr>
      <w:r>
        <w:rPr>
          <w:rStyle w:val="Hyperlink"/>
          <w:rFonts w:ascii="Tinos" w:hAnsi="Tinos"/>
          <w:color w:val="000000"/>
          <w:sz w:val="24"/>
          <w:szCs w:val="24"/>
          <w:u w:val="none"/>
          <w:lang w:val="ru-RU"/>
        </w:rPr>
        <w:t xml:space="preserve">6.1. </w:t>
      </w:r>
      <w:bookmarkStart w:id="0" w:name="_Hlk177570087"/>
      <w:r>
        <w:rPr>
          <w:rStyle w:val="Hyperlink"/>
          <w:rFonts w:ascii="Tinos" w:hAnsi="Tinos"/>
          <w:color w:val="000000"/>
          <w:sz w:val="24"/>
          <w:szCs w:val="24"/>
          <w:u w:val="none"/>
          <w:lang w:val="ru-RU"/>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п.4.2  со Стороны Заказчика;</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 4.1 со Стороны Исполнителя.</w:t>
      </w:r>
      <w:bookmarkEnd w:id="0"/>
    </w:p>
    <w:p>
      <w:pPr>
        <w:pStyle w:val="Normal"/>
        <w:spacing w:before="0" w:after="80"/>
        <w:ind w:firstLine="706"/>
        <w:jc w:val="both"/>
        <w:rPr/>
      </w:pPr>
      <w:r>
        <w:rPr>
          <w:rStyle w:val="Hyperlink"/>
          <w:rFonts w:ascii="Tinos" w:hAnsi="Tinos"/>
          <w:color w:val="000000"/>
          <w:sz w:val="24"/>
          <w:szCs w:val="24"/>
          <w:u w:val="none"/>
          <w:lang w:val="ru-RU"/>
        </w:rPr>
        <w:t>6.2. В случае просрочки исполнения Заказчиком обязательств, предусмотренных настоящим Контрактом, Исполнитель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Исполнителя.</w:t>
      </w:r>
    </w:p>
    <w:p>
      <w:pPr>
        <w:pStyle w:val="Normal"/>
        <w:spacing w:before="0" w:after="80"/>
        <w:ind w:firstLine="706"/>
        <w:jc w:val="both"/>
        <w:rPr/>
      </w:pPr>
      <w:r>
        <w:rPr>
          <w:rStyle w:val="Hyperlink"/>
          <w:rFonts w:ascii="Tinos" w:hAnsi="Tinos"/>
          <w:color w:val="000000"/>
          <w:sz w:val="24"/>
          <w:szCs w:val="24"/>
          <w:u w:val="none"/>
          <w:lang w:val="ru-RU"/>
        </w:rPr>
        <w:t xml:space="preserve">6.3. В случае просрочки исполнения Исполнителем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spacing w:before="0" w:after="80"/>
        <w:ind w:firstLine="706"/>
        <w:jc w:val="both"/>
        <w:rPr/>
      </w:pPr>
      <w:r>
        <w:rPr>
          <w:rStyle w:val="Hyperlink"/>
          <w:rFonts w:ascii="Tinos" w:hAnsi="Tinos"/>
          <w:color w:val="000000"/>
          <w:sz w:val="24"/>
          <w:szCs w:val="24"/>
          <w:u w:val="none"/>
          <w:lang w:val="ru-RU"/>
        </w:rPr>
        <w:t>6.4.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spacing w:before="0" w:after="80"/>
        <w:ind w:firstLine="706"/>
        <w:jc w:val="both"/>
        <w:rPr/>
      </w:pPr>
      <w:r>
        <w:rPr>
          <w:rStyle w:val="Hyperlink"/>
          <w:rFonts w:ascii="Tinos" w:hAnsi="Tinos"/>
          <w:color w:val="000000"/>
          <w:sz w:val="24"/>
          <w:szCs w:val="24"/>
          <w:u w:val="none"/>
          <w:lang w:val="ru-RU"/>
        </w:rPr>
        <w:t>6.5.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____________ рубля  и составляет 10% от цены настоящего Контракта.</w:t>
      </w:r>
    </w:p>
    <w:p>
      <w:pPr>
        <w:pStyle w:val="Normal"/>
        <w:spacing w:before="0" w:after="80"/>
        <w:ind w:firstLine="706"/>
        <w:jc w:val="both"/>
        <w:rPr/>
      </w:pPr>
      <w:r>
        <w:rPr>
          <w:rStyle w:val="Hyperlink"/>
          <w:rFonts w:ascii="Tinos" w:hAnsi="Tinos"/>
          <w:color w:val="000000"/>
          <w:sz w:val="24"/>
          <w:szCs w:val="24"/>
          <w:u w:val="none"/>
          <w:lang w:val="ru-RU"/>
        </w:rPr>
        <w:t>6.6.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spacing w:before="0" w:after="80"/>
        <w:ind w:firstLine="706"/>
        <w:jc w:val="both"/>
        <w:rPr/>
      </w:pPr>
      <w:r>
        <w:rPr>
          <w:rStyle w:val="Hyperlink"/>
          <w:rFonts w:ascii="Tinos" w:hAnsi="Tinos"/>
          <w:color w:val="000000"/>
          <w:sz w:val="24"/>
          <w:szCs w:val="24"/>
          <w:u w:val="none"/>
          <w:lang w:val="ru-RU"/>
        </w:rPr>
        <w:t>6.7. Применение штрафных санкций не освобождает Стороны от выполнения обязательств по настоящему Контракту.</w:t>
      </w:r>
    </w:p>
    <w:p>
      <w:pPr>
        <w:pStyle w:val="Normal"/>
        <w:keepNext w:val="true"/>
        <w:spacing w:before="240" w:after="80"/>
        <w:jc w:val="center"/>
        <w:rPr>
          <w:rFonts w:ascii="Tinos" w:hAnsi="Tinos"/>
          <w:sz w:val="24"/>
          <w:szCs w:val="24"/>
          <w:lang w:val="ru-RU"/>
        </w:rPr>
      </w:pPr>
      <w:r>
        <w:rPr>
          <w:rFonts w:ascii="Tinos" w:hAnsi="Tinos"/>
          <w:b/>
          <w:sz w:val="24"/>
          <w:szCs w:val="24"/>
          <w:lang w:val="ru-RU"/>
        </w:rPr>
        <w:t>7. ИЗМЕНЕНИЕ И РАСТОРЖЕНИЕ КОНТРАКТА</w:t>
      </w:r>
    </w:p>
    <w:p>
      <w:pPr>
        <w:pStyle w:val="Normal"/>
        <w:spacing w:before="0" w:after="80"/>
        <w:ind w:firstLine="706"/>
        <w:jc w:val="both"/>
        <w:rPr/>
      </w:pPr>
      <w:r>
        <w:rPr>
          <w:rStyle w:val="Hyperlink"/>
          <w:rFonts w:ascii="Tinos" w:hAnsi="Tinos"/>
          <w:color w:val="000000"/>
          <w:sz w:val="24"/>
          <w:szCs w:val="24"/>
          <w:u w:val="none"/>
          <w:lang w:val="ru-RU"/>
        </w:rPr>
        <w:t>7.1. Изменение условий Контракта допускается только по соглашению Сторон в случаях, предусмотренных ст. 34 и ст. 95 Федерального закона № 44-ФЗ.</w:t>
      </w:r>
    </w:p>
    <w:p>
      <w:pPr>
        <w:pStyle w:val="Normal"/>
        <w:spacing w:before="0" w:after="80"/>
        <w:ind w:firstLine="706"/>
        <w:jc w:val="both"/>
        <w:rPr/>
      </w:pPr>
      <w:r>
        <w:rPr>
          <w:rStyle w:val="Hyperlink"/>
          <w:rFonts w:ascii="Tinos" w:hAnsi="Tinos"/>
          <w:color w:val="000000"/>
          <w:sz w:val="24"/>
          <w:szCs w:val="24"/>
          <w:u w:val="none"/>
          <w:lang w:val="ru-RU"/>
        </w:rPr>
        <w:t>7.2. Расторжение Контракта допускается по соглашению Сторон, по решению суда или в случае одностороннего отказа Стороны от исполнения Контракта по основаниям, предусмотренным гражданским законодательством РФ и ст. 95 Закона № 44-ФЗ.</w:t>
      </w:r>
    </w:p>
    <w:p>
      <w:pPr>
        <w:pStyle w:val="Normal"/>
        <w:spacing w:before="0" w:after="80"/>
        <w:ind w:firstLine="706"/>
        <w:jc w:val="both"/>
        <w:rPr/>
      </w:pPr>
      <w:r>
        <w:rPr>
          <w:rStyle w:val="Hyperlink"/>
          <w:rFonts w:ascii="Tinos" w:hAnsi="Tinos"/>
          <w:color w:val="000000"/>
          <w:sz w:val="24"/>
          <w:szCs w:val="24"/>
          <w:u w:val="none"/>
          <w:lang w:val="ru-RU"/>
        </w:rPr>
        <w:t>7.3. Заказчик вправе принять решение об одностороннем отказе от исполнения Контракта в соответствии с действующим законодательством. В случае задержки оказания услуги на 30 дней и более Заказчик имеет право расторгнуть Контракт в одностороннем порядке.</w:t>
      </w:r>
    </w:p>
    <w:p>
      <w:pPr>
        <w:pStyle w:val="Normal"/>
        <w:spacing w:before="0" w:after="80"/>
        <w:ind w:firstLine="706"/>
        <w:jc w:val="center"/>
        <w:rPr/>
      </w:pPr>
      <w:r>
        <w:rPr>
          <w:rStyle w:val="Hyperlink"/>
          <w:rFonts w:ascii="Tinos" w:hAnsi="Tinos"/>
          <w:b/>
          <w:bCs/>
          <w:color w:val="000000"/>
          <w:sz w:val="24"/>
          <w:szCs w:val="24"/>
          <w:u w:val="none"/>
          <w:lang w:val="ru-RU"/>
        </w:rPr>
        <w:t>8. ПРОТИВОДЕЙСТВИЕ КОРРУПЦИИ</w:t>
      </w:r>
    </w:p>
    <w:p>
      <w:pPr>
        <w:pStyle w:val="Normal"/>
        <w:spacing w:before="0" w:after="80"/>
        <w:ind w:firstLine="706"/>
        <w:jc w:val="both"/>
        <w:rPr/>
      </w:pPr>
      <w:r>
        <w:rPr>
          <w:rStyle w:val="Hyperlink"/>
          <w:rFonts w:ascii="Tinos" w:hAnsi="Tinos"/>
          <w:color w:val="000000"/>
          <w:sz w:val="24"/>
          <w:szCs w:val="24"/>
          <w:u w:val="none"/>
          <w:lang w:val="ru-RU"/>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pacing w:before="0" w:after="80"/>
        <w:ind w:firstLine="706"/>
        <w:jc w:val="both"/>
        <w:rPr/>
      </w:pPr>
      <w:r>
        <w:rPr>
          <w:rStyle w:val="Hyperlink"/>
          <w:rFonts w:ascii="Tinos" w:hAnsi="Tinos"/>
          <w:color w:val="000000"/>
          <w:sz w:val="24"/>
          <w:szCs w:val="24"/>
          <w:u w:val="none"/>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8.2. В случае возникновения у Стороны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pacing w:before="0" w:after="80"/>
        <w:ind w:firstLine="706"/>
        <w:jc w:val="both"/>
        <w:rPr/>
      </w:pPr>
      <w:r>
        <w:rPr>
          <w:rStyle w:val="Hyperlink"/>
          <w:rFonts w:ascii="Tinos" w:hAnsi="Tinos"/>
          <w:color w:val="000000"/>
          <w:sz w:val="24"/>
          <w:szCs w:val="24"/>
          <w:u w:val="none"/>
          <w:lang w:val="ru-RU"/>
        </w:rPr>
        <w:t>8.3.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8.4. В случае нарушения одной Стороной обязательств воздерживаться от запрещенных в п. 8.1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9.ФОРС-МАЖОР</w:t>
      </w:r>
    </w:p>
    <w:p>
      <w:pPr>
        <w:pStyle w:val="Normal"/>
        <w:spacing w:before="0" w:after="80"/>
        <w:ind w:firstLine="706"/>
        <w:jc w:val="both"/>
        <w:rPr/>
      </w:pPr>
      <w:r>
        <w:rPr>
          <w:rStyle w:val="Hyperlink"/>
          <w:rFonts w:ascii="Tinos" w:hAnsi="Tinos"/>
          <w:color w:val="000000"/>
          <w:sz w:val="24"/>
          <w:szCs w:val="24"/>
          <w:u w:val="none"/>
          <w:lang w:val="ru-RU"/>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spacing w:before="0" w:after="80"/>
        <w:ind w:firstLine="706"/>
        <w:jc w:val="both"/>
        <w:rPr/>
      </w:pPr>
      <w:r>
        <w:rPr>
          <w:rStyle w:val="Hyperlink"/>
          <w:rFonts w:ascii="Tinos" w:hAnsi="Tinos"/>
          <w:color w:val="000000"/>
          <w:sz w:val="24"/>
          <w:szCs w:val="24"/>
          <w:u w:val="none"/>
          <w:lang w:val="ru-RU"/>
        </w:rPr>
        <w:t xml:space="preserve">К таким обстоятельствам не относятся, в частности, нарушение обязательств со стороны контрагентов Исполнителя, отсутствие у Исполнителя необходимых денежных средств. </w:t>
      </w:r>
    </w:p>
    <w:p>
      <w:pPr>
        <w:pStyle w:val="Normal"/>
        <w:spacing w:before="0" w:after="80"/>
        <w:ind w:firstLine="706"/>
        <w:jc w:val="both"/>
        <w:rPr/>
      </w:pPr>
      <w:r>
        <w:rPr>
          <w:rStyle w:val="Hyperlink"/>
          <w:rFonts w:ascii="Tinos" w:hAnsi="Tinos"/>
          <w:color w:val="000000"/>
          <w:sz w:val="24"/>
          <w:szCs w:val="24"/>
          <w:u w:val="none"/>
          <w:lang w:val="ru-RU"/>
        </w:rPr>
        <w:t>9.3.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spacing w:before="0" w:after="80"/>
        <w:ind w:firstLine="706"/>
        <w:jc w:val="both"/>
        <w:rPr/>
      </w:pPr>
      <w:r>
        <w:rPr>
          <w:rStyle w:val="Hyperlink"/>
          <w:rFonts w:ascii="Tinos" w:hAnsi="Tinos"/>
          <w:color w:val="000000"/>
          <w:sz w:val="24"/>
          <w:szCs w:val="24"/>
          <w:u w:val="none"/>
          <w:lang w:val="ru-RU"/>
        </w:rPr>
        <w:t>9.5.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10. ЗАКЛЮЧИТЕЛЬНЫЕ УСЛОВИЯ</w:t>
      </w:r>
    </w:p>
    <w:p>
      <w:pPr>
        <w:pStyle w:val="Normal"/>
        <w:spacing w:before="0" w:after="80"/>
        <w:ind w:firstLine="706"/>
        <w:jc w:val="both"/>
        <w:rPr/>
      </w:pPr>
      <w:r>
        <w:rPr>
          <w:rStyle w:val="Hyperlink"/>
          <w:rFonts w:ascii="Tinos" w:hAnsi="Tinos"/>
          <w:color w:val="000000"/>
          <w:sz w:val="24"/>
          <w:szCs w:val="24"/>
          <w:u w:val="none"/>
          <w:lang w:val="ru-RU"/>
        </w:rPr>
        <w:t xml:space="preserve">10.1. </w:t>
      </w:r>
      <w:bookmarkStart w:id="1" w:name="_Hlk177570138_Копия_1"/>
      <w:r>
        <w:rPr>
          <w:rStyle w:val="Hyperlink"/>
          <w:rFonts w:ascii="Tinos" w:hAnsi="Tinos"/>
          <w:color w:val="000000"/>
          <w:sz w:val="24"/>
          <w:szCs w:val="24"/>
          <w:u w:val="none"/>
          <w:lang w:val="ru-RU"/>
        </w:rPr>
        <w:t>Настоящий Контракт вступает в силу с момента заключения и действует до 30.10.2026г., а в части оплаты – до исполнения обязательств.</w:t>
      </w:r>
      <w:bookmarkEnd w:id="1"/>
    </w:p>
    <w:p>
      <w:pPr>
        <w:pStyle w:val="Normal"/>
        <w:spacing w:before="0" w:after="80"/>
        <w:ind w:firstLine="706"/>
        <w:jc w:val="both"/>
        <w:rPr/>
      </w:pPr>
      <w:r>
        <w:rPr>
          <w:rStyle w:val="Hyperlink"/>
          <w:rFonts w:ascii="Tinos" w:hAnsi="Tinos"/>
          <w:color w:val="000000"/>
          <w:sz w:val="24"/>
          <w:szCs w:val="24"/>
          <w:u w:val="none"/>
          <w:lang w:val="ru-RU"/>
        </w:rPr>
        <w:t>10.1.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spacing w:before="0" w:after="80"/>
        <w:ind w:firstLine="706"/>
        <w:jc w:val="both"/>
        <w:rPr/>
      </w:pPr>
      <w:r>
        <w:rPr>
          <w:rStyle w:val="Hyperlink"/>
          <w:rFonts w:ascii="Tinos" w:hAnsi="Tinos"/>
          <w:color w:val="000000"/>
          <w:sz w:val="24"/>
          <w:szCs w:val="24"/>
          <w:u w:val="none"/>
          <w:lang w:val="ru-RU"/>
        </w:rPr>
        <w:t>10.2.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spacing w:before="0" w:after="80"/>
        <w:ind w:firstLine="706"/>
        <w:jc w:val="both"/>
        <w:rPr/>
      </w:pPr>
      <w:r>
        <w:rPr>
          <w:rStyle w:val="Hyperlink"/>
          <w:rFonts w:ascii="Tinos" w:hAnsi="Tinos"/>
          <w:color w:val="000000"/>
          <w:sz w:val="24"/>
          <w:szCs w:val="24"/>
          <w:u w:val="none"/>
          <w:lang w:val="ru-RU"/>
        </w:rPr>
        <w:t>10.3.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spacing w:before="0" w:after="80"/>
        <w:ind w:firstLine="706"/>
        <w:jc w:val="both"/>
        <w:rPr/>
      </w:pPr>
      <w:r>
        <w:rPr>
          <w:rStyle w:val="Hyperlink"/>
          <w:rFonts w:ascii="Tinos" w:hAnsi="Tinos"/>
          <w:color w:val="000000"/>
          <w:sz w:val="24"/>
          <w:szCs w:val="24"/>
          <w:u w:val="none"/>
          <w:lang w:val="ru-RU"/>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spacing w:before="0" w:after="80"/>
        <w:ind w:firstLine="706"/>
        <w:jc w:val="both"/>
        <w:rPr/>
      </w:pPr>
      <w:r>
        <w:rPr>
          <w:rStyle w:val="Hyperlink"/>
          <w:rFonts w:ascii="Tinos" w:hAnsi="Tinos"/>
          <w:color w:val="000000"/>
          <w:sz w:val="24"/>
          <w:szCs w:val="24"/>
          <w:u w:val="none"/>
          <w:lang w:val="ru-RU"/>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spacing w:before="0" w:after="80"/>
        <w:ind w:firstLine="706"/>
        <w:jc w:val="both"/>
        <w:rPr/>
      </w:pPr>
      <w:r>
        <w:rPr>
          <w:rStyle w:val="Hyperlink"/>
          <w:rFonts w:ascii="Tinos" w:hAnsi="Tinos"/>
          <w:color w:val="000000"/>
          <w:sz w:val="24"/>
          <w:szCs w:val="24"/>
          <w:u w:val="none"/>
          <w:lang w:val="ru-RU"/>
        </w:rPr>
        <w:t>10.4.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spacing w:before="0" w:after="80"/>
        <w:ind w:firstLine="706"/>
        <w:jc w:val="both"/>
        <w:rPr/>
      </w:pPr>
      <w:r>
        <w:rPr>
          <w:rStyle w:val="Hyperlink"/>
          <w:rFonts w:ascii="Tinos" w:hAnsi="Tinos"/>
          <w:color w:val="000000"/>
          <w:sz w:val="24"/>
          <w:szCs w:val="24"/>
          <w:u w:val="none"/>
          <w:lang w:val="ru-RU"/>
        </w:rPr>
        <w:t>10.5.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spacing w:before="0" w:after="80"/>
        <w:ind w:firstLine="706"/>
        <w:jc w:val="both"/>
        <w:rPr/>
      </w:pPr>
      <w:r>
        <w:rPr>
          <w:rStyle w:val="Hyperlink"/>
          <w:rFonts w:ascii="Tinos" w:hAnsi="Tinos"/>
          <w:color w:val="000000"/>
          <w:sz w:val="24"/>
          <w:szCs w:val="24"/>
          <w:u w:val="none"/>
          <w:lang w:val="ru-RU"/>
        </w:rPr>
        <w:t>10.6.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spacing w:before="0" w:after="80"/>
        <w:ind w:firstLine="706"/>
        <w:jc w:val="both"/>
        <w:rPr/>
      </w:pPr>
      <w:r>
        <w:rPr>
          <w:rStyle w:val="Hyperlink"/>
          <w:rFonts w:ascii="Tinos" w:hAnsi="Tinos"/>
          <w:color w:val="000000"/>
          <w:sz w:val="24"/>
          <w:szCs w:val="24"/>
          <w:u w:val="none"/>
          <w:lang w:val="ru-RU"/>
        </w:rPr>
        <w:t>10.7.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spacing w:before="0" w:after="80"/>
        <w:ind w:firstLine="706"/>
        <w:jc w:val="both"/>
        <w:rPr/>
      </w:pPr>
      <w:r>
        <w:rPr>
          <w:rStyle w:val="Hyperlink"/>
          <w:rFonts w:ascii="Tinos" w:hAnsi="Tinos"/>
          <w:color w:val="000000"/>
          <w:sz w:val="24"/>
          <w:szCs w:val="24"/>
          <w:u w:val="none"/>
          <w:lang w:val="ru-RU"/>
        </w:rPr>
        <w:t>10.8.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spacing w:before="0" w:after="80"/>
        <w:ind w:firstLine="706"/>
        <w:jc w:val="both"/>
        <w:rPr/>
      </w:pPr>
      <w:r>
        <w:rPr>
          <w:rStyle w:val="Hyperlink"/>
          <w:rFonts w:ascii="Tinos" w:hAnsi="Tinos"/>
          <w:color w:val="000000"/>
          <w:sz w:val="24"/>
          <w:szCs w:val="24"/>
          <w:u w:val="none"/>
          <w:lang w:val="ru-RU"/>
        </w:rPr>
        <w:t>10.9. Настоящий контракт составлен в двух экземплярах для каждой из Сторон, имеющих одинаковую юридическую силу.</w:t>
      </w:r>
    </w:p>
    <w:p>
      <w:pPr>
        <w:pStyle w:val="Normal"/>
        <w:keepNext w:val="true"/>
        <w:spacing w:before="360" w:after="120"/>
        <w:jc w:val="center"/>
        <w:rPr>
          <w:rFonts w:ascii="Tinos" w:hAnsi="Tinos"/>
          <w:sz w:val="24"/>
          <w:szCs w:val="24"/>
        </w:rPr>
      </w:pPr>
      <w:r>
        <w:rPr>
          <w:rFonts w:ascii="Tinos" w:hAnsi="Tinos"/>
          <w:b/>
          <w:sz w:val="24"/>
          <w:szCs w:val="24"/>
          <w:lang w:val="ru-RU"/>
        </w:rPr>
        <w:t>11. АДРЕСА, РЕКВИЗИТЫ И ПОДПИСИ СТОРОН</w:t>
      </w:r>
    </w:p>
    <w:tbl>
      <w:tblPr>
        <w:tblW w:w="10300" w:type="dxa"/>
        <w:jc w:val="start"/>
        <w:tblInd w:w="-511" w:type="dxa"/>
        <w:tblLayout w:type="fixed"/>
        <w:tblCellMar>
          <w:top w:w="100" w:type="dxa"/>
          <w:start w:w="150" w:type="dxa"/>
          <w:bottom w:w="100" w:type="dxa"/>
          <w:end w:w="150" w:type="dxa"/>
        </w:tblCellMar>
        <w:tblLook w:val="04a0" w:noHBand="0" w:noVBand="1" w:firstColumn="1" w:lastRow="0" w:lastColumn="0" w:firstRow="1"/>
      </w:tblPr>
      <w:tblGrid>
        <w:gridCol w:w="5585"/>
        <w:gridCol w:w="4715"/>
      </w:tblGrid>
      <w:tr>
        <w:trPr/>
        <w:tc>
          <w:tcPr>
            <w:tcW w:w="5585" w:type="dxa"/>
            <w:tcBorders/>
          </w:tcPr>
          <w:p>
            <w:pPr>
              <w:pStyle w:val="Normal"/>
              <w:spacing w:lineRule="auto" w:line="240"/>
              <w:jc w:val="both"/>
              <w:rPr>
                <w:rFonts w:ascii="Tinos" w:hAnsi="Tinos"/>
                <w:b/>
                <w:sz w:val="24"/>
                <w:szCs w:val="24"/>
                <w:lang w:val="ru-RU"/>
              </w:rPr>
            </w:pPr>
            <w:r>
              <w:rPr>
                <w:rFonts w:ascii="Tinos" w:hAnsi="Tinos"/>
                <w:b/>
                <w:sz w:val="24"/>
                <w:szCs w:val="24"/>
                <w:lang w:val="ru-RU"/>
              </w:rPr>
              <w:t>ЗАКАЗЧИК:</w:t>
              <w:br/>
            </w:r>
            <w:r>
              <w:rPr>
                <w:rFonts w:eastAsia="Calibri" w:ascii="Tinos" w:hAnsi="Tinos"/>
                <w:b/>
                <w:bCs/>
                <w:sz w:val="24"/>
                <w:szCs w:val="24"/>
                <w:lang w:val="ru-RU"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Юридический и фактический адрес:</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650002, г. Кемерово, бульвар имени академика Л.С. Барбараша, стр. 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 +7 (3842) 34-53-72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Банковские реквизиты:</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20396Х66880)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22396Х66880)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21396Х66880)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ИНН 4205012290  КПП 420501001</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КС 03214643000000015106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ОКЦ № 1 СибГУ Банка России//УФК по Новосибирской области, г. Новосибирск</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БИК 015004950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ЕКС 40102810445370000043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КБК 00000000000000000130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ОГРН 1034205024479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ОКПО 55608705</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ОКАТО 32401000000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ОКТМО 32701000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ОКОГУ 1330612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ОКФС 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ОКОПФ 75103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ОКВЭД 72.19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Тел/факс: +7 (3842) 64-33-08</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E-mail:  reception@kemcardio.ru</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1"/>
              <w:spacing w:lineRule="auto" w:line="240"/>
              <w:jc w:val="both"/>
              <w:rPr>
                <w:rFonts w:ascii="Tinos" w:hAnsi="Tinos"/>
                <w:sz w:val="24"/>
                <w:szCs w:val="24"/>
                <w:lang w:val="ru-RU"/>
              </w:rPr>
            </w:pPr>
            <w:r>
              <w:rPr>
                <w:rFonts w:cs="Times New Roman" w:ascii="Tinos" w:hAnsi="Tinos"/>
                <w:sz w:val="24"/>
                <w:szCs w:val="24"/>
                <w:lang w:val="ru-RU"/>
              </w:rPr>
              <w:t>Начальник отдела материально-технического снабжения</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Normal"/>
              <w:spacing w:lineRule="auto" w:line="240"/>
              <w:jc w:val="both"/>
              <w:rPr>
                <w:rFonts w:ascii="Tinos" w:hAnsi="Tinos"/>
                <w:sz w:val="24"/>
                <w:szCs w:val="24"/>
                <w:lang w:val="ru-RU"/>
              </w:rPr>
            </w:pPr>
            <w:r>
              <w:rPr>
                <w:rFonts w:ascii="Tinos" w:hAnsi="Tinos"/>
                <w:sz w:val="24"/>
                <w:szCs w:val="24"/>
                <w:lang w:val="ru-RU"/>
              </w:rPr>
              <w:t>____________  А.Е.Кузнецова</w:t>
            </w:r>
          </w:p>
          <w:p>
            <w:pPr>
              <w:pStyle w:val="Normal"/>
              <w:spacing w:lineRule="auto" w:line="240" w:before="0" w:after="200"/>
              <w:jc w:val="both"/>
              <w:rPr>
                <w:rFonts w:ascii="Tinos" w:hAnsi="Tinos"/>
                <w:b/>
                <w:sz w:val="24"/>
                <w:szCs w:val="24"/>
                <w:lang w:val="ru-RU"/>
              </w:rPr>
            </w:pPr>
            <w:r>
              <w:rPr>
                <w:rFonts w:ascii="Tinos" w:hAnsi="Tinos"/>
                <w:b/>
                <w:sz w:val="24"/>
                <w:szCs w:val="24"/>
                <w:lang w:val="ru-RU"/>
              </w:rPr>
              <w:t>м.п.</w:t>
            </w:r>
          </w:p>
        </w:tc>
        <w:tc>
          <w:tcPr>
            <w:tcW w:w="4715" w:type="dxa"/>
            <w:tcBorders/>
          </w:tcPr>
          <w:p>
            <w:pPr>
              <w:pStyle w:val="Normal"/>
              <w:spacing w:before="0" w:after="200"/>
              <w:jc w:val="both"/>
              <w:rPr>
                <w:rFonts w:ascii="Tinos" w:hAnsi="Tinos"/>
                <w:sz w:val="24"/>
                <w:szCs w:val="24"/>
                <w:lang w:val="ru-RU"/>
              </w:rPr>
            </w:pPr>
            <w:r>
              <w:rPr>
                <w:rFonts w:ascii="Tinos" w:hAnsi="Tinos"/>
                <w:b/>
                <w:sz w:val="24"/>
                <w:szCs w:val="24"/>
                <w:lang w:val="ru-RU"/>
              </w:rPr>
              <w:t>ИСПОЛНИТЕЛЬ:</w:t>
              <w:br/>
            </w:r>
          </w:p>
        </w:tc>
      </w:tr>
    </w:tbl>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sectPr>
          <w:type w:val="nextPage"/>
          <w:pgSz w:w="12240" w:h="15840"/>
          <w:pgMar w:left="1699" w:right="850" w:gutter="0" w:header="0" w:top="1138" w:footer="0" w:bottom="1138"/>
          <w:pgNumType w:fmt="decimal"/>
          <w:formProt w:val="false"/>
          <w:textDirection w:val="lrTb"/>
          <w:docGrid w:type="default" w:linePitch="360" w:charSpace="0"/>
        </w:sect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Приложение № 1    </w:t>
      </w:r>
      <w:r>
        <w:rPr>
          <w:rFonts w:cs="Times New Roman" w:ascii="Tinos" w:hAnsi="Tinos"/>
          <w:sz w:val="24"/>
          <w:szCs w:val="24"/>
          <w:lang w:val="ru-RU"/>
        </w:rPr>
        <w:t xml:space="preserve"> </w:t>
      </w:r>
    </w:p>
    <w:p>
      <w:pPr>
        <w:pStyle w:val="Normal"/>
        <w:spacing w:lineRule="auto" w:line="240" w:before="0" w:after="60"/>
        <w:jc w:val="end"/>
        <w:rPr>
          <w:rFonts w:ascii="Tinos" w:hAnsi="Tinos"/>
          <w:sz w:val="24"/>
          <w:szCs w:val="24"/>
        </w:rPr>
      </w:pPr>
      <w:r>
        <w:rPr>
          <w:rFonts w:ascii="Tinos" w:hAnsi="Tinos"/>
          <w:sz w:val="24"/>
          <w:szCs w:val="24"/>
          <w:lang w:val="ru-RU"/>
        </w:rPr>
        <w:t xml:space="preserve">                                                                                                        </w:t>
      </w:r>
      <w:r>
        <w:rPr>
          <w:rFonts w:ascii="Tinos" w:hAnsi="Tinos"/>
          <w:sz w:val="24"/>
          <w:szCs w:val="24"/>
          <w:lang w:val="ru-RU"/>
        </w:rPr>
        <w:t>к Контр</w:t>
      </w:r>
      <w:r>
        <w:rPr>
          <w:rFonts w:ascii="Tinos" w:hAnsi="Tinos"/>
          <w:b w:val="false"/>
          <w:bCs w:val="false"/>
          <w:sz w:val="24"/>
          <w:szCs w:val="24"/>
          <w:lang w:val="ru-RU"/>
        </w:rPr>
        <w:t>а</w:t>
      </w:r>
      <w:r>
        <w:rPr>
          <w:rFonts w:ascii="Tinos" w:hAnsi="Tinos"/>
          <w:sz w:val="24"/>
          <w:szCs w:val="24"/>
          <w:lang w:val="ru-RU"/>
        </w:rPr>
        <w:t>кту №______________</w:t>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                                                                                                                                </w:t>
      </w:r>
      <w:r>
        <w:rPr>
          <w:rFonts w:ascii="Tinos" w:hAnsi="Tinos"/>
          <w:sz w:val="24"/>
          <w:szCs w:val="24"/>
          <w:lang w:val="ru-RU"/>
        </w:rPr>
        <w:t>«____» _________ 2026г.</w:t>
      </w:r>
    </w:p>
    <w:p>
      <w:pPr>
        <w:pStyle w:val="Normal"/>
        <w:spacing w:lineRule="auto" w:line="240" w:before="0" w:after="60"/>
        <w:jc w:val="center"/>
        <w:rPr>
          <w:rFonts w:ascii="Tinos" w:hAnsi="Tinos" w:eastAsia="Calibri"/>
          <w:b/>
          <w:bCs/>
          <w:sz w:val="24"/>
          <w:szCs w:val="24"/>
          <w:lang w:val="ru-RU" w:eastAsia="en-US"/>
        </w:rPr>
      </w:pPr>
      <w:r>
        <w:rPr>
          <w:rFonts w:eastAsia="Calibri" w:ascii="Tinos" w:hAnsi="Tinos"/>
          <w:b/>
          <w:bCs/>
          <w:sz w:val="24"/>
          <w:szCs w:val="24"/>
          <w:lang w:val="ru-RU" w:eastAsia="en-US"/>
        </w:rPr>
        <w:t>СПЕЦИФИКАЦИЯ</w:t>
      </w:r>
    </w:p>
    <w:p>
      <w:pPr>
        <w:pStyle w:val="Normal"/>
        <w:spacing w:lineRule="auto" w:line="240" w:before="0" w:after="60"/>
        <w:jc w:val="both"/>
        <w:rPr>
          <w:rFonts w:ascii="Tinos" w:hAnsi="Tinos" w:eastAsia="Calibri"/>
          <w:b/>
          <w:bCs/>
          <w:sz w:val="24"/>
          <w:szCs w:val="24"/>
          <w:lang w:val="ru-RU" w:eastAsia="en-US"/>
        </w:rPr>
      </w:pPr>
      <w:r>
        <w:rPr>
          <w:rFonts w:eastAsia="Calibri" w:ascii="Tinos" w:hAnsi="Tinos"/>
          <w:b/>
          <w:bCs/>
          <w:sz w:val="24"/>
          <w:szCs w:val="24"/>
          <w:lang w:val="ru-RU" w:eastAsia="en-US"/>
        </w:rPr>
      </w:r>
    </w:p>
    <w:tbl>
      <w:tblPr>
        <w:tblW w:w="15025" w:type="dxa"/>
        <w:jc w:val="start"/>
        <w:tblInd w:w="499" w:type="dxa"/>
        <w:tblLayout w:type="fixed"/>
        <w:tblCellMar>
          <w:top w:w="55" w:type="dxa"/>
          <w:start w:w="108" w:type="dxa"/>
          <w:bottom w:w="55" w:type="dxa"/>
          <w:end w:w="108" w:type="dxa"/>
        </w:tblCellMar>
      </w:tblPr>
      <w:tblGrid>
        <w:gridCol w:w="721"/>
        <w:gridCol w:w="5066"/>
        <w:gridCol w:w="900"/>
        <w:gridCol w:w="2499"/>
        <w:gridCol w:w="1926"/>
        <w:gridCol w:w="1525"/>
        <w:gridCol w:w="2388"/>
      </w:tblGrid>
      <w:tr>
        <w:trPr>
          <w:trHeight w:val="572" w:hRule="atLeast"/>
        </w:trPr>
        <w:tc>
          <w:tcPr>
            <w:tcW w:w="721" w:type="dxa"/>
            <w:tcBorders>
              <w:top w:val="single" w:sz="4" w:space="0" w:color="000000"/>
              <w:start w:val="single" w:sz="4" w:space="0" w:color="000000"/>
              <w:bottom w:val="single" w:sz="4" w:space="0" w:color="000000"/>
            </w:tcBorders>
            <w:vAlign w:val="center"/>
          </w:tcPr>
          <w:p>
            <w:pPr>
              <w:pStyle w:val="Normal"/>
              <w:jc w:val="both"/>
              <w:rPr>
                <w:rFonts w:ascii="Tinos" w:hAnsi="Tinos"/>
                <w:sz w:val="24"/>
                <w:szCs w:val="24"/>
                <w:lang w:val="ru-RU"/>
              </w:rPr>
            </w:pPr>
            <w:r>
              <w:rPr>
                <w:rFonts w:ascii="Tinos" w:hAnsi="Tinos"/>
                <w:sz w:val="24"/>
                <w:szCs w:val="24"/>
                <w:lang w:val="ru-RU"/>
              </w:rPr>
              <w:t>№</w:t>
            </w:r>
          </w:p>
          <w:p>
            <w:pPr>
              <w:pStyle w:val="Normal"/>
              <w:spacing w:before="0" w:after="200"/>
              <w:jc w:val="both"/>
              <w:rPr>
                <w:rFonts w:ascii="Tinos" w:hAnsi="Tinos"/>
                <w:sz w:val="24"/>
                <w:szCs w:val="24"/>
                <w:lang w:val="ru-RU"/>
              </w:rPr>
            </w:pPr>
            <w:r>
              <w:rPr>
                <w:rFonts w:ascii="Tinos" w:hAnsi="Tinos"/>
                <w:sz w:val="24"/>
                <w:szCs w:val="24"/>
                <w:lang w:val="ru-RU"/>
              </w:rPr>
              <w:t>п/п</w:t>
            </w:r>
          </w:p>
        </w:tc>
        <w:tc>
          <w:tcPr>
            <w:tcW w:w="5066" w:type="dxa"/>
            <w:tcBorders>
              <w:top w:val="single" w:sz="4" w:space="0" w:color="000000"/>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 xml:space="preserve">Наименование, минимальные </w:t>
            </w:r>
            <w:r>
              <w:rPr>
                <w:rFonts w:ascii="Tinos" w:hAnsi="Tinos"/>
                <w:sz w:val="24"/>
                <w:szCs w:val="24"/>
                <w:lang w:val="ru-RU"/>
              </w:rPr>
              <w:t>требования к услуге</w:t>
            </w:r>
          </w:p>
        </w:tc>
        <w:tc>
          <w:tcPr>
            <w:tcW w:w="900"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Кол-во</w:t>
            </w:r>
          </w:p>
        </w:tc>
        <w:tc>
          <w:tcPr>
            <w:tcW w:w="2499"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Ед. изм.</w:t>
            </w:r>
          </w:p>
        </w:tc>
        <w:tc>
          <w:tcPr>
            <w:tcW w:w="1926"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Стоимость единицы, рублей</w:t>
            </w:r>
          </w:p>
        </w:tc>
        <w:tc>
          <w:tcPr>
            <w:tcW w:w="1525"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НДС, рублей</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Общая стоимость с НДС, рублей</w:t>
            </w:r>
          </w:p>
        </w:tc>
      </w:tr>
      <w:tr>
        <w:trPr>
          <w:trHeight w:val="405" w:hRule="atLeast"/>
        </w:trPr>
        <w:tc>
          <w:tcPr>
            <w:tcW w:w="721" w:type="dxa"/>
            <w:tcBorders>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1</w:t>
            </w:r>
          </w:p>
        </w:tc>
        <w:tc>
          <w:tcPr>
            <w:tcW w:w="5066" w:type="dxa"/>
            <w:tcBorders>
              <w:start w:val="single" w:sz="4" w:space="0" w:color="000000"/>
              <w:bottom w:val="single" w:sz="4" w:space="0" w:color="000000"/>
            </w:tcBorders>
          </w:tcPr>
          <w:p>
            <w:pPr>
              <w:pStyle w:val="Normal"/>
              <w:spacing w:before="0" w:after="200"/>
              <w:jc w:val="both"/>
              <w:rPr>
                <w:rFonts w:ascii="Tinos" w:hAnsi="Tinos"/>
                <w:szCs w:val="24"/>
                <w:lang w:val="ru-RU"/>
              </w:rPr>
            </w:pPr>
            <w:r>
              <w:rPr>
                <w:rFonts w:ascii="Tinos" w:hAnsi="Tinos"/>
                <w:szCs w:val="24"/>
                <w:lang w:val="ru-RU"/>
              </w:rPr>
              <w:t>Обучение руководителей и специалистов по безопасным методам и приемам выполнения работ на высоте 2 группа</w:t>
            </w:r>
          </w:p>
        </w:tc>
        <w:tc>
          <w:tcPr>
            <w:tcW w:w="900"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2</w:t>
            </w:r>
          </w:p>
        </w:tc>
        <w:tc>
          <w:tcPr>
            <w:tcW w:w="2499"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чел</w:t>
            </w:r>
          </w:p>
        </w:tc>
        <w:tc>
          <w:tcPr>
            <w:tcW w:w="1926" w:type="dxa"/>
            <w:tcBorders>
              <w:start w:val="single" w:sz="4" w:space="0" w:color="000000"/>
              <w:bottom w:val="single" w:sz="4" w:space="0" w:color="000000"/>
            </w:tcBorders>
            <w:vAlign w:val="center"/>
          </w:tcPr>
          <w:p>
            <w:pPr>
              <w:pStyle w:val="Normal"/>
              <w:snapToGrid w:val="false"/>
              <w:spacing w:before="0" w:after="200"/>
              <w:jc w:val="center"/>
              <w:rPr>
                <w:rFonts w:ascii="Tinos" w:hAnsi="Tinos"/>
                <w:sz w:val="24"/>
                <w:szCs w:val="24"/>
                <w:lang w:val="ru-RU"/>
              </w:rPr>
            </w:pPr>
            <w:r>
              <w:rPr>
                <w:rFonts w:ascii="Tinos" w:hAnsi="Tinos"/>
                <w:sz w:val="24"/>
                <w:szCs w:val="24"/>
                <w:lang w:val="ru-RU"/>
              </w:rPr>
            </w:r>
          </w:p>
        </w:tc>
        <w:tc>
          <w:tcPr>
            <w:tcW w:w="1525" w:type="dxa"/>
            <w:tcBorders>
              <w:start w:val="single" w:sz="4" w:space="0" w:color="000000"/>
              <w:bottom w:val="single" w:sz="4" w:space="0" w:color="000000"/>
            </w:tcBorders>
            <w:vAlign w:val="center"/>
          </w:tcPr>
          <w:p>
            <w:pPr>
              <w:pStyle w:val="Normal"/>
              <w:snapToGrid w:val="false"/>
              <w:spacing w:lineRule="atLeast" w:line="57" w:before="0" w:after="200"/>
              <w:jc w:val="center"/>
              <w:rPr>
                <w:rFonts w:ascii="Tinos" w:hAnsi="Tinos"/>
                <w:sz w:val="24"/>
                <w:szCs w:val="24"/>
                <w:lang w:val="ru-RU"/>
              </w:rPr>
            </w:pPr>
            <w:r>
              <w:rPr>
                <w:rFonts w:ascii="Tinos" w:hAnsi="Tinos"/>
                <w:sz w:val="24"/>
                <w:szCs w:val="24"/>
                <w:lang w:val="ru-RU"/>
              </w:rPr>
            </w:r>
          </w:p>
        </w:tc>
        <w:tc>
          <w:tcPr>
            <w:tcW w:w="2388" w:type="dxa"/>
            <w:tcBorders>
              <w:start w:val="single" w:sz="4" w:space="0" w:color="000000"/>
              <w:bottom w:val="single" w:sz="4" w:space="0" w:color="000000"/>
              <w:end w:val="single" w:sz="4" w:space="0" w:color="000000"/>
            </w:tcBorders>
            <w:vAlign w:val="center"/>
          </w:tcPr>
          <w:p>
            <w:pPr>
              <w:pStyle w:val="Normal"/>
              <w:snapToGrid w:val="false"/>
              <w:spacing w:lineRule="atLeast" w:line="57" w:before="0" w:after="200"/>
              <w:jc w:val="center"/>
              <w:rPr>
                <w:b w:val="false"/>
                <w:bCs w:val="false"/>
              </w:rPr>
            </w:pPr>
            <w:r>
              <w:rPr>
                <w:b w:val="false"/>
                <w:bCs w:val="false"/>
              </w:rPr>
            </w:r>
          </w:p>
        </w:tc>
      </w:tr>
      <w:tr>
        <w:trPr>
          <w:trHeight w:val="405" w:hRule="atLeast"/>
        </w:trPr>
        <w:tc>
          <w:tcPr>
            <w:tcW w:w="721" w:type="dxa"/>
            <w:tcBorders>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2</w:t>
            </w:r>
          </w:p>
        </w:tc>
        <w:tc>
          <w:tcPr>
            <w:tcW w:w="5066" w:type="dxa"/>
            <w:tcBorders>
              <w:start w:val="single" w:sz="4" w:space="0" w:color="000000"/>
              <w:bottom w:val="single" w:sz="4" w:space="0" w:color="000000"/>
            </w:tcBorders>
          </w:tcPr>
          <w:p>
            <w:pPr>
              <w:pStyle w:val="Normal"/>
              <w:spacing w:before="0" w:after="200"/>
              <w:jc w:val="both"/>
              <w:rPr>
                <w:rFonts w:ascii="Tinos" w:hAnsi="Tinos"/>
                <w:szCs w:val="24"/>
                <w:lang w:val="ru-RU"/>
              </w:rPr>
            </w:pPr>
            <w:r>
              <w:rPr>
                <w:rFonts w:ascii="Tinos" w:hAnsi="Tinos"/>
                <w:szCs w:val="24"/>
                <w:lang w:val="ru-RU"/>
              </w:rPr>
              <w:t>Обучение руководителей и специалистов по безопасным методам и приемам выполнения работ на высоте 1 группа</w:t>
            </w:r>
          </w:p>
        </w:tc>
        <w:tc>
          <w:tcPr>
            <w:tcW w:w="900"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9</w:t>
            </w:r>
          </w:p>
        </w:tc>
        <w:tc>
          <w:tcPr>
            <w:tcW w:w="2499"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чел</w:t>
            </w:r>
          </w:p>
        </w:tc>
        <w:tc>
          <w:tcPr>
            <w:tcW w:w="1926" w:type="dxa"/>
            <w:tcBorders>
              <w:start w:val="single" w:sz="4" w:space="0" w:color="000000"/>
              <w:bottom w:val="single" w:sz="4" w:space="0" w:color="000000"/>
            </w:tcBorders>
            <w:vAlign w:val="center"/>
          </w:tcPr>
          <w:p>
            <w:pPr>
              <w:pStyle w:val="Normal"/>
              <w:snapToGrid w:val="false"/>
              <w:spacing w:before="0" w:after="200"/>
              <w:jc w:val="center"/>
              <w:rPr>
                <w:rFonts w:ascii="Tinos" w:hAnsi="Tinos"/>
                <w:sz w:val="24"/>
                <w:szCs w:val="24"/>
                <w:lang w:val="ru-RU"/>
              </w:rPr>
            </w:pPr>
            <w:r>
              <w:rPr>
                <w:rFonts w:ascii="Tinos" w:hAnsi="Tinos"/>
                <w:sz w:val="24"/>
                <w:szCs w:val="24"/>
                <w:lang w:val="ru-RU"/>
              </w:rPr>
            </w:r>
          </w:p>
        </w:tc>
        <w:tc>
          <w:tcPr>
            <w:tcW w:w="1525" w:type="dxa"/>
            <w:tcBorders>
              <w:start w:val="single" w:sz="4" w:space="0" w:color="000000"/>
              <w:bottom w:val="single" w:sz="4" w:space="0" w:color="000000"/>
            </w:tcBorders>
            <w:vAlign w:val="center"/>
          </w:tcPr>
          <w:p>
            <w:pPr>
              <w:pStyle w:val="Normal"/>
              <w:snapToGrid w:val="false"/>
              <w:spacing w:lineRule="atLeast" w:line="57" w:before="0" w:after="200"/>
              <w:jc w:val="center"/>
              <w:rPr>
                <w:rFonts w:ascii="Tinos" w:hAnsi="Tinos"/>
                <w:sz w:val="24"/>
                <w:szCs w:val="24"/>
                <w:lang w:val="ru-RU"/>
              </w:rPr>
            </w:pPr>
            <w:r>
              <w:rPr>
                <w:rFonts w:ascii="Tinos" w:hAnsi="Tinos"/>
                <w:sz w:val="24"/>
                <w:szCs w:val="24"/>
                <w:lang w:val="ru-RU"/>
              </w:rPr>
            </w:r>
          </w:p>
        </w:tc>
        <w:tc>
          <w:tcPr>
            <w:tcW w:w="2388" w:type="dxa"/>
            <w:tcBorders>
              <w:start w:val="single" w:sz="4" w:space="0" w:color="000000"/>
              <w:bottom w:val="single" w:sz="4" w:space="0" w:color="000000"/>
              <w:end w:val="single" w:sz="4" w:space="0" w:color="000000"/>
            </w:tcBorders>
            <w:vAlign w:val="center"/>
          </w:tcPr>
          <w:p>
            <w:pPr>
              <w:pStyle w:val="Normal"/>
              <w:snapToGrid w:val="false"/>
              <w:spacing w:lineRule="atLeast" w:line="57" w:before="0" w:after="200"/>
              <w:jc w:val="center"/>
              <w:rPr>
                <w:b w:val="false"/>
                <w:bCs w:val="false"/>
              </w:rPr>
            </w:pPr>
            <w:r>
              <w:rPr>
                <w:b w:val="false"/>
                <w:bCs w:val="false"/>
              </w:rPr>
            </w:r>
          </w:p>
        </w:tc>
      </w:tr>
      <w:tr>
        <w:trPr>
          <w:trHeight w:val="541" w:hRule="atLeast"/>
        </w:trPr>
        <w:tc>
          <w:tcPr>
            <w:tcW w:w="12637" w:type="dxa"/>
            <w:gridSpan w:val="6"/>
            <w:tcBorders>
              <w:start w:val="single" w:sz="4" w:space="0" w:color="000000"/>
              <w:bottom w:val="single" w:sz="4" w:space="0" w:color="000000"/>
            </w:tcBorders>
          </w:tcPr>
          <w:p>
            <w:pPr>
              <w:pStyle w:val="Normal"/>
              <w:spacing w:before="0" w:after="200"/>
              <w:jc w:val="end"/>
              <w:rPr>
                <w:rFonts w:ascii="Tinos" w:hAnsi="Tinos"/>
                <w:sz w:val="24"/>
                <w:szCs w:val="24"/>
                <w:lang w:val="ru-RU"/>
              </w:rPr>
            </w:pPr>
            <w:r>
              <w:rPr>
                <w:rFonts w:ascii="Tinos" w:hAnsi="Tinos"/>
                <w:b/>
                <w:bCs/>
                <w:sz w:val="24"/>
                <w:szCs w:val="24"/>
                <w:lang w:val="ru-RU"/>
              </w:rPr>
              <w:t>ИТОГО:</w:t>
            </w:r>
          </w:p>
        </w:tc>
        <w:tc>
          <w:tcPr>
            <w:tcW w:w="2388" w:type="dxa"/>
            <w:tcBorders>
              <w:start w:val="single" w:sz="4" w:space="0" w:color="000000"/>
              <w:bottom w:val="single" w:sz="4" w:space="0" w:color="000000"/>
              <w:end w:val="single" w:sz="4" w:space="0" w:color="000000"/>
            </w:tcBorders>
          </w:tcPr>
          <w:p>
            <w:pPr>
              <w:pStyle w:val="Normal"/>
              <w:snapToGrid w:val="false"/>
              <w:spacing w:before="0" w:after="200"/>
              <w:jc w:val="both"/>
              <w:rPr>
                <w:b/>
                <w:bCs/>
              </w:rPr>
            </w:pPr>
            <w:r>
              <w:rPr>
                <w:b/>
                <w:bCs/>
              </w:rPr>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20"/>
                <w:tab w:val="left" w:pos="7680" w:leader="none"/>
              </w:tabs>
              <w:spacing w:before="0" w:after="0"/>
              <w:contextualSpacing/>
              <w:jc w:val="both"/>
              <w:rPr>
                <w:rFonts w:ascii="Tinos" w:hAnsi="Tinos"/>
                <w:sz w:val="24"/>
                <w:szCs w:val="24"/>
              </w:rPr>
            </w:pPr>
            <w:r>
              <w:rPr>
                <w:rFonts w:eastAsia="Times New Roman" w:cs="Times New Roman" w:ascii="Tinos" w:hAnsi="Tinos"/>
                <w:b/>
                <w:color w:val="auto"/>
                <w:sz w:val="24"/>
                <w:szCs w:val="24"/>
                <w:lang w:val="ru-RU" w:eastAsia="zh-CN" w:bidi="ar-SA"/>
              </w:rPr>
              <w:t>Заказчик:</w:t>
            </w:r>
          </w:p>
          <w:p>
            <w:pPr>
              <w:pStyle w:val="Normal"/>
              <w:spacing w:before="0" w:after="0"/>
              <w:contextualSpacing/>
              <w:jc w:val="both"/>
              <w:rPr>
                <w:rFonts w:ascii="Tinos" w:hAnsi="Tinos" w:eastAsia="Times New Roman" w:cs="Times New Roman"/>
                <w:color w:val="auto"/>
                <w:sz w:val="24"/>
                <w:szCs w:val="24"/>
                <w:lang w:val="ru-RU" w:eastAsia="zh-CN" w:bidi="ar-SA"/>
              </w:rPr>
            </w:pPr>
            <w:r>
              <w:rPr>
                <w:rFonts w:eastAsia="Times New Roman" w:cs="Times New Roman" w:ascii="Tinos" w:hAnsi="Tino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Начальник отдела материально-</w:t>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технического снабжения</w:t>
            </w:r>
          </w:p>
          <w:p>
            <w:pPr>
              <w:pStyle w:val="Normal"/>
              <w:spacing w:lineRule="auto" w:line="240" w:before="0" w:after="0"/>
              <w:contextualSpacing/>
              <w:jc w:val="both"/>
              <w:rPr>
                <w:rFonts w:ascii="Tinos" w:hAnsi="Tinos" w:eastAsia="Times New Roman" w:cs="Times New Roman"/>
                <w:bCs/>
                <w:color w:val="auto"/>
                <w:sz w:val="24"/>
                <w:szCs w:val="24"/>
                <w:lang w:val="ru-RU" w:eastAsia="zh-CN" w:bidi="ar-SA"/>
              </w:rPr>
            </w:pPr>
            <w:r>
              <w:rPr>
                <w:rFonts w:eastAsia="Times New Roman" w:cs="Times New Roman" w:ascii="Tinos" w:hAnsi="Tinos"/>
                <w:bC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____________  А.Е.Кузнецова</w:t>
            </w:r>
          </w:p>
          <w:p>
            <w:pPr>
              <w:pStyle w:val="Normal"/>
              <w:tabs>
                <w:tab w:val="clear" w:pos="720"/>
                <w:tab w:val="left" w:pos="7680" w:leader="none"/>
              </w:tabs>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м.п.</w:t>
            </w:r>
          </w:p>
        </w:tc>
        <w:tc>
          <w:tcPr>
            <w:tcW w:w="7700" w:type="dxa"/>
            <w:tcBorders/>
          </w:tcPr>
          <w:p>
            <w:pPr>
              <w:pStyle w:val="Normal"/>
              <w:tabs>
                <w:tab w:val="clear" w:pos="720"/>
                <w:tab w:val="left" w:pos="7680" w:leader="none"/>
              </w:tabs>
              <w:spacing w:before="0" w:after="0"/>
              <w:contextualSpacing/>
              <w:jc w:val="both"/>
              <w:rPr>
                <w:rFonts w:ascii="Tinos" w:hAnsi="Tinos" w:eastAsia="Times New Roman" w:cs="Times New Roman"/>
                <w:b/>
                <w:color w:val="auto"/>
                <w:sz w:val="24"/>
                <w:szCs w:val="24"/>
                <w:lang w:val="ru-RU" w:eastAsia="zh-CN" w:bidi="ar-SA"/>
              </w:rPr>
            </w:pPr>
            <w:r>
              <w:rPr>
                <w:rFonts w:eastAsia="Times New Roman" w:cs="Times New Roman" w:ascii="Tinos" w:hAnsi="Tinos"/>
                <w:b/>
                <w:color w:val="auto"/>
                <w:sz w:val="24"/>
                <w:szCs w:val="24"/>
                <w:lang w:val="ru-RU" w:eastAsia="zh-CN" w:bidi="ar-SA"/>
              </w:rPr>
              <w:t>Исполнитель:</w:t>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720" w:right="720" w:gutter="0" w:header="720" w:top="777"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family w:val="roman"/>
    <w:pitch w:val="default"/>
  </w:font>
  <w:font w:name="Times New Roman">
    <w:charset w:val="01"/>
    <w:family w:val="roman"/>
    <w:pitch w:val="default"/>
  </w:font>
  <w:font w:name="Calibri">
    <w:charset w:val="01"/>
    <w:family w:val="roman"/>
    <w:pitch w:val="default"/>
  </w:font>
  <w:font w:name="Courier">
    <w:altName w:val="Courier New"/>
    <w:charset w:val="01"/>
    <w:family w:val="roman"/>
    <w:pitch w:val="default"/>
  </w:font>
  <w:font w:name="Wingdings">
    <w:charset w:val="01"/>
    <w:family w:val="roman"/>
    <w:pitch w:val="default"/>
  </w:font>
  <w:font w:name="Courier New">
    <w:charset w:val="01"/>
    <w:family w:val="roman"/>
    <w:pitch w:val="default"/>
  </w:font>
  <w:font w:name="Symbol">
    <w:charset w:val="01"/>
    <w:family w:val="roman"/>
    <w:pitch w:val="default"/>
  </w:font>
  <w:font w:name="PT Astra Serif">
    <w:charset w:val="01"/>
    <w:family w:val="roman"/>
    <w:pitch w:val="default"/>
  </w:font>
  <w:font w:name="Arial">
    <w:charset w:val="01"/>
    <w:family w:val="swiss"/>
    <w:pitch w:val="default"/>
  </w:font>
  <w:font w:name="Tino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Times New Roman" w:hAnsi="Times New Roman" w:eastAsia=""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Hyperlink">
    <w:name w:val="Hyperlink"/>
    <w:rPr>
      <w:color w:val="0000FF"/>
      <w:u w:val="single"/>
    </w:rPr>
  </w:style>
  <w:style w:type="character" w:styleId="WW8Num3z0">
    <w:name w:val="WW8Num3z0"/>
    <w:qFormat/>
    <w:rPr>
      <w:rFonts w:ascii="Courier New" w:hAnsi="Courier New" w:cs="Courier New"/>
    </w:rPr>
  </w:style>
  <w:style w:type="paragraph" w:styleId="Style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Style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user2">
    <w:name w:val="Колонтитулы (user)"/>
    <w:basedOn w:val="Normal"/>
    <w:qFormat/>
    <w:pPr/>
    <w:rPr/>
  </w:style>
  <w:style w:type="paragraph" w:styleId="Style7">
    <w:name w:val="Колонтитулы"/>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user"/>
    <w:pPr/>
    <w:rPr/>
  </w:style>
  <w:style w:type="paragraph" w:styleId="TOCHeading">
    <w:name w:val="TOC Heading"/>
    <w:basedOn w:val="Heading1"/>
    <w:next w:val="Normal"/>
    <w:uiPriority w:val="39"/>
    <w:semiHidden/>
    <w:unhideWhenUsed/>
    <w:qFormat/>
    <w:rsid w:val="00fc693f"/>
    <w:pPr>
      <w:outlineLvl w:val="9"/>
    </w:pPr>
    <w:rPr/>
  </w:style>
  <w:style w:type="paragraph" w:styleId="BodyTextIndent">
    <w:name w:val="Body Text Indent"/>
    <w:basedOn w:val="Normal"/>
    <w:pPr>
      <w:suppressAutoHyphens w:val="true"/>
      <w:spacing w:lineRule="auto" w:line="240" w:before="0" w:after="120"/>
      <w:ind w:start="283"/>
    </w:pPr>
    <w:rPr>
      <w:rFonts w:ascii="Times New Roman" w:hAnsi="Times New Roman"/>
      <w:sz w:val="20"/>
      <w:szCs w:val="20"/>
      <w:lang w:eastAsia="ar-SA"/>
    </w:rPr>
  </w:style>
  <w:style w:type="paragraph" w:styleId="ConsPlusNormal">
    <w:name w:val="ConsPlusNormal"/>
    <w:qFormat/>
    <w:pPr>
      <w:widowControl w:val="false"/>
      <w:suppressAutoHyphens w:val="true"/>
      <w:bidi w:val="0"/>
      <w:spacing w:lineRule="auto" w:line="276" w:before="0" w:after="0"/>
      <w:ind w:firstLine="720"/>
      <w:jc w:val="start"/>
    </w:pPr>
    <w:rPr>
      <w:rFonts w:ascii="Arial" w:hAnsi="Arial" w:eastAsia="Calibri" w:cs="Times New Roman"/>
      <w:color w:val="auto"/>
      <w:kern w:val="0"/>
      <w:sz w:val="22"/>
      <w:szCs w:val="22"/>
      <w:lang w:val="ru-RU" w:eastAsia="ru-RU" w:bidi="ar-SA"/>
    </w:rPr>
  </w:style>
  <w:style w:type="paragraph" w:styleId="1">
    <w:name w:val="Без интервала1"/>
    <w:qFormat/>
    <w:pPr>
      <w:widowControl/>
      <w:suppressAutoHyphens w:val="true"/>
      <w:bidi w:val="0"/>
      <w:spacing w:lineRule="auto" w:line="276" w:before="0" w:after="0"/>
      <w:jc w:val="start"/>
    </w:pPr>
    <w:rPr>
      <w:rFonts w:ascii="Calibri" w:hAnsi="Calibri" w:eastAsia="Times New Roman" w:cs="Calibri"/>
      <w:color w:val="auto"/>
      <w:kern w:val="0"/>
      <w:sz w:val="22"/>
      <w:szCs w:val="22"/>
      <w:lang w:val="ru-RU" w:eastAsia="en-US" w:bidi="ar-SA"/>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user5" w:default="1">
    <w:name w:val="Без списка (user)"/>
    <w:uiPriority w:val="99"/>
    <w:semiHidden/>
    <w:unhideWhenUsed/>
    <w:qFormat/>
  </w:style>
  <w:style w:type="numbering" w:styleId="WW8Num4">
    <w:name w:val="WW8Num4"/>
    <w:qFormat/>
  </w:style>
  <w:style w:type="numbering" w:styleId="WW8Num3">
    <w:name w:val="WW8Num3"/>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Application>LibreOffice/25.8.3.2$Linux_X86_64 LibreOffice_project/580$Build-2</Application>
  <AppVersion>15.0000</AppVersion>
  <Pages>10</Pages>
  <Words>2407</Words>
  <Characters>17516</Characters>
  <CharactersWithSpaces>20127</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ru-RU</dc:language>
  <cp:lastModifiedBy/>
  <dcterms:modified xsi:type="dcterms:W3CDTF">2026-08-04T10:02:19Z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