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B133" w14:textId="77777777" w:rsidR="00586911" w:rsidRPr="00F536B5" w:rsidRDefault="00586911" w:rsidP="00586911">
      <w:pPr>
        <w:spacing w:after="0"/>
        <w:ind w:right="-6"/>
        <w:jc w:val="center"/>
        <w:rPr>
          <w:b/>
          <w:bCs/>
          <w:lang w:eastAsia="ru-RU"/>
        </w:rPr>
      </w:pPr>
      <w:r w:rsidRPr="00F536B5">
        <w:rPr>
          <w:b/>
          <w:bCs/>
          <w:lang w:eastAsia="ru-RU"/>
        </w:rPr>
        <w:t xml:space="preserve">ОБОСНОВАНИЕ НАЧАЛЬНОЙ (МАКСИМАЛЬНОЙ) ЦЕНЫ </w:t>
      </w:r>
    </w:p>
    <w:p w14:paraId="6FD4D601" w14:textId="77777777" w:rsidR="00586911" w:rsidRPr="00F536B5" w:rsidRDefault="00586911" w:rsidP="00586911">
      <w:pPr>
        <w:spacing w:after="120"/>
        <w:ind w:right="-6"/>
        <w:jc w:val="center"/>
        <w:rPr>
          <w:b/>
          <w:bCs/>
          <w:lang w:eastAsia="ru-RU"/>
        </w:rPr>
      </w:pPr>
      <w:r w:rsidRPr="00F536B5">
        <w:rPr>
          <w:b/>
          <w:bCs/>
          <w:lang w:eastAsia="ru-RU"/>
        </w:rPr>
        <w:t>ГРАЖДАНСКО-ПРАВОВОГО ДОГОВОРА</w:t>
      </w:r>
    </w:p>
    <w:p w14:paraId="5322D475" w14:textId="332BA96D" w:rsidR="00586911" w:rsidRPr="00F536B5" w:rsidRDefault="00586911" w:rsidP="00734ED9">
      <w:pPr>
        <w:spacing w:after="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Начальная (максимальная) цена гражданско-правового договора определена и обоснована в соответствии со статьей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7A3D5C26" w14:textId="77777777" w:rsidR="00586911" w:rsidRPr="00F536B5" w:rsidRDefault="00586911" w:rsidP="00734ED9">
      <w:pPr>
        <w:spacing w:after="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F05213B" w14:textId="18518A44" w:rsidR="00586911" w:rsidRDefault="00586911" w:rsidP="00734ED9">
      <w:pPr>
        <w:spacing w:after="12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В целях получения ценовой информации в отношении услуг Заказчиком направлены запросы о предоставлении ценовой информации потенциальным исполнителям, обладающим опытом оказания таких услуг:</w:t>
      </w:r>
    </w:p>
    <w:tbl>
      <w:tblPr>
        <w:tblStyle w:val="a3"/>
        <w:tblW w:w="9922" w:type="dxa"/>
        <w:tblLook w:val="04A0" w:firstRow="1" w:lastRow="0" w:firstColumn="1" w:lastColumn="0" w:noHBand="0" w:noVBand="1"/>
      </w:tblPr>
      <w:tblGrid>
        <w:gridCol w:w="1696"/>
        <w:gridCol w:w="5812"/>
        <w:gridCol w:w="2414"/>
      </w:tblGrid>
      <w:tr w:rsidR="00580134" w:rsidRPr="00F536B5" w14:paraId="2169D3CE" w14:textId="77777777" w:rsidTr="00F75C41">
        <w:trPr>
          <w:trHeight w:val="552"/>
        </w:trPr>
        <w:tc>
          <w:tcPr>
            <w:tcW w:w="9922" w:type="dxa"/>
            <w:gridSpan w:val="3"/>
            <w:vAlign w:val="center"/>
          </w:tcPr>
          <w:p w14:paraId="1534B0A8" w14:textId="77777777" w:rsidR="00580134" w:rsidRPr="00F536B5" w:rsidRDefault="00580134" w:rsidP="003309B6">
            <w:pPr>
              <w:spacing w:after="0"/>
              <w:jc w:val="center"/>
              <w:rPr>
                <w:b/>
                <w:bCs/>
              </w:rPr>
            </w:pPr>
            <w:r w:rsidRPr="00F536B5">
              <w:rPr>
                <w:b/>
                <w:bCs/>
              </w:rPr>
              <w:t>Наименование услуг</w:t>
            </w:r>
          </w:p>
        </w:tc>
      </w:tr>
      <w:tr w:rsidR="00580134" w:rsidRPr="00F536B5" w14:paraId="3FF17022" w14:textId="77777777" w:rsidTr="00F75C41">
        <w:trPr>
          <w:trHeight w:val="609"/>
        </w:trPr>
        <w:tc>
          <w:tcPr>
            <w:tcW w:w="9922" w:type="dxa"/>
            <w:gridSpan w:val="3"/>
            <w:vAlign w:val="center"/>
          </w:tcPr>
          <w:p w14:paraId="73EF5735" w14:textId="669AA106" w:rsidR="00580134" w:rsidRPr="00F536B5" w:rsidRDefault="00521FFA" w:rsidP="00FE3149">
            <w:pPr>
              <w:spacing w:after="0"/>
              <w:jc w:val="center"/>
            </w:pPr>
            <w:r w:rsidRPr="00521FFA">
              <w:t xml:space="preserve">Оказание услуг </w:t>
            </w:r>
            <w:r w:rsidR="00F75C41" w:rsidRPr="00F75C41">
              <w:t>по организации фотовыставки</w:t>
            </w:r>
          </w:p>
        </w:tc>
      </w:tr>
      <w:tr w:rsidR="00F75C41" w:rsidRPr="00F536B5" w14:paraId="1341069A" w14:textId="77777777" w:rsidTr="00F75C41">
        <w:tc>
          <w:tcPr>
            <w:tcW w:w="9922" w:type="dxa"/>
            <w:gridSpan w:val="3"/>
            <w:vAlign w:val="center"/>
          </w:tcPr>
          <w:p w14:paraId="1D02E612" w14:textId="0AC16A14" w:rsidR="00F75C41" w:rsidRPr="00F536B5" w:rsidRDefault="00F75C41" w:rsidP="003309B6">
            <w:pPr>
              <w:spacing w:after="0"/>
              <w:jc w:val="center"/>
            </w:pPr>
          </w:p>
        </w:tc>
      </w:tr>
      <w:tr w:rsidR="00F75C41" w:rsidRPr="00F536B5" w14:paraId="1676019F" w14:textId="77777777" w:rsidTr="00F75C41">
        <w:tc>
          <w:tcPr>
            <w:tcW w:w="1696" w:type="dxa"/>
            <w:vAlign w:val="center"/>
          </w:tcPr>
          <w:p w14:paraId="66C8E769" w14:textId="01F0B5FA" w:rsidR="00F75C41" w:rsidRPr="00F536B5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5812" w:type="dxa"/>
          </w:tcPr>
          <w:p w14:paraId="127BF235" w14:textId="7D8C0C5E" w:rsidR="00F75C41" w:rsidRDefault="00F75C41" w:rsidP="00F75C41">
            <w:pPr>
              <w:spacing w:after="0"/>
              <w:jc w:val="left"/>
            </w:pPr>
            <w:r w:rsidRPr="00B54041">
              <w:t>Визуализация макетов</w:t>
            </w:r>
          </w:p>
        </w:tc>
        <w:tc>
          <w:tcPr>
            <w:tcW w:w="2414" w:type="dxa"/>
            <w:vAlign w:val="center"/>
          </w:tcPr>
          <w:p w14:paraId="44629EE1" w14:textId="4C049503" w:rsidR="00F75C41" w:rsidRDefault="00F75C41" w:rsidP="00F75C41">
            <w:pPr>
              <w:spacing w:after="0"/>
              <w:jc w:val="center"/>
            </w:pPr>
            <w:r>
              <w:t xml:space="preserve">20 </w:t>
            </w:r>
            <w:proofErr w:type="spellStart"/>
            <w:r>
              <w:t>шт</w:t>
            </w:r>
            <w:proofErr w:type="spellEnd"/>
          </w:p>
        </w:tc>
      </w:tr>
      <w:tr w:rsidR="00F75C41" w:rsidRPr="00F536B5" w14:paraId="40C777E4" w14:textId="77777777" w:rsidTr="00F75C41">
        <w:tc>
          <w:tcPr>
            <w:tcW w:w="1696" w:type="dxa"/>
            <w:vAlign w:val="center"/>
          </w:tcPr>
          <w:p w14:paraId="47997A10" w14:textId="33410A66" w:rsidR="00F75C41" w:rsidRPr="00F536B5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5812" w:type="dxa"/>
          </w:tcPr>
          <w:p w14:paraId="0EC6C387" w14:textId="00C36804" w:rsidR="00F75C41" w:rsidRDefault="00F75C41" w:rsidP="00F75C41">
            <w:pPr>
              <w:spacing w:after="0"/>
              <w:jc w:val="left"/>
            </w:pPr>
            <w:r w:rsidRPr="00B54041">
              <w:t>Изготовление пластика</w:t>
            </w:r>
          </w:p>
        </w:tc>
        <w:tc>
          <w:tcPr>
            <w:tcW w:w="2414" w:type="dxa"/>
            <w:vAlign w:val="center"/>
          </w:tcPr>
          <w:p w14:paraId="65EC9971" w14:textId="26185E1B" w:rsidR="00F75C41" w:rsidRDefault="00ED3CDD" w:rsidP="00F75C41">
            <w:pPr>
              <w:spacing w:after="0"/>
              <w:jc w:val="center"/>
            </w:pPr>
            <w:r>
              <w:t>10</w:t>
            </w:r>
            <w:r w:rsidR="00F75C41">
              <w:t xml:space="preserve"> шт.</w:t>
            </w:r>
          </w:p>
        </w:tc>
      </w:tr>
      <w:tr w:rsidR="00F75C41" w:rsidRPr="00F536B5" w14:paraId="1D25BDD9" w14:textId="77777777" w:rsidTr="00F75C41">
        <w:tc>
          <w:tcPr>
            <w:tcW w:w="1696" w:type="dxa"/>
            <w:vAlign w:val="center"/>
          </w:tcPr>
          <w:p w14:paraId="3FDE84EF" w14:textId="59A6BDBC" w:rsidR="00F75C41" w:rsidRPr="00F536B5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5812" w:type="dxa"/>
          </w:tcPr>
          <w:p w14:paraId="3B73C699" w14:textId="637A0A4A" w:rsidR="00F75C41" w:rsidRDefault="00F75C41" w:rsidP="00F75C41">
            <w:pPr>
              <w:spacing w:after="0"/>
              <w:jc w:val="left"/>
            </w:pPr>
            <w:r w:rsidRPr="00B54041">
              <w:t>Печать с ламинацией, накатка пленки с изображениями выставки на композит</w:t>
            </w:r>
          </w:p>
        </w:tc>
        <w:tc>
          <w:tcPr>
            <w:tcW w:w="2414" w:type="dxa"/>
            <w:vAlign w:val="center"/>
          </w:tcPr>
          <w:p w14:paraId="569E9778" w14:textId="2F23B640" w:rsidR="00F75C41" w:rsidRDefault="00F75C41" w:rsidP="00F75C41">
            <w:pPr>
              <w:spacing w:after="0"/>
              <w:jc w:val="center"/>
            </w:pPr>
            <w:r>
              <w:t>1 шт.</w:t>
            </w:r>
          </w:p>
        </w:tc>
      </w:tr>
      <w:tr w:rsidR="00F75C41" w:rsidRPr="00F536B5" w14:paraId="4B459E6E" w14:textId="77777777" w:rsidTr="00F75C41">
        <w:tc>
          <w:tcPr>
            <w:tcW w:w="1696" w:type="dxa"/>
            <w:vAlign w:val="center"/>
          </w:tcPr>
          <w:p w14:paraId="4A453491" w14:textId="0FACCAC3" w:rsidR="00F75C41" w:rsidRPr="00F536B5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5812" w:type="dxa"/>
          </w:tcPr>
          <w:p w14:paraId="6BD8DC90" w14:textId="5BE9927F" w:rsidR="00F75C41" w:rsidRDefault="00F75C41" w:rsidP="00F75C41">
            <w:pPr>
              <w:spacing w:after="0"/>
              <w:jc w:val="left"/>
            </w:pPr>
            <w:r w:rsidRPr="00B54041">
              <w:t>Логистика</w:t>
            </w:r>
          </w:p>
        </w:tc>
        <w:tc>
          <w:tcPr>
            <w:tcW w:w="2414" w:type="dxa"/>
            <w:vAlign w:val="center"/>
          </w:tcPr>
          <w:p w14:paraId="5BFE7118" w14:textId="3E322CA9" w:rsidR="00F75C41" w:rsidRDefault="00F75C41" w:rsidP="00F75C41">
            <w:pPr>
              <w:spacing w:after="0"/>
              <w:jc w:val="center"/>
            </w:pPr>
            <w:r>
              <w:t>2 шт.</w:t>
            </w:r>
          </w:p>
        </w:tc>
      </w:tr>
    </w:tbl>
    <w:p w14:paraId="41DC72C7" w14:textId="77777777" w:rsidR="00F75C41" w:rsidRDefault="00F75C41" w:rsidP="00586911">
      <w:pPr>
        <w:spacing w:after="120"/>
        <w:ind w:firstLine="567"/>
        <w:rPr>
          <w:bCs/>
          <w:lang w:eastAsia="ru-RU"/>
        </w:rPr>
        <w:sectPr w:rsidR="00F75C41" w:rsidSect="00F75C41">
          <w:footerReference w:type="default" r:id="rId7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78FF02D" w14:textId="77777777" w:rsidR="00AE08A4" w:rsidRPr="00F536B5" w:rsidRDefault="00AE08A4" w:rsidP="00586911">
      <w:pPr>
        <w:spacing w:after="120"/>
        <w:ind w:firstLine="567"/>
        <w:rPr>
          <w:bCs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800"/>
        <w:gridCol w:w="1147"/>
        <w:gridCol w:w="1651"/>
        <w:gridCol w:w="1654"/>
        <w:gridCol w:w="1526"/>
        <w:gridCol w:w="1657"/>
        <w:gridCol w:w="1654"/>
        <w:gridCol w:w="1491"/>
        <w:gridCol w:w="1488"/>
      </w:tblGrid>
      <w:tr w:rsidR="00F75C41" w:rsidRPr="00775A98" w14:paraId="5B17D603" w14:textId="3E84ABE6" w:rsidTr="00F75C41">
        <w:trPr>
          <w:trHeight w:val="643"/>
          <w:jc w:val="center"/>
        </w:trPr>
        <w:tc>
          <w:tcPr>
            <w:tcW w:w="169" w:type="pct"/>
            <w:vMerge w:val="restart"/>
            <w:vAlign w:val="center"/>
          </w:tcPr>
          <w:p w14:paraId="7184189C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18" w:type="pct"/>
            <w:vMerge w:val="restart"/>
            <w:shd w:val="clear" w:color="auto" w:fill="FFFFFF" w:themeFill="background1"/>
            <w:vAlign w:val="center"/>
          </w:tcPr>
          <w:p w14:paraId="73B0FC8C" w14:textId="09A654F1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521FFA">
              <w:rPr>
                <w:b/>
                <w:bCs/>
                <w:color w:val="000000" w:themeColor="text1"/>
                <w:lang w:eastAsia="ru-RU"/>
              </w:rPr>
              <w:t>Наименование услуг</w:t>
            </w:r>
          </w:p>
        </w:tc>
        <w:tc>
          <w:tcPr>
            <w:tcW w:w="394" w:type="pct"/>
            <w:vMerge w:val="restart"/>
            <w:shd w:val="clear" w:color="auto" w:fill="FFFFFF" w:themeFill="background1"/>
            <w:vAlign w:val="center"/>
          </w:tcPr>
          <w:p w14:paraId="67D58C01" w14:textId="7841D82F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Кол-во (объем) </w:t>
            </w:r>
            <w:r>
              <w:rPr>
                <w:b/>
                <w:bCs/>
                <w:color w:val="000000" w:themeColor="text1"/>
                <w:lang w:eastAsia="ru-RU"/>
              </w:rPr>
              <w:t>услуг</w:t>
            </w: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 и ед. изм.</w:t>
            </w:r>
          </w:p>
        </w:tc>
        <w:tc>
          <w:tcPr>
            <w:tcW w:w="2228" w:type="pct"/>
            <w:gridSpan w:val="4"/>
            <w:shd w:val="clear" w:color="auto" w:fill="FFFFFF" w:themeFill="background1"/>
            <w:vAlign w:val="center"/>
          </w:tcPr>
          <w:p w14:paraId="0668FA07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Источник информации о цене единицы товара (работы, услуги)</w:t>
            </w:r>
          </w:p>
        </w:tc>
        <w:tc>
          <w:tcPr>
            <w:tcW w:w="568" w:type="pct"/>
            <w:vMerge w:val="restart"/>
            <w:shd w:val="clear" w:color="auto" w:fill="FFFFFF" w:themeFill="background1"/>
            <w:vAlign w:val="center"/>
          </w:tcPr>
          <w:p w14:paraId="044C9518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512" w:type="pct"/>
            <w:vMerge w:val="restart"/>
            <w:vAlign w:val="center"/>
          </w:tcPr>
          <w:p w14:paraId="09007631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  <w:tc>
          <w:tcPr>
            <w:tcW w:w="511" w:type="pct"/>
            <w:vMerge w:val="restart"/>
            <w:vAlign w:val="center"/>
          </w:tcPr>
          <w:p w14:paraId="02C35CEB" w14:textId="5A76D8EF" w:rsidR="00F75C41" w:rsidRPr="00775A98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Итого, руб.</w:t>
            </w:r>
          </w:p>
        </w:tc>
      </w:tr>
      <w:tr w:rsidR="00F75C41" w:rsidRPr="00775A98" w14:paraId="55E01098" w14:textId="1BD045FE" w:rsidTr="00F75C41">
        <w:trPr>
          <w:trHeight w:val="280"/>
          <w:jc w:val="center"/>
        </w:trPr>
        <w:tc>
          <w:tcPr>
            <w:tcW w:w="169" w:type="pct"/>
            <w:vMerge/>
            <w:vAlign w:val="center"/>
          </w:tcPr>
          <w:p w14:paraId="3C7A05FC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18" w:type="pct"/>
            <w:vMerge/>
            <w:shd w:val="clear" w:color="auto" w:fill="FFFFFF" w:themeFill="background1"/>
            <w:vAlign w:val="center"/>
          </w:tcPr>
          <w:p w14:paraId="304466AB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FFFFFF" w:themeFill="background1"/>
            <w:vAlign w:val="center"/>
          </w:tcPr>
          <w:p w14:paraId="4B238AF5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09A576A7" w14:textId="0D30DE52" w:rsidR="00F75C41" w:rsidRPr="00202D1F" w:rsidRDefault="00F75C41" w:rsidP="001C1A2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1 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56EBEF4B" w14:textId="3C2240AD" w:rsidR="00F75C41" w:rsidRPr="00202D1F" w:rsidRDefault="00F75C41" w:rsidP="001C1A2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2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46CF3572" w14:textId="76BA62A7" w:rsidR="00F75C41" w:rsidRPr="00202D1F" w:rsidRDefault="00F75C41" w:rsidP="001C1A2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14:paraId="16424383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568" w:type="pct"/>
            <w:vMerge/>
            <w:shd w:val="clear" w:color="auto" w:fill="FFFFFF" w:themeFill="background1"/>
          </w:tcPr>
          <w:p w14:paraId="0724BE0D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2" w:type="pct"/>
            <w:vMerge/>
          </w:tcPr>
          <w:p w14:paraId="279BBAD0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1" w:type="pct"/>
            <w:vMerge/>
          </w:tcPr>
          <w:p w14:paraId="2019D19B" w14:textId="77777777" w:rsidR="00F75C41" w:rsidRPr="00775A98" w:rsidRDefault="00F75C41" w:rsidP="00AE6E90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F75C41" w:rsidRPr="00775A98" w14:paraId="7D65DCBF" w14:textId="198AF7DC" w:rsidTr="00804D00">
        <w:trPr>
          <w:trHeight w:val="263"/>
          <w:jc w:val="center"/>
        </w:trPr>
        <w:tc>
          <w:tcPr>
            <w:tcW w:w="169" w:type="pct"/>
            <w:vAlign w:val="center"/>
          </w:tcPr>
          <w:p w14:paraId="0FE98824" w14:textId="77777777" w:rsidR="00F75C41" w:rsidRPr="00775A98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618" w:type="pct"/>
            <w:shd w:val="clear" w:color="auto" w:fill="FFFFFF" w:themeFill="background1"/>
          </w:tcPr>
          <w:p w14:paraId="0D18764B" w14:textId="3694E612" w:rsidR="00F75C41" w:rsidRPr="00775A98" w:rsidRDefault="00F75C41" w:rsidP="00F75C41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6E4131">
              <w:t>Визуализация макетов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E7ECAF9" w14:textId="144F6F68" w:rsidR="00F75C41" w:rsidRPr="00024FD6" w:rsidRDefault="00F75C41" w:rsidP="00804D00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292496">
              <w:t xml:space="preserve">20 </w:t>
            </w:r>
            <w:proofErr w:type="spellStart"/>
            <w:r w:rsidRPr="00292496">
              <w:t>шт</w:t>
            </w:r>
            <w:proofErr w:type="spellEnd"/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613DA758" w14:textId="7AA541F4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1 250,00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1549C299" w14:textId="1F5AD84C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1 375,00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49BB2313" w14:textId="536A190A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1 400,00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14:paraId="2B3D7249" w14:textId="0A98C3CD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5,99%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6F5620F3" w14:textId="3AF9BC8D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80,3638</w:t>
            </w:r>
          </w:p>
        </w:tc>
        <w:tc>
          <w:tcPr>
            <w:tcW w:w="512" w:type="pct"/>
            <w:vAlign w:val="center"/>
          </w:tcPr>
          <w:p w14:paraId="563B0097" w14:textId="32CA01A0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1 341,67</w:t>
            </w:r>
          </w:p>
        </w:tc>
        <w:tc>
          <w:tcPr>
            <w:tcW w:w="511" w:type="pct"/>
            <w:vAlign w:val="center"/>
          </w:tcPr>
          <w:p w14:paraId="03537084" w14:textId="58E6C297" w:rsidR="00F75C41" w:rsidRPr="00F75C41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F75C41">
              <w:rPr>
                <w:color w:val="000000" w:themeColor="text1"/>
                <w:lang w:eastAsia="ru-RU"/>
              </w:rPr>
              <w:t>26 833,4</w:t>
            </w:r>
            <w:r>
              <w:rPr>
                <w:color w:val="000000" w:themeColor="text1"/>
                <w:lang w:eastAsia="ru-RU"/>
              </w:rPr>
              <w:t>0</w:t>
            </w:r>
          </w:p>
        </w:tc>
      </w:tr>
      <w:tr w:rsidR="00F75C41" w:rsidRPr="00775A98" w14:paraId="1E70A62E" w14:textId="33103745" w:rsidTr="00804D00">
        <w:trPr>
          <w:trHeight w:val="263"/>
          <w:jc w:val="center"/>
        </w:trPr>
        <w:tc>
          <w:tcPr>
            <w:tcW w:w="169" w:type="pct"/>
            <w:vAlign w:val="center"/>
          </w:tcPr>
          <w:p w14:paraId="46643184" w14:textId="7B329DCB" w:rsidR="00F75C41" w:rsidRPr="00775A98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2.</w:t>
            </w:r>
          </w:p>
        </w:tc>
        <w:tc>
          <w:tcPr>
            <w:tcW w:w="618" w:type="pct"/>
            <w:shd w:val="clear" w:color="auto" w:fill="FFFFFF" w:themeFill="background1"/>
          </w:tcPr>
          <w:p w14:paraId="0CCC6C79" w14:textId="094B198F" w:rsidR="00F75C41" w:rsidRPr="00775A98" w:rsidRDefault="00F75C41" w:rsidP="00F75C41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6E4131">
              <w:t>Изготовление пластика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96A176E" w14:textId="5889385C" w:rsidR="00F75C41" w:rsidRPr="00024FD6" w:rsidRDefault="00ED3CDD" w:rsidP="00804D00">
            <w:pPr>
              <w:spacing w:after="0"/>
              <w:jc w:val="center"/>
              <w:rPr>
                <w:bCs/>
                <w:color w:val="000000" w:themeColor="text1"/>
              </w:rPr>
            </w:pPr>
            <w:r>
              <w:t>10</w:t>
            </w:r>
            <w:r w:rsidR="00F75C41" w:rsidRPr="00292496">
              <w:t xml:space="preserve"> шт.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161196A7" w14:textId="62FD0063" w:rsidR="00F75C41" w:rsidRPr="00024FD6" w:rsidRDefault="00ED3CDD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  <w:r w:rsidR="00F75C41">
              <w:rPr>
                <w:color w:val="000000" w:themeColor="text1"/>
                <w:lang w:eastAsia="ru-RU"/>
              </w:rPr>
              <w:t> 000,00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BCD4748" w14:textId="5904A932" w:rsidR="00F75C41" w:rsidRPr="00024FD6" w:rsidRDefault="00ED3CDD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4 4</w:t>
            </w:r>
            <w:r w:rsidR="00F75C41">
              <w:rPr>
                <w:color w:val="000000" w:themeColor="text1"/>
                <w:lang w:eastAsia="ru-RU"/>
              </w:rPr>
              <w:t>00,00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4D345AFD" w14:textId="0172C132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2 300,00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14:paraId="6C9380D6" w14:textId="29B6C9ED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7,05%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71C28547" w14:textId="56662977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152,7525</w:t>
            </w:r>
          </w:p>
        </w:tc>
        <w:tc>
          <w:tcPr>
            <w:tcW w:w="512" w:type="pct"/>
            <w:vAlign w:val="center"/>
          </w:tcPr>
          <w:p w14:paraId="4E7FF897" w14:textId="374BC5CE" w:rsidR="00F75C41" w:rsidRPr="003A7D56" w:rsidRDefault="00ED3CDD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4 333,33</w:t>
            </w:r>
          </w:p>
        </w:tc>
        <w:tc>
          <w:tcPr>
            <w:tcW w:w="511" w:type="pct"/>
            <w:vAlign w:val="center"/>
          </w:tcPr>
          <w:p w14:paraId="10251834" w14:textId="4CAC0A81" w:rsidR="00F75C41" w:rsidRPr="00FE3149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F75C41">
              <w:rPr>
                <w:color w:val="000000" w:themeColor="text1"/>
                <w:lang w:eastAsia="ru-RU"/>
              </w:rPr>
              <w:t>43 333,</w:t>
            </w:r>
            <w:r w:rsidR="00ED3CDD">
              <w:rPr>
                <w:color w:val="000000" w:themeColor="text1"/>
                <w:lang w:eastAsia="ru-RU"/>
              </w:rPr>
              <w:t>3</w:t>
            </w:r>
            <w:r>
              <w:rPr>
                <w:color w:val="000000" w:themeColor="text1"/>
                <w:lang w:eastAsia="ru-RU"/>
              </w:rPr>
              <w:t>0</w:t>
            </w:r>
          </w:p>
        </w:tc>
      </w:tr>
      <w:tr w:rsidR="00F75C41" w:rsidRPr="00775A98" w14:paraId="464E3A48" w14:textId="7A1E4DF7" w:rsidTr="00804D00">
        <w:trPr>
          <w:trHeight w:val="263"/>
          <w:jc w:val="center"/>
        </w:trPr>
        <w:tc>
          <w:tcPr>
            <w:tcW w:w="169" w:type="pct"/>
            <w:vAlign w:val="center"/>
          </w:tcPr>
          <w:p w14:paraId="646A0188" w14:textId="26266F8C" w:rsidR="00F75C41" w:rsidRPr="00775A98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3.</w:t>
            </w:r>
          </w:p>
        </w:tc>
        <w:tc>
          <w:tcPr>
            <w:tcW w:w="618" w:type="pct"/>
            <w:shd w:val="clear" w:color="auto" w:fill="FFFFFF" w:themeFill="background1"/>
          </w:tcPr>
          <w:p w14:paraId="51C9B983" w14:textId="21202E56" w:rsidR="00F75C41" w:rsidRPr="00775A98" w:rsidRDefault="00F75C41" w:rsidP="00F75C41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6E4131">
              <w:t>Печать с ламинацией, накатка пленки с изображениями выставки на композит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2DEC123" w14:textId="0F7EA1E9" w:rsidR="00F75C41" w:rsidRPr="00024FD6" w:rsidRDefault="00F75C41" w:rsidP="00804D00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292496">
              <w:t>1 шт.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76A440CA" w14:textId="4A13F4F5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60 000,00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165686DD" w14:textId="6035D87D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66 000,00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10807AF8" w14:textId="341DE37D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69 000,00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14:paraId="2BFA35CA" w14:textId="457A362C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7,05%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8EE5AFA" w14:textId="6D19FCE1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4 582,5757</w:t>
            </w:r>
          </w:p>
        </w:tc>
        <w:tc>
          <w:tcPr>
            <w:tcW w:w="512" w:type="pct"/>
            <w:vAlign w:val="center"/>
          </w:tcPr>
          <w:p w14:paraId="2B25056F" w14:textId="780AF9BB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65 000,00</w:t>
            </w:r>
          </w:p>
        </w:tc>
        <w:tc>
          <w:tcPr>
            <w:tcW w:w="511" w:type="pct"/>
            <w:vAlign w:val="center"/>
          </w:tcPr>
          <w:p w14:paraId="77A1FD14" w14:textId="2BE8C323" w:rsidR="00F75C41" w:rsidRPr="00FE3149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65 000,00</w:t>
            </w:r>
          </w:p>
        </w:tc>
      </w:tr>
      <w:tr w:rsidR="00F75C41" w:rsidRPr="00775A98" w14:paraId="7FF2430D" w14:textId="1C76EE51" w:rsidTr="00804D00">
        <w:trPr>
          <w:trHeight w:val="263"/>
          <w:jc w:val="center"/>
        </w:trPr>
        <w:tc>
          <w:tcPr>
            <w:tcW w:w="169" w:type="pct"/>
            <w:vAlign w:val="center"/>
          </w:tcPr>
          <w:p w14:paraId="2FA1A282" w14:textId="1BA32DE8" w:rsidR="00F75C41" w:rsidRPr="00775A98" w:rsidRDefault="00F75C41" w:rsidP="00F75C41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4.</w:t>
            </w:r>
          </w:p>
        </w:tc>
        <w:tc>
          <w:tcPr>
            <w:tcW w:w="618" w:type="pct"/>
            <w:shd w:val="clear" w:color="auto" w:fill="FFFFFF" w:themeFill="background1"/>
          </w:tcPr>
          <w:p w14:paraId="66E42A45" w14:textId="6A9E533C" w:rsidR="00F75C41" w:rsidRPr="00775A98" w:rsidRDefault="00F75C41" w:rsidP="00F75C41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6E4131">
              <w:t>Логистика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A367920" w14:textId="081622EB" w:rsidR="00F75C41" w:rsidRPr="00024FD6" w:rsidRDefault="00F75C41" w:rsidP="00804D00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292496">
              <w:t>2 шт.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76D19537" w14:textId="71009B71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2 500,00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615661F4" w14:textId="76AE262B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2 750,00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49F8BAF6" w14:textId="63D041B9" w:rsidR="00F75C41" w:rsidRPr="00024FD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3 000,00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14:paraId="662949BB" w14:textId="537983DE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9,09%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58FE6705" w14:textId="1B6F410C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250</w:t>
            </w:r>
          </w:p>
        </w:tc>
        <w:tc>
          <w:tcPr>
            <w:tcW w:w="512" w:type="pct"/>
            <w:vAlign w:val="center"/>
          </w:tcPr>
          <w:p w14:paraId="32C30DB9" w14:textId="64E4D5B0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A7D56">
              <w:rPr>
                <w:color w:val="000000" w:themeColor="text1"/>
                <w:lang w:eastAsia="ru-RU"/>
              </w:rPr>
              <w:t>2 750,00</w:t>
            </w:r>
          </w:p>
        </w:tc>
        <w:tc>
          <w:tcPr>
            <w:tcW w:w="511" w:type="pct"/>
            <w:vAlign w:val="center"/>
          </w:tcPr>
          <w:p w14:paraId="19A14B41" w14:textId="22182557" w:rsidR="00F75C41" w:rsidRPr="00FE3149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5 500,00</w:t>
            </w:r>
          </w:p>
        </w:tc>
      </w:tr>
      <w:tr w:rsidR="00F75C41" w:rsidRPr="00775A98" w14:paraId="6BFC0C89" w14:textId="77777777" w:rsidTr="00804D00">
        <w:trPr>
          <w:trHeight w:val="263"/>
          <w:jc w:val="center"/>
        </w:trPr>
        <w:tc>
          <w:tcPr>
            <w:tcW w:w="4489" w:type="pct"/>
            <w:gridSpan w:val="9"/>
            <w:vAlign w:val="center"/>
          </w:tcPr>
          <w:p w14:paraId="172E9752" w14:textId="71C84A54" w:rsidR="00F75C41" w:rsidRPr="003A7D56" w:rsidRDefault="00F75C41" w:rsidP="00804D00">
            <w:pPr>
              <w:tabs>
                <w:tab w:val="left" w:pos="1365"/>
              </w:tabs>
              <w:spacing w:after="0"/>
              <w:jc w:val="right"/>
              <w:rPr>
                <w:b/>
                <w:bCs/>
                <w:color w:val="000000" w:themeColor="text1"/>
                <w:lang w:eastAsia="ru-RU"/>
              </w:rPr>
            </w:pPr>
            <w:r w:rsidRPr="003A7D56"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11" w:type="pct"/>
            <w:vAlign w:val="center"/>
          </w:tcPr>
          <w:p w14:paraId="716FE048" w14:textId="2D2147E2" w:rsidR="00F75C41" w:rsidRPr="003A7D56" w:rsidRDefault="00F75C41" w:rsidP="00804D00">
            <w:pPr>
              <w:tabs>
                <w:tab w:val="left" w:pos="1365"/>
              </w:tabs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3A7D56">
              <w:rPr>
                <w:b/>
                <w:bCs/>
                <w:color w:val="000000" w:themeColor="text1"/>
                <w:lang w:eastAsia="ru-RU"/>
              </w:rPr>
              <w:t>140 666,</w:t>
            </w:r>
            <w:r w:rsidR="00ED3CDD" w:rsidRPr="003A7D56">
              <w:rPr>
                <w:b/>
                <w:bCs/>
                <w:color w:val="000000" w:themeColor="text1"/>
                <w:lang w:eastAsia="ru-RU"/>
              </w:rPr>
              <w:t>7</w:t>
            </w:r>
            <w:r w:rsidRPr="003A7D56">
              <w:rPr>
                <w:b/>
                <w:bCs/>
                <w:color w:val="000000" w:themeColor="text1"/>
                <w:lang w:eastAsia="ru-RU"/>
              </w:rPr>
              <w:t>0</w:t>
            </w:r>
          </w:p>
        </w:tc>
      </w:tr>
    </w:tbl>
    <w:p w14:paraId="7892676B" w14:textId="69DA5DC8" w:rsidR="00586911" w:rsidRPr="00F536B5" w:rsidRDefault="00586911" w:rsidP="00734ED9">
      <w:pPr>
        <w:spacing w:before="120" w:after="0"/>
        <w:ind w:firstLine="709"/>
        <w:rPr>
          <w:bCs/>
          <w:lang w:eastAsia="ru-RU"/>
        </w:rPr>
      </w:pPr>
      <w:r w:rsidRPr="00F536B5">
        <w:rPr>
          <w:bCs/>
          <w:lang w:eastAsia="ru-RU"/>
        </w:rPr>
        <w:t>В целях определения однородности совокупности значений выявленных цен, используемых при расчёте начальной(максимальной) цены определён коэффициент вариации.</w:t>
      </w:r>
    </w:p>
    <w:p w14:paraId="239673C7" w14:textId="77777777" w:rsidR="00586911" w:rsidRPr="00F536B5" w:rsidRDefault="00586911" w:rsidP="00586911">
      <w:pPr>
        <w:spacing w:after="0"/>
        <w:ind w:firstLine="567"/>
        <w:jc w:val="center"/>
        <w:rPr>
          <w:b/>
          <w:bCs/>
          <w:lang w:eastAsia="ru-RU"/>
        </w:rPr>
      </w:pPr>
      <w:r w:rsidRPr="00F536B5">
        <w:rPr>
          <w:rFonts w:eastAsia="Calibri"/>
          <w:noProof/>
          <w:position w:val="-28"/>
          <w:lang w:eastAsia="ru-RU"/>
        </w:rPr>
        <w:drawing>
          <wp:inline distT="0" distB="0" distL="0" distR="0" wp14:anchorId="569E65E8" wp14:editId="15B84648">
            <wp:extent cx="1459230" cy="5099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4F2A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где:</w:t>
      </w:r>
    </w:p>
    <w:p w14:paraId="1ABDEF1A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V - коэффициент вариации;</w:t>
      </w:r>
    </w:p>
    <w:p w14:paraId="038A810E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  <w:noProof/>
          <w:position w:val="-26"/>
          <w:lang w:eastAsia="ru-RU"/>
        </w:rPr>
        <w:drawing>
          <wp:inline distT="0" distB="0" distL="0" distR="0" wp14:anchorId="596CF931" wp14:editId="44A0C01E">
            <wp:extent cx="1652905" cy="562610"/>
            <wp:effectExtent l="0" t="0" r="444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6B5">
        <w:rPr>
          <w:rFonts w:eastAsia="Calibri"/>
        </w:rPr>
        <w:t xml:space="preserve"> - среднее квадратичное отклонение;</w:t>
      </w:r>
    </w:p>
    <w:p w14:paraId="7385A9EF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  <w:i/>
        </w:rPr>
        <w:t>ц</w:t>
      </w:r>
      <w:proofErr w:type="spellStart"/>
      <w:r w:rsidRPr="00F536B5">
        <w:rPr>
          <w:rFonts w:eastAsia="Calibri"/>
          <w:i/>
          <w:vertAlign w:val="subscript"/>
          <w:lang w:val="en-US"/>
        </w:rPr>
        <w:t>i</w:t>
      </w:r>
      <w:proofErr w:type="spellEnd"/>
      <w:r w:rsidRPr="00F536B5">
        <w:rPr>
          <w:rFonts w:eastAsia="Calibri"/>
        </w:rPr>
        <w:t xml:space="preserve"> - цена единицы товара, работы, услуги, указанная в источнике с номером i;</w:t>
      </w:r>
    </w:p>
    <w:p w14:paraId="69D52A56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&lt;ц&gt; - средняя арифметическая величина цены единицы товара, работы, услуги;</w:t>
      </w:r>
    </w:p>
    <w:p w14:paraId="31C61077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n - количество значений, используемых в расчёте.</w:t>
      </w:r>
    </w:p>
    <w:p w14:paraId="16727C4D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</w:rPr>
      </w:pPr>
    </w:p>
    <w:p w14:paraId="6FDBFB67" w14:textId="77777777" w:rsidR="00586911" w:rsidRPr="00F536B5" w:rsidRDefault="00586911" w:rsidP="00734ED9">
      <w:pPr>
        <w:spacing w:after="0"/>
        <w:rPr>
          <w:bCs/>
          <w:color w:val="FF0000"/>
          <w:lang w:eastAsia="ru-RU"/>
        </w:rPr>
      </w:pPr>
    </w:p>
    <w:p w14:paraId="6548848B" w14:textId="77777777" w:rsidR="00586911" w:rsidRPr="00F536B5" w:rsidRDefault="00586911" w:rsidP="00586911">
      <w:pPr>
        <w:spacing w:after="0"/>
        <w:jc w:val="center"/>
        <w:rPr>
          <w:bCs/>
          <w:lang w:eastAsia="ru-RU"/>
        </w:rPr>
      </w:pPr>
      <w:r w:rsidRPr="00F536B5">
        <w:rPr>
          <w:bCs/>
          <w:lang w:eastAsia="ru-RU"/>
        </w:rPr>
        <w:t>Начальная(максимальная) цена вычисляется по формуле:</w:t>
      </w:r>
    </w:p>
    <w:p w14:paraId="2A11B884" w14:textId="77777777" w:rsidR="00586911" w:rsidRPr="00F536B5" w:rsidRDefault="00586911" w:rsidP="00586911">
      <w:pPr>
        <w:spacing w:after="0"/>
        <w:jc w:val="center"/>
        <w:rPr>
          <w:bCs/>
          <w:lang w:eastAsia="ru-RU"/>
        </w:rPr>
      </w:pPr>
      <w:r w:rsidRPr="00F536B5">
        <w:rPr>
          <w:rFonts w:ascii="Calibri" w:eastAsia="Calibri" w:hAnsi="Calibri" w:cs="Calibri"/>
          <w:noProof/>
          <w:position w:val="-24"/>
          <w:lang w:eastAsia="ru-RU"/>
        </w:rPr>
        <w:drawing>
          <wp:inline distT="0" distB="0" distL="0" distR="0" wp14:anchorId="65F70747" wp14:editId="50DF1A77">
            <wp:extent cx="2286000" cy="562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68A3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где:</w:t>
      </w:r>
    </w:p>
    <w:p w14:paraId="301AF009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proofErr w:type="spellStart"/>
      <w:r w:rsidRPr="00F536B5">
        <w:rPr>
          <w:rFonts w:eastAsia="Calibri"/>
        </w:rPr>
        <w:t>НМЦК</w:t>
      </w:r>
      <w:r w:rsidRPr="00F536B5">
        <w:rPr>
          <w:rFonts w:eastAsia="Calibri"/>
          <w:vertAlign w:val="superscript"/>
        </w:rPr>
        <w:t>рын</w:t>
      </w:r>
      <w:proofErr w:type="spellEnd"/>
      <w:r w:rsidRPr="00F536B5">
        <w:rPr>
          <w:rFonts w:eastAsia="Calibri"/>
        </w:rPr>
        <w:t>, определяемая методом сопоставимых рыночных цен (анализа рынка);</w:t>
      </w:r>
    </w:p>
    <w:p w14:paraId="1477534D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v - количество (объем) закупаемого товара (работы, услуги);</w:t>
      </w:r>
    </w:p>
    <w:p w14:paraId="40C37622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n - количество значений, используемых в расчете;</w:t>
      </w:r>
    </w:p>
    <w:p w14:paraId="2597C2EE" w14:textId="77777777" w:rsidR="00586911" w:rsidRPr="00F536B5" w:rsidRDefault="00586911" w:rsidP="00586911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</w:rPr>
      </w:pPr>
      <w:r w:rsidRPr="00F536B5">
        <w:rPr>
          <w:rFonts w:eastAsia="Calibri"/>
        </w:rPr>
        <w:t>i - номер источника ценовой информации;</w:t>
      </w:r>
    </w:p>
    <w:p w14:paraId="4A1DF05D" w14:textId="77777777" w:rsidR="00586911" w:rsidRPr="00F536B5" w:rsidRDefault="00586911" w:rsidP="00586911">
      <w:pPr>
        <w:spacing w:after="120"/>
        <w:ind w:right="-5" w:firstLine="567"/>
        <w:rPr>
          <w:rFonts w:eastAsia="Calibri"/>
        </w:rPr>
      </w:pPr>
      <w:r w:rsidRPr="00F536B5">
        <w:rPr>
          <w:rFonts w:eastAsia="Calibri"/>
          <w:i/>
        </w:rPr>
        <w:t>ц</w:t>
      </w:r>
      <w:proofErr w:type="spellStart"/>
      <w:r w:rsidRPr="00F536B5">
        <w:rPr>
          <w:rFonts w:eastAsia="Calibri"/>
          <w:i/>
          <w:vertAlign w:val="subscript"/>
          <w:lang w:val="en-US"/>
        </w:rPr>
        <w:t>i</w:t>
      </w:r>
      <w:proofErr w:type="spellEnd"/>
      <w:r w:rsidRPr="00F536B5">
        <w:rPr>
          <w:rFonts w:eastAsia="Calibri"/>
          <w:i/>
          <w:vertAlign w:val="subscript"/>
        </w:rPr>
        <w:t xml:space="preserve"> </w:t>
      </w:r>
      <w:r w:rsidRPr="00F536B5">
        <w:rPr>
          <w:rFonts w:eastAsia="Calibri"/>
        </w:rPr>
        <w:t xml:space="preserve">- цена единицы товара, работы, услуги, представленная в источнике с номером i. </w:t>
      </w:r>
    </w:p>
    <w:p w14:paraId="289D0065" w14:textId="77777777" w:rsidR="00586911" w:rsidRPr="00F536B5" w:rsidRDefault="00586911" w:rsidP="00586911">
      <w:pPr>
        <w:tabs>
          <w:tab w:val="left" w:pos="1276"/>
        </w:tabs>
        <w:spacing w:after="0"/>
        <w:ind w:firstLine="567"/>
      </w:pPr>
    </w:p>
    <w:p w14:paraId="2A24F75D" w14:textId="77777777" w:rsidR="00586911" w:rsidRPr="00024FD6" w:rsidRDefault="00586911" w:rsidP="00586911">
      <w:pPr>
        <w:tabs>
          <w:tab w:val="left" w:pos="1276"/>
        </w:tabs>
        <w:spacing w:after="120"/>
        <w:ind w:firstLine="567"/>
      </w:pPr>
      <w:r w:rsidRPr="00024FD6">
        <w:t xml:space="preserve">Таким образом начальная (максимальная) цена </w:t>
      </w:r>
      <w:r w:rsidRPr="00024FD6">
        <w:rPr>
          <w:bCs/>
        </w:rPr>
        <w:t xml:space="preserve">гражданско-правового договора </w:t>
      </w:r>
      <w:r w:rsidRPr="00024FD6">
        <w:t>равняется:</w:t>
      </w:r>
    </w:p>
    <w:p w14:paraId="40144AA9" w14:textId="77777777" w:rsidR="00F536B5" w:rsidRPr="00F75C41" w:rsidRDefault="00F536B5" w:rsidP="00586911">
      <w:pPr>
        <w:tabs>
          <w:tab w:val="left" w:pos="1276"/>
        </w:tabs>
        <w:spacing w:after="120"/>
        <w:ind w:firstLine="567"/>
        <w:rPr>
          <w:color w:val="000000" w:themeColor="text1"/>
        </w:rPr>
      </w:pPr>
    </w:p>
    <w:tbl>
      <w:tblPr>
        <w:tblW w:w="14592" w:type="dxa"/>
        <w:tblLook w:val="04A0" w:firstRow="1" w:lastRow="0" w:firstColumn="1" w:lastColumn="0" w:noHBand="0" w:noVBand="1"/>
      </w:tblPr>
      <w:tblGrid>
        <w:gridCol w:w="2603"/>
        <w:gridCol w:w="11989"/>
      </w:tblGrid>
      <w:tr w:rsidR="00F75C41" w:rsidRPr="00F75C41" w14:paraId="2EB6CC44" w14:textId="77777777" w:rsidTr="001C1A21">
        <w:trPr>
          <w:trHeight w:val="261"/>
        </w:trPr>
        <w:tc>
          <w:tcPr>
            <w:tcW w:w="2603" w:type="dxa"/>
            <w:vAlign w:val="center"/>
          </w:tcPr>
          <w:p w14:paraId="67326800" w14:textId="602D7F45" w:rsidR="00586911" w:rsidRPr="00F75C41" w:rsidRDefault="00F75C41" w:rsidP="0087615D">
            <w:pPr>
              <w:tabs>
                <w:tab w:val="left" w:pos="1276"/>
              </w:tabs>
              <w:spacing w:after="0"/>
              <w:jc w:val="center"/>
              <w:rPr>
                <w:b/>
                <w:color w:val="000000" w:themeColor="text1"/>
              </w:rPr>
            </w:pPr>
            <w:r w:rsidRPr="00F75C41">
              <w:rPr>
                <w:b/>
                <w:color w:val="000000" w:themeColor="text1"/>
              </w:rPr>
              <w:t>140 666,</w:t>
            </w:r>
            <w:r w:rsidR="00ED3CDD">
              <w:rPr>
                <w:b/>
                <w:color w:val="000000" w:themeColor="text1"/>
              </w:rPr>
              <w:t>7</w:t>
            </w:r>
            <w:r w:rsidRPr="00F75C41">
              <w:rPr>
                <w:b/>
                <w:color w:val="000000" w:themeColor="text1"/>
              </w:rPr>
              <w:t>0</w:t>
            </w:r>
          </w:p>
        </w:tc>
        <w:tc>
          <w:tcPr>
            <w:tcW w:w="11989" w:type="dxa"/>
            <w:vAlign w:val="center"/>
          </w:tcPr>
          <w:p w14:paraId="13CCB134" w14:textId="4353CD9F" w:rsidR="00586911" w:rsidRPr="00F75C41" w:rsidRDefault="00586911" w:rsidP="0087615D">
            <w:pPr>
              <w:tabs>
                <w:tab w:val="left" w:pos="1276"/>
              </w:tabs>
              <w:spacing w:after="0"/>
              <w:jc w:val="center"/>
              <w:rPr>
                <w:b/>
                <w:color w:val="000000" w:themeColor="text1"/>
              </w:rPr>
            </w:pPr>
            <w:r w:rsidRPr="00F75C41">
              <w:rPr>
                <w:b/>
                <w:color w:val="000000" w:themeColor="text1"/>
              </w:rPr>
              <w:t>(</w:t>
            </w:r>
            <w:r w:rsidR="00F75C41" w:rsidRPr="00F75C41">
              <w:rPr>
                <w:b/>
                <w:color w:val="000000" w:themeColor="text1"/>
              </w:rPr>
              <w:t>Сто сорок тысяч шестьсот шестьдесят шесть</w:t>
            </w:r>
            <w:r w:rsidR="00024FD6" w:rsidRPr="00F75C41">
              <w:rPr>
                <w:b/>
                <w:color w:val="000000" w:themeColor="text1"/>
              </w:rPr>
              <w:t xml:space="preserve">) рублей </w:t>
            </w:r>
            <w:r w:rsidR="00ED3CDD">
              <w:rPr>
                <w:b/>
                <w:color w:val="000000" w:themeColor="text1"/>
              </w:rPr>
              <w:t>7</w:t>
            </w:r>
            <w:r w:rsidR="00F75C41" w:rsidRPr="00F75C41">
              <w:rPr>
                <w:b/>
                <w:color w:val="000000" w:themeColor="text1"/>
              </w:rPr>
              <w:t>0</w:t>
            </w:r>
            <w:r w:rsidR="00024FD6" w:rsidRPr="00F75C41">
              <w:rPr>
                <w:b/>
                <w:color w:val="000000" w:themeColor="text1"/>
              </w:rPr>
              <w:t xml:space="preserve"> копеек</w:t>
            </w:r>
          </w:p>
        </w:tc>
      </w:tr>
      <w:tr w:rsidR="00F75C41" w:rsidRPr="00F75C41" w14:paraId="3CAE66DF" w14:textId="77777777" w:rsidTr="001C1A21">
        <w:trPr>
          <w:trHeight w:val="261"/>
        </w:trPr>
        <w:tc>
          <w:tcPr>
            <w:tcW w:w="2603" w:type="dxa"/>
            <w:vAlign w:val="center"/>
          </w:tcPr>
          <w:p w14:paraId="35C72545" w14:textId="77777777" w:rsidR="00586911" w:rsidRPr="00F75C41" w:rsidRDefault="00586911" w:rsidP="0087615D">
            <w:pPr>
              <w:tabs>
                <w:tab w:val="left" w:pos="1276"/>
              </w:tabs>
              <w:spacing w:after="0"/>
              <w:jc w:val="center"/>
              <w:rPr>
                <w:b/>
                <w:i/>
                <w:color w:val="000000" w:themeColor="text1"/>
              </w:rPr>
            </w:pPr>
            <w:r w:rsidRPr="00F75C41">
              <w:rPr>
                <w:i/>
                <w:color w:val="000000" w:themeColor="text1"/>
              </w:rPr>
              <w:t>(цифрами)</w:t>
            </w:r>
          </w:p>
        </w:tc>
        <w:tc>
          <w:tcPr>
            <w:tcW w:w="11989" w:type="dxa"/>
            <w:vAlign w:val="center"/>
          </w:tcPr>
          <w:p w14:paraId="33ED965E" w14:textId="77777777" w:rsidR="00586911" w:rsidRPr="00F75C41" w:rsidRDefault="00586911" w:rsidP="0087615D">
            <w:pPr>
              <w:tabs>
                <w:tab w:val="left" w:pos="1276"/>
              </w:tabs>
              <w:spacing w:after="0"/>
              <w:jc w:val="center"/>
              <w:rPr>
                <w:b/>
                <w:i/>
                <w:color w:val="000000" w:themeColor="text1"/>
              </w:rPr>
            </w:pPr>
            <w:r w:rsidRPr="00F75C41">
              <w:rPr>
                <w:i/>
                <w:color w:val="000000" w:themeColor="text1"/>
              </w:rPr>
              <w:t>(прописью)</w:t>
            </w:r>
          </w:p>
        </w:tc>
      </w:tr>
    </w:tbl>
    <w:p w14:paraId="0C30D2CE" w14:textId="77777777" w:rsidR="00477B05" w:rsidRPr="00F536B5" w:rsidRDefault="00477B05" w:rsidP="00FE3149">
      <w:pPr>
        <w:spacing w:after="0"/>
        <w:rPr>
          <w:b/>
        </w:rPr>
      </w:pPr>
    </w:p>
    <w:sectPr w:rsidR="00477B05" w:rsidRPr="00F536B5" w:rsidSect="001C1A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5F34" w14:textId="77777777" w:rsidR="001F1461" w:rsidRDefault="001F1461">
      <w:pPr>
        <w:spacing w:after="0"/>
      </w:pPr>
      <w:r>
        <w:separator/>
      </w:r>
    </w:p>
  </w:endnote>
  <w:endnote w:type="continuationSeparator" w:id="0">
    <w:p w14:paraId="427F41C6" w14:textId="77777777" w:rsidR="001F1461" w:rsidRDefault="001F1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237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0721BF" w14:textId="77777777" w:rsidR="00803E6A" w:rsidRPr="009F79A4" w:rsidRDefault="00586911" w:rsidP="009F79A4">
        <w:pPr>
          <w:pStyle w:val="a4"/>
          <w:jc w:val="center"/>
          <w:rPr>
            <w:rFonts w:ascii="Times New Roman" w:hAnsi="Times New Roman" w:cs="Times New Roman"/>
          </w:rPr>
        </w:pPr>
        <w:r w:rsidRPr="009F79A4">
          <w:rPr>
            <w:rFonts w:ascii="Times New Roman" w:hAnsi="Times New Roman" w:cs="Times New Roman"/>
          </w:rPr>
          <w:fldChar w:fldCharType="begin"/>
        </w:r>
        <w:r w:rsidRPr="009F79A4">
          <w:rPr>
            <w:rFonts w:ascii="Times New Roman" w:hAnsi="Times New Roman" w:cs="Times New Roman"/>
          </w:rPr>
          <w:instrText>PAGE   \* MERGEFORMAT</w:instrText>
        </w:r>
        <w:r w:rsidRPr="009F79A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9F79A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5B0A" w14:textId="77777777" w:rsidR="001F1461" w:rsidRDefault="001F1461">
      <w:pPr>
        <w:spacing w:after="0"/>
      </w:pPr>
      <w:r>
        <w:separator/>
      </w:r>
    </w:p>
  </w:footnote>
  <w:footnote w:type="continuationSeparator" w:id="0">
    <w:p w14:paraId="7C44721D" w14:textId="77777777" w:rsidR="001F1461" w:rsidRDefault="001F14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C"/>
    <w:rsid w:val="0001400B"/>
    <w:rsid w:val="00022677"/>
    <w:rsid w:val="00024FD6"/>
    <w:rsid w:val="0004642C"/>
    <w:rsid w:val="00046C15"/>
    <w:rsid w:val="000522A1"/>
    <w:rsid w:val="000E4938"/>
    <w:rsid w:val="00137A05"/>
    <w:rsid w:val="001623BB"/>
    <w:rsid w:val="00193A9F"/>
    <w:rsid w:val="001C1A21"/>
    <w:rsid w:val="001D429F"/>
    <w:rsid w:val="001D70C2"/>
    <w:rsid w:val="001F1461"/>
    <w:rsid w:val="001F62AB"/>
    <w:rsid w:val="00202D1F"/>
    <w:rsid w:val="00212E8B"/>
    <w:rsid w:val="00247E75"/>
    <w:rsid w:val="00291456"/>
    <w:rsid w:val="002949FA"/>
    <w:rsid w:val="002A5103"/>
    <w:rsid w:val="002A7E0B"/>
    <w:rsid w:val="002E3A14"/>
    <w:rsid w:val="0031251E"/>
    <w:rsid w:val="00331E7F"/>
    <w:rsid w:val="00346D88"/>
    <w:rsid w:val="0036405C"/>
    <w:rsid w:val="003A4556"/>
    <w:rsid w:val="003A7D56"/>
    <w:rsid w:val="003F38C1"/>
    <w:rsid w:val="004055BB"/>
    <w:rsid w:val="00433000"/>
    <w:rsid w:val="00441932"/>
    <w:rsid w:val="00477B05"/>
    <w:rsid w:val="004A2077"/>
    <w:rsid w:val="004B3545"/>
    <w:rsid w:val="004C2260"/>
    <w:rsid w:val="004D7487"/>
    <w:rsid w:val="004E3DF2"/>
    <w:rsid w:val="00520247"/>
    <w:rsid w:val="00521FFA"/>
    <w:rsid w:val="00532564"/>
    <w:rsid w:val="00553951"/>
    <w:rsid w:val="00580134"/>
    <w:rsid w:val="005849F9"/>
    <w:rsid w:val="00586911"/>
    <w:rsid w:val="005A38E2"/>
    <w:rsid w:val="005C068B"/>
    <w:rsid w:val="005E7772"/>
    <w:rsid w:val="005F4FDA"/>
    <w:rsid w:val="006304A0"/>
    <w:rsid w:val="006353CB"/>
    <w:rsid w:val="0064112A"/>
    <w:rsid w:val="00646F22"/>
    <w:rsid w:val="00670084"/>
    <w:rsid w:val="00671414"/>
    <w:rsid w:val="0068211E"/>
    <w:rsid w:val="006A3CA5"/>
    <w:rsid w:val="006B094A"/>
    <w:rsid w:val="006C2AAF"/>
    <w:rsid w:val="006F0A5E"/>
    <w:rsid w:val="00721D46"/>
    <w:rsid w:val="00734ED9"/>
    <w:rsid w:val="00741175"/>
    <w:rsid w:val="00755C50"/>
    <w:rsid w:val="007659F1"/>
    <w:rsid w:val="007C3FA7"/>
    <w:rsid w:val="007D0B1E"/>
    <w:rsid w:val="007D2BD4"/>
    <w:rsid w:val="00803E6A"/>
    <w:rsid w:val="00804D00"/>
    <w:rsid w:val="008075FE"/>
    <w:rsid w:val="00807D5F"/>
    <w:rsid w:val="00842389"/>
    <w:rsid w:val="008610EC"/>
    <w:rsid w:val="008B4B99"/>
    <w:rsid w:val="008D24C6"/>
    <w:rsid w:val="008D379B"/>
    <w:rsid w:val="008E00C8"/>
    <w:rsid w:val="008E4A47"/>
    <w:rsid w:val="008E570E"/>
    <w:rsid w:val="008E5B1D"/>
    <w:rsid w:val="009009EC"/>
    <w:rsid w:val="0093118E"/>
    <w:rsid w:val="009507D6"/>
    <w:rsid w:val="009537D6"/>
    <w:rsid w:val="00971F51"/>
    <w:rsid w:val="00994392"/>
    <w:rsid w:val="009A34E8"/>
    <w:rsid w:val="009C2BEC"/>
    <w:rsid w:val="00A019C1"/>
    <w:rsid w:val="00A14AB3"/>
    <w:rsid w:val="00A36884"/>
    <w:rsid w:val="00A64930"/>
    <w:rsid w:val="00A861E7"/>
    <w:rsid w:val="00A94D44"/>
    <w:rsid w:val="00AA4E9A"/>
    <w:rsid w:val="00AE08A4"/>
    <w:rsid w:val="00B23300"/>
    <w:rsid w:val="00B35B5A"/>
    <w:rsid w:val="00B5613C"/>
    <w:rsid w:val="00B8206C"/>
    <w:rsid w:val="00B93ACF"/>
    <w:rsid w:val="00C10DAE"/>
    <w:rsid w:val="00C27949"/>
    <w:rsid w:val="00D43246"/>
    <w:rsid w:val="00DB7BD6"/>
    <w:rsid w:val="00DF66B2"/>
    <w:rsid w:val="00E22744"/>
    <w:rsid w:val="00E2577B"/>
    <w:rsid w:val="00E32A91"/>
    <w:rsid w:val="00E747BB"/>
    <w:rsid w:val="00EC4DF7"/>
    <w:rsid w:val="00ED3CDD"/>
    <w:rsid w:val="00ED6A36"/>
    <w:rsid w:val="00EE4809"/>
    <w:rsid w:val="00EE6A27"/>
    <w:rsid w:val="00F536B5"/>
    <w:rsid w:val="00F60FD6"/>
    <w:rsid w:val="00F75C41"/>
    <w:rsid w:val="00FA7077"/>
    <w:rsid w:val="00FA7835"/>
    <w:rsid w:val="00FC1259"/>
    <w:rsid w:val="00FD2C19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8D8"/>
  <w15:chartTrackingRefBased/>
  <w15:docId w15:val="{149BDE57-020C-4078-8820-31A6BF1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487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4D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86911"/>
    <w:pPr>
      <w:tabs>
        <w:tab w:val="center" w:pos="4677"/>
        <w:tab w:val="right" w:pos="9355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8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9756-78C9-40FF-B3FD-4D9F077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Сидорова Луиза Артемовна</cp:lastModifiedBy>
  <cp:revision>7</cp:revision>
  <cp:lastPrinted>2023-11-23T15:20:00Z</cp:lastPrinted>
  <dcterms:created xsi:type="dcterms:W3CDTF">2026-04-29T14:27:00Z</dcterms:created>
  <dcterms:modified xsi:type="dcterms:W3CDTF">2026-05-22T11:40:00Z</dcterms:modified>
</cp:coreProperties>
</file>