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ind w:left="0" w:hanging="0"/>
        <w:jc w:val="center"/>
        <w:outlineLvl w:val="0"/>
        <w:rPr>
          <w:sz w:val="22"/>
          <w:szCs w:val="22"/>
        </w:rPr>
      </w:pPr>
      <w:r>
        <w:rPr>
          <w:rFonts w:cs="Times New Roman"/>
          <w:b/>
          <w:bCs/>
          <w:sz w:val="22"/>
          <w:szCs w:val="22"/>
        </w:rPr>
        <w:t xml:space="preserve">ДОГОВОР ПОСТАВКИ № </w:t>
      </w:r>
      <w:r>
        <w:rPr>
          <w:rFonts w:cs="Times New Roman"/>
          <w:b/>
          <w:bCs/>
          <w:sz w:val="22"/>
          <w:szCs w:val="22"/>
        </w:rPr>
        <w:t xml:space="preserve">390 </w:t>
      </w:r>
      <w:r>
        <w:rPr>
          <w:rFonts w:cs="Times New Roman"/>
          <w:b/>
          <w:bCs/>
          <w:sz w:val="22"/>
          <w:szCs w:val="22"/>
        </w:rPr>
        <w:t>-26-</w:t>
      </w:r>
      <w:r>
        <w:rPr>
          <w:rFonts w:cs="Times New Roman"/>
          <w:b/>
          <w:bCs/>
          <w:sz w:val="22"/>
          <w:szCs w:val="22"/>
          <w:lang w:val="ru-RU"/>
        </w:rPr>
        <w:t>МЗ</w:t>
      </w:r>
    </w:p>
    <w:p>
      <w:pPr>
        <w:pStyle w:val="Normal"/>
        <w:numPr>
          <w:ilvl w:val="0"/>
          <w:numId w:val="0"/>
        </w:numPr>
        <w:ind w:left="0" w:hanging="0"/>
        <w:outlineLvl w:val="0"/>
        <w:rPr>
          <w:rFonts w:cs="Times New Roman"/>
          <w:sz w:val="22"/>
          <w:szCs w:val="22"/>
        </w:rPr>
      </w:pPr>
      <w:r>
        <w:rPr>
          <w:rFonts w:cs="Times New Roman"/>
          <w:sz w:val="22"/>
          <w:szCs w:val="22"/>
        </w:rPr>
      </w:r>
    </w:p>
    <w:p>
      <w:pPr>
        <w:pStyle w:val="Normal"/>
        <w:jc w:val="right"/>
        <w:rPr>
          <w:sz w:val="22"/>
          <w:szCs w:val="22"/>
        </w:rPr>
      </w:pPr>
      <w:r>
        <w:rPr>
          <w:rFonts w:cs="Times New Roman"/>
          <w:sz w:val="22"/>
          <w:szCs w:val="22"/>
          <w:lang w:val="ru-RU"/>
        </w:rPr>
        <w:t>_________2026</w:t>
      </w:r>
      <w:r>
        <w:rPr>
          <w:rFonts w:cs="Times New Roman"/>
          <w:sz w:val="22"/>
          <w:szCs w:val="22"/>
        </w:rPr>
        <w:t xml:space="preserve"> г.</w:t>
      </w:r>
    </w:p>
    <w:p>
      <w:pPr>
        <w:pStyle w:val="Normal"/>
        <w:ind w:firstLine="708"/>
        <w:jc w:val="both"/>
        <w:rPr>
          <w:rFonts w:eastAsia="Arial Unicode MS" w:cs="Times New Roman"/>
          <w:b/>
          <w:b/>
          <w:bCs/>
          <w:sz w:val="22"/>
          <w:szCs w:val="22"/>
          <w:lang w:val="ru-RU" w:eastAsia="ru-RU" w:bidi="ar-SA"/>
        </w:rPr>
      </w:pPr>
      <w:r>
        <w:rPr>
          <w:rFonts w:eastAsia="Arial Unicode MS" w:cs="Times New Roman"/>
          <w:b/>
          <w:bCs/>
          <w:sz w:val="22"/>
          <w:szCs w:val="22"/>
          <w:lang w:val="ru-RU" w:eastAsia="ru-RU" w:bidi="ar-SA"/>
        </w:rPr>
      </w:r>
    </w:p>
    <w:p>
      <w:pPr>
        <w:pStyle w:val="Normal"/>
        <w:ind w:firstLine="708"/>
        <w:jc w:val="both"/>
        <w:rPr/>
      </w:pPr>
      <w:r>
        <w:rPr>
          <w:rFonts w:eastAsia="Arial Unicode MS" w:cs="Times New Roman"/>
          <w:b/>
          <w:bCs/>
          <w:sz w:val="22"/>
          <w:szCs w:val="22"/>
          <w:lang w:val="ru-RU" w:eastAsia="ru-RU" w:bidi="ar-SA"/>
        </w:rPr>
        <w:softHyphen/>
        <w:t>_______________________________</w:t>
      </w:r>
      <w:r>
        <w:rPr>
          <w:rFonts w:eastAsia="Arial Unicode MS" w:cs="Times New Roman"/>
          <w:sz w:val="22"/>
          <w:szCs w:val="22"/>
          <w:lang w:val="ru-RU" w:eastAsia="ru-RU" w:bidi="ar-SA"/>
        </w:rPr>
        <w:t xml:space="preserve">, именуемый в дальнейшем «Поставщик», в лице </w:t>
      </w:r>
      <w:r>
        <w:rPr>
          <w:rFonts w:eastAsia="Arial Unicode MS" w:cs="Times New Roman"/>
          <w:b/>
          <w:bCs/>
          <w:sz w:val="22"/>
          <w:szCs w:val="22"/>
          <w:lang w:val="ru-RU" w:eastAsia="ru-RU" w:bidi="ar-SA"/>
        </w:rPr>
        <w:t>______________________</w:t>
      </w:r>
      <w:r>
        <w:rPr>
          <w:rFonts w:eastAsia="Arial Unicode MS" w:cs="Times New Roman"/>
          <w:sz w:val="22"/>
          <w:szCs w:val="22"/>
          <w:lang w:val="ru-RU" w:eastAsia="ru-RU" w:bidi="ar-SA"/>
        </w:rPr>
        <w:t xml:space="preserve">,  действующего на основании </w:t>
      </w:r>
      <w:r>
        <w:rPr>
          <w:rFonts w:eastAsia="Calibri" w:cs="Times New Roman"/>
          <w:color w:val="000000"/>
          <w:kern w:val="0"/>
          <w:sz w:val="22"/>
          <w:szCs w:val="22"/>
          <w:lang w:val="ru-RU" w:eastAsia="en-US" w:bidi="ar-SA"/>
        </w:rPr>
        <w:t>___________________</w:t>
      </w:r>
      <w:r>
        <w:rPr>
          <w:rFonts w:eastAsia="Arial Unicode MS" w:cs="Times New Roman"/>
          <w:sz w:val="22"/>
          <w:szCs w:val="22"/>
          <w:lang w:val="ru-RU" w:eastAsia="ru-RU" w:bidi="ar-SA"/>
        </w:rPr>
        <w:t xml:space="preserve"> </w:t>
      </w:r>
      <w:r>
        <w:rPr>
          <w:sz w:val="22"/>
          <w:szCs w:val="22"/>
        </w:rPr>
        <w:t xml:space="preserve">и </w:t>
      </w:r>
      <w:r>
        <w:rPr>
          <w:b/>
          <w:sz w:val="22"/>
          <w:szCs w:val="22"/>
        </w:rPr>
        <w:t>Федеральное государственное бюджетное учреждение здравоохранения «Клиническая больница № 8 Федерального медико-биологического агентства»</w:t>
      </w:r>
      <w:r>
        <w:rPr>
          <w:sz w:val="22"/>
          <w:szCs w:val="22"/>
        </w:rPr>
        <w:t xml:space="preserve"> (</w:t>
      </w:r>
      <w:r>
        <w:rPr>
          <w:b/>
          <w:bCs/>
          <w:sz w:val="22"/>
          <w:szCs w:val="22"/>
        </w:rPr>
        <w:t>ФГБУЗ КБ № 8 ФМБА России</w:t>
      </w:r>
      <w:r>
        <w:rPr>
          <w:sz w:val="22"/>
          <w:szCs w:val="22"/>
        </w:rPr>
        <w:t xml:space="preserve">), именуемое в дальнейшем «Покупатель», в лице </w:t>
      </w:r>
      <w:r>
        <w:rPr>
          <w:sz w:val="22"/>
          <w:szCs w:val="22"/>
          <w:lang w:val="ru-RU"/>
        </w:rPr>
        <w:t>и.о.</w:t>
      </w:r>
      <w:r>
        <w:rPr>
          <w:sz w:val="22"/>
          <w:szCs w:val="22"/>
          <w:lang w:val="ru-RU"/>
        </w:rPr>
        <w:t>главного врача</w:t>
      </w:r>
      <w:r>
        <w:rPr>
          <w:sz w:val="22"/>
          <w:szCs w:val="22"/>
        </w:rPr>
        <w:t xml:space="preserve"> </w:t>
      </w:r>
      <w:r>
        <w:rPr>
          <w:rFonts w:eastAsia="Arial Unicode MS" w:cs="Times New Roman"/>
          <w:color w:val="000000"/>
          <w:sz w:val="22"/>
          <w:szCs w:val="22"/>
          <w:lang w:val="ru-RU" w:eastAsia="zh-CN" w:bidi="ar-SA"/>
        </w:rPr>
        <w:t>Индина А.С.</w:t>
      </w:r>
      <w:r>
        <w:rPr>
          <w:rFonts w:eastAsia="Arial Unicode MS" w:cs="Times New Roman"/>
          <w:color w:val="000000"/>
          <w:sz w:val="22"/>
          <w:szCs w:val="22"/>
          <w:lang w:val="ru-RU"/>
        </w:rPr>
        <w:t xml:space="preserve">, действующего на основании  Устава и Приказа № </w:t>
      </w:r>
      <w:r>
        <w:rPr>
          <w:rFonts w:eastAsia="Arial Unicode MS" w:cs="Times New Roman"/>
          <w:color w:val="000000"/>
          <w:sz w:val="22"/>
          <w:szCs w:val="22"/>
          <w:lang w:val="ru-RU"/>
        </w:rPr>
        <w:t>783/26лс</w:t>
      </w:r>
      <w:r>
        <w:rPr>
          <w:rFonts w:eastAsia="Arial Unicode MS" w:cs="Times New Roman"/>
          <w:color w:val="000000"/>
          <w:sz w:val="22"/>
          <w:szCs w:val="22"/>
          <w:lang w:val="ru-RU"/>
        </w:rPr>
        <w:t xml:space="preserve"> от </w:t>
      </w:r>
      <w:r>
        <w:rPr>
          <w:rFonts w:eastAsia="Arial Unicode MS" w:cs="Times New Roman"/>
          <w:color w:val="000000"/>
          <w:sz w:val="22"/>
          <w:szCs w:val="22"/>
          <w:lang w:val="ru-RU"/>
        </w:rPr>
        <w:t xml:space="preserve">10.08.2026 </w:t>
      </w:r>
      <w:r>
        <w:rPr>
          <w:rFonts w:eastAsia="Arial Unicode MS" w:cs="Times New Roman"/>
          <w:color w:val="000000"/>
          <w:sz w:val="22"/>
          <w:szCs w:val="22"/>
          <w:lang w:val="ru-RU"/>
        </w:rPr>
        <w:t>года</w:t>
      </w:r>
      <w:r>
        <w:rPr>
          <w:sz w:val="22"/>
          <w:szCs w:val="22"/>
        </w:rPr>
        <w:t xml:space="preserve">, с другой стороны, вместе именуемые Стороны, на основании </w:t>
      </w:r>
      <w:r>
        <w:rPr>
          <w:rFonts w:eastAsia="Times New Roman CYR" w:cs="Times New Roman CYR" w:ascii="Times New Roman CYR" w:hAnsi="Times New Roman CYR"/>
          <w:color w:val="000000"/>
          <w:sz w:val="22"/>
          <w:szCs w:val="22"/>
        </w:rPr>
        <w:t xml:space="preserve"> п. 4 части 1 ст. 93</w:t>
      </w:r>
      <w:r>
        <w:rPr>
          <w:sz w:val="22"/>
          <w:szCs w:val="22"/>
        </w:rPr>
        <w:t xml:space="preserve"> Федерального </w:t>
      </w:r>
      <w:hyperlink r:id="rId2">
        <w:r>
          <w:rPr>
            <w:color w:val="111111"/>
            <w:sz w:val="22"/>
            <w:szCs w:val="22"/>
          </w:rPr>
          <w:t>закона</w:t>
        </w:r>
      </w:hyperlink>
      <w:r>
        <w:rPr>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Договор поставки (далее Договор) о нижеследующем:</w:t>
      </w:r>
    </w:p>
    <w:p>
      <w:pPr>
        <w:pStyle w:val="Normal"/>
        <w:ind w:firstLine="708"/>
        <w:jc w:val="both"/>
        <w:rPr>
          <w:sz w:val="22"/>
          <w:szCs w:val="22"/>
        </w:rPr>
      </w:pPr>
      <w:r>
        <w:rPr>
          <w:sz w:val="22"/>
          <w:szCs w:val="22"/>
        </w:rPr>
      </w:r>
    </w:p>
    <w:p>
      <w:pPr>
        <w:pStyle w:val="Normal"/>
        <w:ind w:left="708" w:hanging="0"/>
        <w:jc w:val="center"/>
        <w:rPr>
          <w:sz w:val="22"/>
          <w:szCs w:val="22"/>
        </w:rPr>
      </w:pPr>
      <w:r>
        <w:rPr>
          <w:b/>
          <w:sz w:val="22"/>
          <w:szCs w:val="22"/>
        </w:rPr>
        <w:t>1. Предмет договора.</w:t>
      </w:r>
    </w:p>
    <w:p>
      <w:pPr>
        <w:pStyle w:val="Normal"/>
        <w:jc w:val="both"/>
        <w:rPr>
          <w:sz w:val="22"/>
          <w:szCs w:val="22"/>
        </w:rPr>
      </w:pPr>
      <w:r>
        <w:rPr>
          <w:sz w:val="22"/>
          <w:szCs w:val="22"/>
        </w:rPr>
        <w:t xml:space="preserve">1.1. В соответствии с настоящим Договором Поставщик обязуется поставить Покупателю </w:t>
      </w:r>
      <w:r>
        <w:rPr>
          <w:sz w:val="22"/>
          <w:szCs w:val="22"/>
          <w:lang w:val="ru-RU"/>
        </w:rPr>
        <w:t xml:space="preserve">товар — </w:t>
      </w:r>
      <w:r>
        <w:rPr>
          <w:b/>
          <w:bCs/>
          <w:sz w:val="22"/>
          <w:szCs w:val="22"/>
          <w:lang w:val="ru-RU"/>
        </w:rPr>
        <w:t>медицинские изделия (шовный материал)</w:t>
      </w:r>
      <w:r>
        <w:rPr>
          <w:b/>
          <w:bCs/>
          <w:sz w:val="22"/>
          <w:szCs w:val="22"/>
        </w:rPr>
        <w:t>,</w:t>
      </w:r>
      <w:r>
        <w:rPr>
          <w:sz w:val="22"/>
          <w:szCs w:val="22"/>
        </w:rPr>
        <w:t xml:space="preserve"> а Покупатель принять и оплатить его в сроки, установленные настоящим Договором.</w:t>
      </w:r>
    </w:p>
    <w:p>
      <w:pPr>
        <w:pStyle w:val="Normal"/>
        <w:jc w:val="both"/>
        <w:rPr>
          <w:sz w:val="22"/>
          <w:szCs w:val="22"/>
        </w:rPr>
      </w:pPr>
      <w:r>
        <w:rPr>
          <w:sz w:val="22"/>
          <w:szCs w:val="22"/>
        </w:rPr>
        <w:t>1.2. Наименование, ассортимент, количество, цена товара согласованы Сторонами и определены в Спецификации (Приложении № 1), которые являются неотъемлемой частью Договора.</w:t>
      </w:r>
    </w:p>
    <w:p>
      <w:pPr>
        <w:pStyle w:val="Normal"/>
        <w:jc w:val="center"/>
        <w:rPr>
          <w:b/>
          <w:b/>
        </w:rPr>
      </w:pPr>
      <w:r>
        <w:rPr>
          <w:b/>
        </w:rPr>
      </w:r>
    </w:p>
    <w:p>
      <w:pPr>
        <w:pStyle w:val="Normal"/>
        <w:jc w:val="center"/>
        <w:rPr>
          <w:sz w:val="22"/>
          <w:szCs w:val="22"/>
        </w:rPr>
      </w:pPr>
      <w:r>
        <w:rPr>
          <w:b/>
          <w:sz w:val="22"/>
          <w:szCs w:val="22"/>
        </w:rPr>
        <w:t>2. Срок действия договора.</w:t>
      </w:r>
    </w:p>
    <w:p>
      <w:pPr>
        <w:pStyle w:val="Normal"/>
        <w:jc w:val="both"/>
        <w:rPr>
          <w:sz w:val="22"/>
          <w:szCs w:val="22"/>
        </w:rPr>
      </w:pPr>
      <w:r>
        <w:rPr>
          <w:sz w:val="22"/>
          <w:szCs w:val="22"/>
        </w:rPr>
        <w:t xml:space="preserve">2.1. Настоящий Договор считается заключенным с </w:t>
      </w:r>
      <w:r>
        <w:rPr>
          <w:sz w:val="22"/>
          <w:szCs w:val="22"/>
          <w:lang w:val="ru-RU"/>
        </w:rPr>
        <w:t>даты</w:t>
      </w:r>
      <w:r>
        <w:rPr>
          <w:sz w:val="22"/>
          <w:szCs w:val="22"/>
        </w:rPr>
        <w:t xml:space="preserve"> его подписания Сторонами </w:t>
      </w:r>
      <w:r>
        <w:rPr>
          <w:sz w:val="22"/>
          <w:szCs w:val="22"/>
          <w:lang w:val="ru-RU"/>
        </w:rPr>
        <w:t xml:space="preserve">на ЕАТ Березка </w:t>
      </w:r>
      <w:r>
        <w:rPr>
          <w:sz w:val="22"/>
          <w:szCs w:val="22"/>
        </w:rPr>
        <w:t>и действует до 31.12.</w:t>
      </w:r>
      <w:r>
        <w:rPr>
          <w:sz w:val="22"/>
          <w:szCs w:val="22"/>
          <w:lang w:val="ru-RU"/>
        </w:rPr>
        <w:t>2026г</w:t>
      </w:r>
      <w:r>
        <w:rPr>
          <w:sz w:val="22"/>
          <w:szCs w:val="22"/>
        </w:rPr>
        <w:t>.</w:t>
      </w:r>
    </w:p>
    <w:p>
      <w:pPr>
        <w:pStyle w:val="Normal"/>
        <w:jc w:val="both"/>
        <w:rPr>
          <w:sz w:val="22"/>
          <w:szCs w:val="22"/>
        </w:rPr>
      </w:pPr>
      <w:r>
        <w:rPr>
          <w:sz w:val="22"/>
          <w:szCs w:val="22"/>
        </w:rPr>
        <w:t xml:space="preserve">2.2. В части финансовых взаиморасчетов </w:t>
      </w:r>
      <w:r>
        <w:rPr>
          <w:sz w:val="22"/>
          <w:szCs w:val="22"/>
          <w:lang w:val="ru-RU"/>
        </w:rPr>
        <w:t>договор действует</w:t>
      </w:r>
      <w:r>
        <w:rPr>
          <w:sz w:val="22"/>
          <w:szCs w:val="22"/>
        </w:rPr>
        <w:t xml:space="preserve"> до полного выполнения Сторонами своих обязательств по данному Договору.</w:t>
      </w:r>
    </w:p>
    <w:p>
      <w:pPr>
        <w:pStyle w:val="Normal"/>
        <w:ind w:left="708" w:hanging="0"/>
        <w:jc w:val="center"/>
        <w:rPr>
          <w:sz w:val="22"/>
          <w:szCs w:val="22"/>
        </w:rPr>
      </w:pPr>
      <w:r>
        <w:rPr>
          <w:b/>
          <w:sz w:val="22"/>
          <w:szCs w:val="22"/>
        </w:rPr>
        <w:t>3. Цена и оплата товара.</w:t>
      </w:r>
    </w:p>
    <w:p>
      <w:pPr>
        <w:pStyle w:val="Normal"/>
        <w:jc w:val="both"/>
        <w:rPr>
          <w:rFonts w:cs="Times New Roman"/>
        </w:rPr>
      </w:pPr>
      <w:r>
        <w:rPr>
          <w:sz w:val="22"/>
          <w:szCs w:val="22"/>
        </w:rPr>
        <w:t xml:space="preserve">3.1. Стоимость Товара составляет </w:t>
      </w:r>
      <w:r>
        <w:rPr>
          <w:rFonts w:cs="Times New Roman"/>
          <w:b/>
          <w:bCs/>
          <w:sz w:val="22"/>
          <w:szCs w:val="22"/>
          <w:shd w:fill="FFFF00" w:val="clear"/>
          <w:lang w:val="ru-RU"/>
        </w:rPr>
        <w:t>____________________________________________</w:t>
      </w:r>
    </w:p>
    <w:p>
      <w:pPr>
        <w:pStyle w:val="Normal"/>
        <w:jc w:val="both"/>
        <w:rPr>
          <w:sz w:val="22"/>
          <w:szCs w:val="22"/>
        </w:rPr>
      </w:pPr>
      <w:r>
        <w:rPr>
          <w:rFonts w:cs="Times New Roman"/>
          <w:sz w:val="22"/>
          <w:szCs w:val="22"/>
        </w:rPr>
        <w:t xml:space="preserve">3.2. 100% </w:t>
      </w:r>
      <w:r>
        <w:rPr>
          <w:rFonts w:cs="Times New Roman"/>
          <w:sz w:val="22"/>
          <w:szCs w:val="22"/>
          <w:lang w:val="ru-RU"/>
        </w:rPr>
        <w:t xml:space="preserve">стоимости товара оплачивается покупателем </w:t>
      </w:r>
      <w:r>
        <w:rPr>
          <w:rFonts w:cs="Times New Roman"/>
          <w:sz w:val="22"/>
          <w:szCs w:val="22"/>
        </w:rPr>
        <w:t xml:space="preserve">в течение </w:t>
      </w:r>
      <w:r>
        <w:rPr>
          <w:rFonts w:eastAsia="Andale Sans UI;Arial Unicode MS" w:cs="Times New Roman"/>
          <w:color w:val="000000"/>
          <w:sz w:val="22"/>
          <w:szCs w:val="22"/>
          <w:lang w:eastAsia="zh-CN" w:bidi="ar-SA"/>
        </w:rPr>
        <w:t>10</w:t>
      </w:r>
      <w:r>
        <w:rPr>
          <w:rFonts w:eastAsia="Andale Sans UI;Arial Unicode MS" w:cs="Times New Roman"/>
          <w:color w:val="000000"/>
          <w:sz w:val="22"/>
          <w:szCs w:val="22"/>
          <w:lang w:val="ru-RU" w:eastAsia="zh-CN" w:bidi="ar-SA"/>
        </w:rPr>
        <w:t xml:space="preserve"> рабочих</w:t>
      </w:r>
      <w:r>
        <w:rPr>
          <w:rFonts w:cs="Times New Roman"/>
          <w:sz w:val="22"/>
          <w:szCs w:val="22"/>
          <w:lang w:val="ru-RU"/>
        </w:rPr>
        <w:t xml:space="preserve"> </w:t>
      </w:r>
      <w:r>
        <w:rPr>
          <w:rFonts w:cs="Times New Roman"/>
          <w:sz w:val="22"/>
          <w:szCs w:val="22"/>
        </w:rPr>
        <w:t>дней с</w:t>
      </w:r>
      <w:r>
        <w:rPr>
          <w:rFonts w:cs="Times New Roman"/>
          <w:sz w:val="22"/>
          <w:szCs w:val="22"/>
          <w:lang w:val="ru-RU"/>
        </w:rPr>
        <w:t xml:space="preserve"> даты подписания </w:t>
      </w:r>
      <w:r>
        <w:rPr>
          <w:rFonts w:cs="Times New Roman"/>
          <w:sz w:val="22"/>
          <w:szCs w:val="22"/>
        </w:rPr>
        <w:t xml:space="preserve">товарной накладной </w:t>
      </w:r>
      <w:r>
        <w:rPr>
          <w:rFonts w:cs="Times New Roman"/>
          <w:sz w:val="22"/>
          <w:szCs w:val="22"/>
          <w:lang w:val="ru-RU"/>
        </w:rPr>
        <w:t xml:space="preserve">ТОРГ 12 или УПД и Акта приемки (ф. 0510452). </w:t>
      </w:r>
      <w:r>
        <w:rPr>
          <w:rFonts w:cs="Times New Roman"/>
          <w:sz w:val="22"/>
          <w:szCs w:val="22"/>
        </w:rPr>
        <w:t xml:space="preserve">Оплата товара производится Покупателем в рублях платежным поручением на расчетный счет Поставщика, указанный в настоящем Договоре. Покупатель считается исполнившим </w:t>
      </w:r>
      <w:r>
        <w:rPr>
          <w:rFonts w:cs="Times New Roman"/>
          <w:sz w:val="22"/>
          <w:szCs w:val="22"/>
          <w:lang w:val="ru-RU"/>
        </w:rPr>
        <w:t xml:space="preserve">свою </w:t>
      </w:r>
      <w:r>
        <w:rPr>
          <w:rFonts w:cs="Times New Roman"/>
          <w:sz w:val="22"/>
          <w:szCs w:val="22"/>
        </w:rPr>
        <w:t xml:space="preserve">обязанность по </w:t>
      </w:r>
      <w:r>
        <w:rPr>
          <w:rFonts w:cs="Times New Roman"/>
          <w:sz w:val="22"/>
          <w:szCs w:val="22"/>
          <w:lang w:val="ru-RU"/>
        </w:rPr>
        <w:t>оплате с даты  списания  денежных средств со своего счета</w:t>
      </w:r>
      <w:r>
        <w:rPr>
          <w:rFonts w:cs="Times New Roman"/>
          <w:sz w:val="22"/>
          <w:szCs w:val="22"/>
        </w:rPr>
        <w:t>.</w:t>
      </w:r>
    </w:p>
    <w:p>
      <w:pPr>
        <w:pStyle w:val="Normal"/>
        <w:jc w:val="both"/>
        <w:rPr>
          <w:sz w:val="22"/>
          <w:szCs w:val="22"/>
        </w:rPr>
      </w:pPr>
      <w:r>
        <w:rPr>
          <w:bCs/>
          <w:sz w:val="22"/>
          <w:szCs w:val="22"/>
        </w:rPr>
        <w:t xml:space="preserve">3.3. В стоимость товара входит стоимость доставки товара до склада Покупателя, </w:t>
      </w:r>
      <w:r>
        <w:rPr>
          <w:bCs/>
          <w:sz w:val="22"/>
          <w:szCs w:val="22"/>
          <w:lang w:val="ru-RU"/>
        </w:rPr>
        <w:t>разгрузка товара в помещение заказчика и его занесение на место хранения</w:t>
      </w:r>
      <w:r>
        <w:rPr>
          <w:bCs/>
          <w:sz w:val="22"/>
          <w:szCs w:val="22"/>
        </w:rPr>
        <w:t>.</w:t>
      </w:r>
    </w:p>
    <w:p>
      <w:pPr>
        <w:pStyle w:val="Normal"/>
        <w:jc w:val="both"/>
        <w:rPr>
          <w:sz w:val="22"/>
          <w:szCs w:val="22"/>
        </w:rPr>
      </w:pPr>
      <w:r>
        <w:rPr>
          <w:bCs/>
          <w:sz w:val="22"/>
          <w:szCs w:val="22"/>
        </w:rPr>
        <w:t xml:space="preserve">3.4 Доставка товара </w:t>
      </w:r>
      <w:r>
        <w:rPr>
          <w:bCs/>
          <w:sz w:val="22"/>
          <w:szCs w:val="22"/>
          <w:lang w:val="ru-RU"/>
        </w:rPr>
        <w:t>д</w:t>
      </w:r>
      <w:r>
        <w:rPr>
          <w:bCs/>
          <w:sz w:val="22"/>
          <w:szCs w:val="22"/>
        </w:rPr>
        <w:t>о склада покупателя осуществляется за счет средств и сил поставщика.</w:t>
      </w:r>
    </w:p>
    <w:p>
      <w:pPr>
        <w:pStyle w:val="Normal"/>
        <w:jc w:val="both"/>
        <w:rPr>
          <w:sz w:val="22"/>
          <w:szCs w:val="22"/>
        </w:rPr>
      </w:pPr>
      <w:r>
        <w:rPr>
          <w:bCs/>
          <w:sz w:val="22"/>
          <w:szCs w:val="22"/>
        </w:rPr>
        <w:t xml:space="preserve">3.5. </w:t>
      </w:r>
      <w:r>
        <w:rPr>
          <w:rFonts w:cs="Times New Roman"/>
          <w:bCs/>
          <w:sz w:val="22"/>
          <w:szCs w:val="22"/>
          <w:lang w:val="ru-RU"/>
        </w:rPr>
        <w:t>П</w:t>
      </w:r>
      <w:r>
        <w:rPr>
          <w:rFonts w:cs="Times New Roman"/>
          <w:bCs/>
          <w:sz w:val="22"/>
          <w:szCs w:val="22"/>
        </w:rPr>
        <w:t xml:space="preserve">ри приемке </w:t>
      </w:r>
      <w:r>
        <w:rPr>
          <w:rFonts w:cs="Times New Roman"/>
          <w:bCs/>
          <w:sz w:val="22"/>
          <w:szCs w:val="22"/>
          <w:lang w:val="ru-RU"/>
        </w:rPr>
        <w:t>товара Заказчик подписывает</w:t>
      </w:r>
      <w:r>
        <w:rPr>
          <w:rFonts w:cs="Times New Roman"/>
          <w:bCs/>
          <w:sz w:val="22"/>
          <w:szCs w:val="22"/>
        </w:rPr>
        <w:t xml:space="preserve"> Акт приемки (ф. 0510452) </w:t>
      </w:r>
      <w:r>
        <w:rPr>
          <w:rFonts w:cs="Times New Roman"/>
          <w:bCs/>
          <w:sz w:val="22"/>
          <w:szCs w:val="22"/>
          <w:lang w:val="ru-RU"/>
        </w:rPr>
        <w:t>в одностороннем порядке</w:t>
      </w:r>
      <w:r>
        <w:rPr>
          <w:rFonts w:cs="Times New Roman"/>
          <w:bCs/>
          <w:sz w:val="22"/>
          <w:szCs w:val="22"/>
        </w:rPr>
        <w:t xml:space="preserve">, </w:t>
      </w:r>
      <w:r>
        <w:rPr>
          <w:rFonts w:cs="Times New Roman"/>
          <w:bCs/>
          <w:sz w:val="22"/>
          <w:szCs w:val="22"/>
          <w:lang w:val="ru-RU"/>
        </w:rPr>
        <w:t>в случае расхождений Акт приемки (ф. 0510452), направляется Поставщику для рассмотрения и устранения расхождений</w:t>
      </w:r>
      <w:r>
        <w:rPr>
          <w:rFonts w:cs="Times New Roman"/>
          <w:bCs/>
          <w:sz w:val="22"/>
          <w:szCs w:val="22"/>
        </w:rPr>
        <w:t>.</w:t>
      </w:r>
    </w:p>
    <w:p>
      <w:pPr>
        <w:pStyle w:val="Normal"/>
        <w:jc w:val="center"/>
        <w:rPr>
          <w:sz w:val="22"/>
          <w:szCs w:val="22"/>
        </w:rPr>
      </w:pPr>
      <w:r>
        <w:rPr>
          <w:b/>
          <w:sz w:val="22"/>
          <w:szCs w:val="22"/>
        </w:rPr>
        <w:t>4. Сроки и условия поставки</w:t>
      </w:r>
    </w:p>
    <w:p>
      <w:pPr>
        <w:pStyle w:val="Normal"/>
        <w:jc w:val="both"/>
        <w:rPr>
          <w:sz w:val="22"/>
          <w:szCs w:val="22"/>
        </w:rPr>
      </w:pPr>
      <w:r>
        <w:rPr>
          <w:sz w:val="22"/>
          <w:szCs w:val="22"/>
        </w:rPr>
        <w:t>4.1. Датой поставки считается дата подписания</w:t>
      </w:r>
      <w:r>
        <w:rPr>
          <w:sz w:val="22"/>
          <w:szCs w:val="22"/>
          <w:lang w:val="ru-RU"/>
        </w:rPr>
        <w:t xml:space="preserve"> Покупателем </w:t>
      </w:r>
      <w:r>
        <w:rPr>
          <w:rFonts w:cs="Times New Roman"/>
          <w:bCs/>
          <w:sz w:val="22"/>
          <w:szCs w:val="22"/>
          <w:lang w:val="ru-RU"/>
        </w:rPr>
        <w:t>Акта приемки (ф. 0510452)</w:t>
      </w:r>
      <w:r>
        <w:rPr>
          <w:sz w:val="22"/>
          <w:szCs w:val="22"/>
        </w:rPr>
        <w:t>. Право собственности на Товар переходит к Покупателю с дат</w:t>
      </w:r>
      <w:r>
        <w:rPr>
          <w:sz w:val="22"/>
          <w:szCs w:val="22"/>
          <w:lang w:val="ru-RU"/>
        </w:rPr>
        <w:t>ы</w:t>
      </w:r>
      <w:r>
        <w:rPr>
          <w:sz w:val="22"/>
          <w:szCs w:val="22"/>
        </w:rPr>
        <w:t xml:space="preserve"> подписания</w:t>
      </w:r>
      <w:r>
        <w:rPr>
          <w:sz w:val="22"/>
          <w:szCs w:val="22"/>
          <w:lang w:val="ru-RU"/>
        </w:rPr>
        <w:t xml:space="preserve"> Покупателем </w:t>
      </w:r>
      <w:r>
        <w:rPr>
          <w:rFonts w:cs="Times New Roman"/>
          <w:bCs/>
          <w:sz w:val="22"/>
          <w:szCs w:val="22"/>
          <w:lang w:val="ru-RU"/>
        </w:rPr>
        <w:t>Акта приемки (ф. 0510452)</w:t>
      </w:r>
    </w:p>
    <w:p>
      <w:pPr>
        <w:pStyle w:val="Normal"/>
        <w:jc w:val="both"/>
        <w:rPr>
          <w:sz w:val="22"/>
          <w:szCs w:val="22"/>
        </w:rPr>
      </w:pPr>
      <w:r>
        <w:rPr>
          <w:sz w:val="22"/>
          <w:szCs w:val="22"/>
        </w:rPr>
        <w:t xml:space="preserve">4.2 Поставка Товара в адрес Покупателя осуществляется в </w:t>
      </w:r>
      <w:r>
        <w:rPr>
          <w:sz w:val="22"/>
          <w:szCs w:val="22"/>
          <w:lang w:val="ru-RU"/>
        </w:rPr>
        <w:t>срок не более</w:t>
      </w:r>
      <w:r>
        <w:rPr>
          <w:sz w:val="22"/>
          <w:szCs w:val="22"/>
        </w:rPr>
        <w:t xml:space="preserve"> </w:t>
      </w:r>
      <w:r>
        <w:rPr>
          <w:sz w:val="22"/>
          <w:szCs w:val="22"/>
        </w:rPr>
        <w:t>5</w:t>
      </w:r>
      <w:r>
        <w:rPr>
          <w:sz w:val="22"/>
          <w:szCs w:val="22"/>
        </w:rPr>
        <w:t xml:space="preserve"> </w:t>
      </w:r>
      <w:r>
        <w:rPr>
          <w:sz w:val="22"/>
          <w:szCs w:val="22"/>
          <w:shd w:fill="FFFF00" w:val="clear"/>
          <w:lang w:val="ru-RU"/>
        </w:rPr>
        <w:t>календарных</w:t>
      </w:r>
      <w:r>
        <w:rPr>
          <w:sz w:val="22"/>
          <w:szCs w:val="22"/>
          <w:shd w:fill="FFFF00" w:val="clear"/>
        </w:rPr>
        <w:t xml:space="preserve"> дней</w:t>
      </w:r>
      <w:r>
        <w:rPr>
          <w:sz w:val="22"/>
          <w:szCs w:val="22"/>
        </w:rPr>
        <w:t xml:space="preserve"> </w:t>
      </w:r>
      <w:r>
        <w:rPr>
          <w:sz w:val="22"/>
          <w:szCs w:val="22"/>
          <w:lang w:val="ru-RU"/>
        </w:rPr>
        <w:t>с даты подписания договора на ЕАТ.</w:t>
      </w:r>
    </w:p>
    <w:p>
      <w:pPr>
        <w:pStyle w:val="Normal"/>
        <w:jc w:val="both"/>
        <w:rPr>
          <w:sz w:val="22"/>
          <w:szCs w:val="22"/>
        </w:rPr>
      </w:pPr>
      <w:r>
        <w:rPr>
          <w:sz w:val="22"/>
          <w:szCs w:val="22"/>
        </w:rPr>
        <w:t xml:space="preserve">4.3. Доставка Товара Покупателю производится Поставщиком по адресу: 249030, г. Обнинск, пр-т. </w:t>
      </w:r>
      <w:r>
        <w:rPr>
          <w:sz w:val="22"/>
          <w:szCs w:val="22"/>
          <w:lang w:val="ru-RU"/>
        </w:rPr>
        <w:t>Ленина д.85, корпус №9 (склад). В период с 9.00-16.00 (с 12-13 перерыв на обед).</w:t>
      </w:r>
    </w:p>
    <w:p>
      <w:pPr>
        <w:pStyle w:val="Normal"/>
        <w:jc w:val="both"/>
        <w:rPr>
          <w:sz w:val="22"/>
          <w:szCs w:val="22"/>
        </w:rPr>
      </w:pPr>
      <w:r>
        <w:rPr>
          <w:sz w:val="22"/>
          <w:szCs w:val="22"/>
          <w:lang w:val="ru-RU"/>
        </w:rPr>
        <w:t>4.4. При поставке товара Поставщик предоставляет Покупателю регистрационное удостоверение на мед изделие и документ, подтверждающий качество товара (декларация о соответствии/сертификат качества).</w:t>
      </w:r>
    </w:p>
    <w:p>
      <w:pPr>
        <w:pStyle w:val="Normal"/>
        <w:ind w:left="708" w:hanging="0"/>
        <w:jc w:val="center"/>
        <w:rPr>
          <w:sz w:val="22"/>
          <w:szCs w:val="22"/>
        </w:rPr>
      </w:pPr>
      <w:r>
        <w:rPr>
          <w:b/>
          <w:sz w:val="22"/>
          <w:szCs w:val="22"/>
        </w:rPr>
        <w:t>5. Принятие товара</w:t>
      </w:r>
    </w:p>
    <w:p>
      <w:pPr>
        <w:pStyle w:val="Normal"/>
        <w:jc w:val="both"/>
        <w:rPr>
          <w:sz w:val="22"/>
          <w:szCs w:val="22"/>
        </w:rPr>
      </w:pPr>
      <w:r>
        <w:rPr>
          <w:sz w:val="22"/>
          <w:szCs w:val="22"/>
        </w:rPr>
        <w:t>5.1. Покупатель обязан совершить все необходимые действия, обеспечивающие принятие Товара, поставляемого в соответствии с настоящим Договором.</w:t>
      </w:r>
    </w:p>
    <w:p>
      <w:pPr>
        <w:pStyle w:val="Normal"/>
        <w:jc w:val="both"/>
        <w:rPr>
          <w:sz w:val="22"/>
          <w:szCs w:val="22"/>
        </w:rPr>
      </w:pPr>
      <w:r>
        <w:rPr>
          <w:sz w:val="22"/>
          <w:szCs w:val="22"/>
        </w:rPr>
        <w:t xml:space="preserve">5.2. Принятый Покупателем Товар должен быть им осмотрен в </w:t>
      </w:r>
      <w:r>
        <w:rPr>
          <w:sz w:val="22"/>
          <w:szCs w:val="22"/>
          <w:lang w:val="ru-RU"/>
        </w:rPr>
        <w:t xml:space="preserve">течение 5 рабочих дней  с даты </w:t>
      </w:r>
      <w:r>
        <w:rPr>
          <w:sz w:val="22"/>
          <w:szCs w:val="22"/>
        </w:rPr>
        <w:t>вручения</w:t>
      </w:r>
      <w:r>
        <w:rPr>
          <w:sz w:val="22"/>
          <w:szCs w:val="22"/>
          <w:lang w:val="ru-RU"/>
        </w:rPr>
        <w:t xml:space="preserve"> покупателю товара и товаро-сопроводительных документов. </w:t>
      </w:r>
      <w:r>
        <w:rPr>
          <w:sz w:val="22"/>
          <w:szCs w:val="22"/>
        </w:rPr>
        <w:t>При выявлении недостатков или несоответствий Товара,</w:t>
      </w:r>
      <w:r>
        <w:rPr>
          <w:sz w:val="22"/>
          <w:szCs w:val="22"/>
          <w:lang w:val="ru-RU"/>
        </w:rPr>
        <w:t xml:space="preserve"> наличия ошибок в первичных учетных документах,  </w:t>
      </w:r>
      <w:r>
        <w:rPr>
          <w:sz w:val="22"/>
          <w:szCs w:val="22"/>
        </w:rPr>
        <w:t xml:space="preserve">Покупатель обязан в течение двух дней письменно уведомить Поставщика о выявленных недостатках </w:t>
      </w:r>
      <w:r>
        <w:rPr>
          <w:sz w:val="22"/>
          <w:szCs w:val="22"/>
          <w:lang w:val="ru-RU"/>
        </w:rPr>
        <w:t>с указанием срока их устранения</w:t>
      </w:r>
      <w:r>
        <w:rPr>
          <w:sz w:val="22"/>
          <w:szCs w:val="22"/>
        </w:rPr>
        <w:t>.</w:t>
      </w:r>
    </w:p>
    <w:p>
      <w:pPr>
        <w:pStyle w:val="Normal"/>
        <w:jc w:val="both"/>
        <w:rPr>
          <w:sz w:val="22"/>
          <w:szCs w:val="22"/>
        </w:rPr>
      </w:pPr>
      <w:r>
        <w:rPr>
          <w:sz w:val="22"/>
          <w:szCs w:val="22"/>
        </w:rPr>
        <w:t>5.3. В случае получения поставляемого Товара от транспортной организации Покупатель обязан проверить соответствие Товара сведениям, указанным в транспортных и сопроводительных документах, а также принять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pPr>
        <w:pStyle w:val="Normal"/>
        <w:jc w:val="both"/>
        <w:rPr>
          <w:sz w:val="22"/>
          <w:szCs w:val="22"/>
        </w:rPr>
      </w:pPr>
      <w:r>
        <w:rPr>
          <w:sz w:val="22"/>
          <w:szCs w:val="22"/>
        </w:rPr>
        <w:t>5.4. В случае отказа Покупателя от переданного Поставщиком Товара, Покупатель обязан обеспечить сохранность этого Товара (ответственное хранение) и в течение двух дней письменно уведомить Поставщика об отказе от переданного Товара.</w:t>
      </w:r>
    </w:p>
    <w:p>
      <w:pPr>
        <w:pStyle w:val="Normal"/>
        <w:jc w:val="both"/>
        <w:rPr>
          <w:sz w:val="22"/>
          <w:szCs w:val="22"/>
        </w:rPr>
      </w:pPr>
      <w:r>
        <w:rPr>
          <w:sz w:val="22"/>
          <w:szCs w:val="22"/>
        </w:rPr>
        <w:t xml:space="preserve">5.5. </w:t>
      </w:r>
      <w:r>
        <w:rPr>
          <w:sz w:val="22"/>
          <w:szCs w:val="22"/>
          <w:lang w:val="ru-RU"/>
        </w:rPr>
        <w:t>Поставщик самостоятельно и за свой счет забирает некачественный товар у Покупателя и осуществляет замену товара в течение 5 рабочих дней.</w:t>
      </w:r>
    </w:p>
    <w:p>
      <w:pPr>
        <w:pStyle w:val="Normal"/>
        <w:jc w:val="both"/>
        <w:rPr>
          <w:sz w:val="22"/>
          <w:szCs w:val="22"/>
        </w:rPr>
      </w:pPr>
      <w:r>
        <w:rPr>
          <w:sz w:val="22"/>
          <w:szCs w:val="22"/>
        </w:rPr>
      </w:r>
    </w:p>
    <w:p>
      <w:pPr>
        <w:pStyle w:val="Normal"/>
        <w:ind w:left="708" w:hanging="0"/>
        <w:jc w:val="center"/>
        <w:rPr>
          <w:sz w:val="22"/>
          <w:szCs w:val="22"/>
        </w:rPr>
      </w:pPr>
      <w:r>
        <w:rPr>
          <w:b/>
          <w:sz w:val="22"/>
          <w:szCs w:val="22"/>
        </w:rPr>
        <w:t>6. Качество товара</w:t>
      </w:r>
    </w:p>
    <w:p>
      <w:pPr>
        <w:pStyle w:val="Normal"/>
        <w:jc w:val="both"/>
        <w:rPr>
          <w:sz w:val="22"/>
          <w:szCs w:val="22"/>
        </w:rPr>
      </w:pPr>
      <w:r>
        <w:rPr>
          <w:sz w:val="22"/>
          <w:szCs w:val="22"/>
        </w:rPr>
        <w:t>6.1. Качество поставляемого Товара должно соответствовать нормативно-технической документации производителя/</w:t>
      </w:r>
      <w:r>
        <w:rPr>
          <w:sz w:val="22"/>
          <w:szCs w:val="22"/>
          <w:lang w:val="ru-RU"/>
        </w:rPr>
        <w:t>инструкции</w:t>
      </w:r>
      <w:r>
        <w:rPr>
          <w:sz w:val="22"/>
          <w:szCs w:val="22"/>
        </w:rPr>
        <w:t xml:space="preserve">. </w:t>
      </w:r>
      <w:r>
        <w:rPr>
          <w:sz w:val="22"/>
          <w:szCs w:val="22"/>
          <w:lang w:val="ru-RU"/>
        </w:rPr>
        <w:t>Документы, подтверждающие качество товара, поставщик предоставляет вместе с товаром.</w:t>
      </w:r>
    </w:p>
    <w:p>
      <w:pPr>
        <w:pStyle w:val="Normal"/>
        <w:jc w:val="both"/>
        <w:rPr>
          <w:sz w:val="22"/>
          <w:szCs w:val="22"/>
        </w:rPr>
      </w:pPr>
      <w:r>
        <w:rPr>
          <w:sz w:val="22"/>
          <w:szCs w:val="22"/>
        </w:rPr>
        <w:t xml:space="preserve">6.2.В случае </w:t>
      </w:r>
      <w:r>
        <w:rPr>
          <w:sz w:val="22"/>
          <w:szCs w:val="22"/>
          <w:lang w:val="ru-RU"/>
        </w:rPr>
        <w:t xml:space="preserve">обнаружения некачественного товара </w:t>
      </w:r>
      <w:r>
        <w:rPr>
          <w:sz w:val="22"/>
          <w:szCs w:val="22"/>
        </w:rPr>
        <w:t xml:space="preserve">и (или) </w:t>
      </w:r>
      <w:r>
        <w:rPr>
          <w:sz w:val="22"/>
          <w:szCs w:val="22"/>
          <w:lang w:val="ru-RU"/>
        </w:rPr>
        <w:t>нарушения ассортимента</w:t>
      </w:r>
      <w:r>
        <w:rPr>
          <w:sz w:val="22"/>
          <w:szCs w:val="22"/>
        </w:rPr>
        <w:t xml:space="preserve"> поставленного Товара, Стороны </w:t>
      </w:r>
      <w:r>
        <w:rPr>
          <w:sz w:val="22"/>
          <w:szCs w:val="22"/>
          <w:lang w:val="ru-RU"/>
        </w:rPr>
        <w:t>подписывают</w:t>
      </w:r>
      <w:r>
        <w:rPr>
          <w:sz w:val="22"/>
          <w:szCs w:val="22"/>
        </w:rPr>
        <w:t xml:space="preserve"> соглашение о замене Товара ненадлежащего качества или </w:t>
      </w:r>
      <w:r>
        <w:rPr>
          <w:sz w:val="22"/>
          <w:szCs w:val="22"/>
          <w:lang w:val="ru-RU"/>
        </w:rPr>
        <w:t xml:space="preserve">устранений нарушей в ассортименте </w:t>
      </w:r>
      <w:r>
        <w:rPr>
          <w:sz w:val="22"/>
          <w:szCs w:val="22"/>
        </w:rPr>
        <w:t xml:space="preserve">Товара </w:t>
      </w:r>
      <w:r>
        <w:rPr>
          <w:sz w:val="22"/>
          <w:szCs w:val="22"/>
          <w:lang w:val="ru-RU"/>
        </w:rPr>
        <w:t>с указанием срока исправления недостатков, который не может превышать 5 рабочих дней</w:t>
      </w:r>
      <w:r>
        <w:rPr>
          <w:sz w:val="22"/>
          <w:szCs w:val="22"/>
        </w:rPr>
        <w:t>.</w:t>
      </w:r>
    </w:p>
    <w:p>
      <w:pPr>
        <w:pStyle w:val="Normal"/>
        <w:jc w:val="both"/>
        <w:rPr>
          <w:sz w:val="22"/>
          <w:szCs w:val="22"/>
          <w:lang w:val="ru-RU"/>
        </w:rPr>
      </w:pPr>
      <w:r>
        <w:rPr>
          <w:sz w:val="22"/>
          <w:szCs w:val="22"/>
          <w:lang w:val="ru-RU"/>
        </w:rPr>
        <w:t>6.3. При поставке медицинских изделий поставщик предоставляет копию регистрационного удостоверения на медицинское изделие, документы, подтверждающие качество товара - вместе с документами о приемке товара.</w:t>
      </w:r>
    </w:p>
    <w:p>
      <w:pPr>
        <w:pStyle w:val="Normal"/>
        <w:jc w:val="both"/>
        <w:rPr>
          <w:sz w:val="22"/>
          <w:szCs w:val="22"/>
          <w:lang w:val="ru-RU"/>
        </w:rPr>
      </w:pPr>
      <w:r>
        <w:rPr>
          <w:sz w:val="22"/>
          <w:szCs w:val="22"/>
          <w:lang w:val="ru-RU"/>
        </w:rPr>
        <w:t>6.4.Приемка товара производится в течение 4 рабочих дней с даты поставки товара заказчику.</w:t>
      </w:r>
    </w:p>
    <w:p>
      <w:pPr>
        <w:pStyle w:val="Normal"/>
        <w:jc w:val="both"/>
        <w:rPr>
          <w:sz w:val="22"/>
          <w:szCs w:val="22"/>
        </w:rPr>
      </w:pPr>
      <w:r>
        <w:rPr>
          <w:sz w:val="22"/>
          <w:szCs w:val="22"/>
        </w:rPr>
      </w:r>
    </w:p>
    <w:p>
      <w:pPr>
        <w:pStyle w:val="Normal"/>
        <w:ind w:left="708" w:hanging="0"/>
        <w:jc w:val="center"/>
        <w:rPr>
          <w:sz w:val="22"/>
          <w:szCs w:val="22"/>
        </w:rPr>
      </w:pPr>
      <w:r>
        <w:rPr>
          <w:b/>
          <w:sz w:val="22"/>
          <w:szCs w:val="22"/>
        </w:rPr>
        <w:t>7. Ответственность сторон</w:t>
      </w:r>
    </w:p>
    <w:p>
      <w:pPr>
        <w:pStyle w:val="Normal"/>
        <w:jc w:val="both"/>
        <w:rPr>
          <w:sz w:val="22"/>
          <w:szCs w:val="22"/>
        </w:rPr>
      </w:pPr>
      <w:r>
        <w:rPr>
          <w:sz w:val="22"/>
          <w:szCs w:val="22"/>
        </w:rPr>
        <w:t>7.1. За неисполнение или ненадлежащее исполнение условий Договора Стороны несут ответственность в соответствии с действующим гражданским законодательством и условиями настоящего Договора.</w:t>
      </w:r>
    </w:p>
    <w:p>
      <w:pPr>
        <w:pStyle w:val="NormalWeb"/>
        <w:widowControl/>
        <w:spacing w:lineRule="atLeast" w:line="200" w:before="0" w:after="0"/>
        <w:ind w:firstLine="567"/>
        <w:jc w:val="both"/>
        <w:rPr>
          <w:sz w:val="22"/>
          <w:szCs w:val="22"/>
        </w:rPr>
      </w:pPr>
      <w:r>
        <w:rPr>
          <w:rFonts w:cs="Times New Roman"/>
          <w:sz w:val="22"/>
          <w:szCs w:val="22"/>
          <w:lang w:val="ru-RU"/>
        </w:rPr>
        <w:t>7.2. В</w:t>
      </w:r>
      <w:r>
        <w:rPr>
          <w:rFonts w:cs="Times New Roman"/>
          <w:color w:val="000000"/>
          <w:sz w:val="22"/>
          <w:szCs w:val="22"/>
          <w:lang w:val="ru-RU"/>
        </w:rPr>
        <w:t xml:space="preserve">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пеней).</w:t>
      </w:r>
    </w:p>
    <w:p>
      <w:pPr>
        <w:pStyle w:val="NormalWeb"/>
        <w:widowControl/>
        <w:spacing w:lineRule="atLeast" w:line="200" w:before="0" w:after="0"/>
        <w:ind w:firstLine="567"/>
        <w:jc w:val="both"/>
        <w:rPr>
          <w:sz w:val="22"/>
          <w:szCs w:val="22"/>
        </w:rPr>
      </w:pPr>
      <w:r>
        <w:rPr>
          <w:rFonts w:cs="Times New Roman"/>
          <w:color w:val="000000"/>
          <w:sz w:val="22"/>
          <w:szCs w:val="22"/>
          <w:lang w:val="ru-RU"/>
        </w:rPr>
        <w:t>7.3. Пеня начисляется за каждый день просрочки исполнения покупателем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Web"/>
        <w:widowControl/>
        <w:spacing w:lineRule="atLeast" w:line="200" w:before="0" w:after="0"/>
        <w:ind w:firstLine="567"/>
        <w:jc w:val="both"/>
        <w:rPr>
          <w:sz w:val="22"/>
          <w:szCs w:val="22"/>
        </w:rPr>
      </w:pPr>
      <w:r>
        <w:rPr>
          <w:rFonts w:cs="Times New Roman"/>
          <w:color w:val="000000"/>
          <w:sz w:val="22"/>
          <w:szCs w:val="22"/>
          <w:lang w:val="ru-RU"/>
        </w:rPr>
        <w:t>7.4.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Поставщик вправе взыскать с покупателя штраф в размере 1000 рублей. Общая сумма начисленной неустойки (штрафов, пени) за ненадлежащее исполнение покупателем обязательств, предусмотренных Договором, не может превышать цену Договора.</w:t>
      </w:r>
    </w:p>
    <w:p>
      <w:pPr>
        <w:pStyle w:val="NormalWeb"/>
        <w:widowControl/>
        <w:spacing w:lineRule="atLeast" w:line="200" w:before="0" w:after="0"/>
        <w:ind w:firstLine="567"/>
        <w:jc w:val="both"/>
        <w:rPr>
          <w:sz w:val="22"/>
          <w:szCs w:val="22"/>
        </w:rPr>
      </w:pPr>
      <w:r>
        <w:rPr>
          <w:rFonts w:cs="Times New Roman"/>
          <w:color w:val="000000"/>
          <w:sz w:val="22"/>
          <w:szCs w:val="22"/>
          <w:lang w:val="ru-RU"/>
        </w:rPr>
        <w:t>7.5.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направляет Поставщику требование об уплате неустоек (штрафов, пеней).</w:t>
      </w:r>
    </w:p>
    <w:p>
      <w:pPr>
        <w:pStyle w:val="NormalWeb"/>
        <w:widowControl/>
        <w:spacing w:lineRule="atLeast" w:line="200" w:before="0" w:after="0"/>
        <w:ind w:firstLine="567"/>
        <w:jc w:val="both"/>
        <w:rPr>
          <w:sz w:val="22"/>
          <w:szCs w:val="22"/>
        </w:rPr>
      </w:pPr>
      <w:r>
        <w:rPr>
          <w:rFonts w:cs="Times New Roman"/>
          <w:color w:val="000000"/>
          <w:sz w:val="22"/>
          <w:szCs w:val="22"/>
          <w:lang w:val="ru-RU"/>
        </w:rPr>
        <w:t>7.6.Пеня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обьему обязательств, предусмотренных договором и фактически исполненных поставщиком.</w:t>
      </w:r>
    </w:p>
    <w:p>
      <w:pPr>
        <w:pStyle w:val="NormalWeb"/>
        <w:widowControl/>
        <w:spacing w:lineRule="atLeast" w:line="200" w:before="0" w:after="0"/>
        <w:ind w:firstLine="567"/>
        <w:jc w:val="both"/>
        <w:rPr>
          <w:sz w:val="22"/>
          <w:szCs w:val="22"/>
        </w:rPr>
      </w:pPr>
      <w:r>
        <w:rPr>
          <w:rFonts w:cs="Times New Roman"/>
          <w:color w:val="000000"/>
          <w:sz w:val="22"/>
          <w:szCs w:val="22"/>
          <w:lang w:val="ru-RU"/>
        </w:rPr>
        <w:t>7.7.За каждый факт неисполнения Поставщиком обязательств, предусмотренных договором, за исключением просрочки исполнения обязательств, предусмотренных договором, покупатель вправе взыскать с Поставщика штраф в размере 1000 рублей. Общая сумма начисленной неустойки (штрафов, пени) за ненадлежащее исполнение поставщиком обязательств, предусмотренных Договором, не может превышать цену Договора.</w:t>
      </w:r>
    </w:p>
    <w:p>
      <w:pPr>
        <w:pStyle w:val="NormalWeb"/>
        <w:widowControl/>
        <w:spacing w:lineRule="atLeast" w:line="200" w:before="0" w:after="0"/>
        <w:ind w:firstLine="567"/>
        <w:jc w:val="both"/>
        <w:rPr>
          <w:rFonts w:cs="Times New Roman"/>
          <w:color w:val="000000"/>
          <w:lang w:val="ru-RU"/>
        </w:rPr>
      </w:pPr>
      <w:r>
        <w:rPr>
          <w:rFonts w:cs="Times New Roman"/>
          <w:color w:val="000000"/>
          <w:lang w:val="ru-RU"/>
        </w:rPr>
      </w:r>
    </w:p>
    <w:p>
      <w:pPr>
        <w:pStyle w:val="Normal"/>
        <w:ind w:left="708" w:hanging="0"/>
        <w:jc w:val="center"/>
        <w:rPr>
          <w:sz w:val="22"/>
          <w:szCs w:val="22"/>
        </w:rPr>
      </w:pPr>
      <w:r>
        <w:rPr>
          <w:b/>
          <w:sz w:val="22"/>
          <w:szCs w:val="22"/>
        </w:rPr>
        <w:t>8. Форс-мажорные обстоятельства</w:t>
      </w:r>
    </w:p>
    <w:p>
      <w:pPr>
        <w:pStyle w:val="Normal"/>
        <w:jc w:val="both"/>
        <w:rPr>
          <w:sz w:val="22"/>
          <w:szCs w:val="22"/>
        </w:rPr>
      </w:pPr>
      <w:r>
        <w:rPr>
          <w:sz w:val="22"/>
          <w:szCs w:val="22"/>
        </w:rPr>
        <w:t>8.1. Стороны освобождаются от ответственности за частичное или полное неисполнение своих обязательств по настоящему Договору, если их исполнению препятствует чрезвычайное и непреодолимое обстоятельство (непреодолимая сила), а именно: стихийные бедствия, наводнения, землетрясения, пожары, военные действия, забастовки, изменения законодательства, запрещающее экспортно-импортные операции.</w:t>
      </w:r>
    </w:p>
    <w:p>
      <w:pPr>
        <w:pStyle w:val="Normal"/>
        <w:jc w:val="both"/>
        <w:rPr>
          <w:sz w:val="22"/>
          <w:szCs w:val="22"/>
        </w:rPr>
      </w:pPr>
      <w:r>
        <w:rPr>
          <w:sz w:val="22"/>
          <w:szCs w:val="22"/>
        </w:rPr>
        <w:t>8.2. При возникновении обстоятельств непреодолимой силы, препятствующих исполнению обязательств по настоящему Договору одной из сторон, она обязана оповестить другую сторону в течение одного месяца с момента возникновения таких обстоятельств, при этом срок исполнения обязательств по настоящему Договору продлевается соразмерно времени, в течение которого действовали вышеуказанные обстоятельства.</w:t>
      </w:r>
    </w:p>
    <w:p>
      <w:pPr>
        <w:pStyle w:val="Normal"/>
        <w:jc w:val="both"/>
        <w:rPr>
          <w:sz w:val="22"/>
          <w:szCs w:val="22"/>
        </w:rPr>
      </w:pPr>
      <w:r>
        <w:rPr>
          <w:sz w:val="22"/>
          <w:szCs w:val="22"/>
        </w:rPr>
      </w:r>
    </w:p>
    <w:p>
      <w:pPr>
        <w:pStyle w:val="ListParagraph"/>
        <w:tabs>
          <w:tab w:val="clear" w:pos="706"/>
          <w:tab w:val="left" w:pos="1134" w:leader="none"/>
        </w:tabs>
        <w:ind w:left="0" w:hanging="0"/>
        <w:jc w:val="center"/>
        <w:rPr>
          <w:rFonts w:cs="Times New Roman"/>
          <w:b/>
          <w:b/>
          <w:sz w:val="22"/>
          <w:szCs w:val="22"/>
        </w:rPr>
      </w:pPr>
      <w:r>
        <w:rPr>
          <w:rFonts w:cs="Times New Roman"/>
          <w:b/>
          <w:sz w:val="22"/>
          <w:szCs w:val="22"/>
        </w:rPr>
        <w:t xml:space="preserve">9. </w:t>
      </w:r>
      <w:r>
        <w:rPr>
          <w:rFonts w:cs="Times New Roman"/>
          <w:b/>
          <w:sz w:val="22"/>
          <w:szCs w:val="22"/>
          <w:lang w:val="ru-RU"/>
        </w:rPr>
        <w:t>Разрешение споров</w:t>
      </w:r>
    </w:p>
    <w:p>
      <w:pPr>
        <w:pStyle w:val="ListParagraph"/>
        <w:tabs>
          <w:tab w:val="clear" w:pos="706"/>
          <w:tab w:val="left" w:pos="426" w:leader="none"/>
          <w:tab w:val="left" w:pos="1134" w:leader="none"/>
        </w:tabs>
        <w:ind w:left="0" w:firstLine="567"/>
        <w:jc w:val="both"/>
        <w:rPr>
          <w:sz w:val="22"/>
          <w:szCs w:val="22"/>
        </w:rPr>
      </w:pPr>
      <w:r>
        <w:rPr>
          <w:rFonts w:cs="Times New Roman"/>
          <w:sz w:val="22"/>
          <w:szCs w:val="22"/>
        </w:rPr>
        <w:t>9.1. Претензионный порядок досудебного урегулирования споров из настоящего Договора является для Сторон обязательным.</w:t>
      </w:r>
    </w:p>
    <w:p>
      <w:pPr>
        <w:pStyle w:val="ListParagraph"/>
        <w:tabs>
          <w:tab w:val="clear" w:pos="706"/>
          <w:tab w:val="left" w:pos="426" w:leader="none"/>
          <w:tab w:val="left" w:pos="1134" w:leader="none"/>
        </w:tabs>
        <w:ind w:left="0" w:hanging="0"/>
        <w:jc w:val="both"/>
        <w:rPr>
          <w:sz w:val="22"/>
          <w:szCs w:val="22"/>
        </w:rPr>
      </w:pPr>
      <w:r>
        <w:rPr>
          <w:rFonts w:cs="Times New Roman"/>
          <w:sz w:val="22"/>
          <w:szCs w:val="22"/>
        </w:rPr>
        <w:t>9.2. Претензионные письма направляются Сторонами любым из следующих способов и считаются полученными:</w:t>
      </w:r>
    </w:p>
    <w:p>
      <w:pPr>
        <w:pStyle w:val="ListParagraph"/>
        <w:tabs>
          <w:tab w:val="clear" w:pos="706"/>
          <w:tab w:val="left" w:pos="426" w:leader="none"/>
          <w:tab w:val="left" w:pos="1134" w:leader="none"/>
        </w:tabs>
        <w:ind w:left="360" w:hanging="0"/>
        <w:jc w:val="both"/>
        <w:rPr>
          <w:sz w:val="22"/>
          <w:szCs w:val="22"/>
        </w:rPr>
      </w:pPr>
      <w:r>
        <w:rPr>
          <w:rFonts w:cs="Times New Roman"/>
          <w:sz w:val="22"/>
          <w:szCs w:val="22"/>
        </w:rPr>
        <w:t xml:space="preserve"> </w:t>
      </w:r>
      <w:r>
        <w:rPr>
          <w:rFonts w:cs="Times New Roman"/>
          <w:sz w:val="22"/>
          <w:szCs w:val="22"/>
        </w:rPr>
        <w:t>- нарочным либо заказным почтовым отправлением с уведомлением о вручении последнего адресату по местонахождению Сторон, указанным в п. 11настоящего Договора.</w:t>
      </w:r>
    </w:p>
    <w:p>
      <w:pPr>
        <w:pStyle w:val="ListParagraph"/>
        <w:tabs>
          <w:tab w:val="clear" w:pos="706"/>
          <w:tab w:val="left" w:pos="426" w:leader="none"/>
          <w:tab w:val="left" w:pos="1134" w:leader="none"/>
        </w:tabs>
        <w:ind w:left="360" w:hanging="0"/>
        <w:jc w:val="both"/>
        <w:rPr>
          <w:sz w:val="22"/>
          <w:szCs w:val="22"/>
        </w:rPr>
      </w:pPr>
      <w:r>
        <w:rPr>
          <w:rFonts w:cs="Times New Roman"/>
          <w:sz w:val="22"/>
          <w:szCs w:val="22"/>
        </w:rPr>
        <w:t xml:space="preserve"> </w:t>
      </w:r>
      <w:r>
        <w:rPr>
          <w:rFonts w:cs="Times New Roman"/>
          <w:sz w:val="22"/>
          <w:szCs w:val="22"/>
        </w:rPr>
        <w:t>- по адресу электронной почты, указанной в п. 11 договора с последующим предоставлением оригинала документа нарочным или заказным почтовым отправлением с уведомлением о вручении последнего адресату по местонахождению Сторон, указанным в п. 11 настоящего Договора</w:t>
      </w:r>
    </w:p>
    <w:p>
      <w:pPr>
        <w:pStyle w:val="ListParagraph"/>
        <w:tabs>
          <w:tab w:val="clear" w:pos="706"/>
          <w:tab w:val="left" w:pos="426" w:leader="none"/>
          <w:tab w:val="left" w:pos="1134" w:leader="none"/>
        </w:tabs>
        <w:ind w:left="0" w:hanging="0"/>
        <w:jc w:val="both"/>
        <w:rPr>
          <w:sz w:val="22"/>
          <w:szCs w:val="22"/>
        </w:rPr>
      </w:pPr>
      <w:r>
        <w:rPr>
          <w:rFonts w:cs="Times New Roman"/>
          <w:sz w:val="22"/>
          <w:szCs w:val="22"/>
        </w:rPr>
        <w:t>9.3.Срок рассмотрения претензионного письма составляет 5 (пять) рабочих дней со дня получения последнего адресатом.</w:t>
      </w:r>
    </w:p>
    <w:p>
      <w:pPr>
        <w:pStyle w:val="ListParagraph"/>
        <w:tabs>
          <w:tab w:val="clear" w:pos="706"/>
          <w:tab w:val="left" w:pos="426" w:leader="none"/>
          <w:tab w:val="left" w:pos="1134" w:leader="none"/>
        </w:tabs>
        <w:ind w:left="0" w:hanging="0"/>
        <w:jc w:val="both"/>
        <w:rPr>
          <w:sz w:val="22"/>
          <w:szCs w:val="22"/>
        </w:rPr>
      </w:pPr>
      <w:r>
        <w:rPr>
          <w:rFonts w:cs="Times New Roman"/>
          <w:sz w:val="22"/>
          <w:szCs w:val="22"/>
        </w:rPr>
        <w:t>9.4.</w:t>
      </w:r>
      <w:r>
        <w:rPr>
          <w:rFonts w:cs="Times New Roman"/>
          <w:sz w:val="22"/>
          <w:szCs w:val="22"/>
          <w:lang w:val="ru-RU"/>
        </w:rPr>
        <w:t xml:space="preserve"> </w:t>
      </w:r>
      <w:r>
        <w:rPr>
          <w:rFonts w:cs="Times New Roman"/>
          <w:sz w:val="22"/>
          <w:szCs w:val="22"/>
        </w:rPr>
        <w:t>Все споры, разногласия или требования, возникающие при исполнении настоящего договора, Стороны будут стремиться решать путем переговоров. В случае если споры, разногласия или требования, возникающие из настоящего Договора или в связи с ним, не удалось решить путем переговоров, то они подлежат разрешению в Арбитражном суде Калужской области.</w:t>
      </w:r>
    </w:p>
    <w:p>
      <w:pPr>
        <w:pStyle w:val="Normal"/>
        <w:ind w:left="708" w:hanging="0"/>
        <w:jc w:val="center"/>
        <w:rPr>
          <w:b/>
          <w:b/>
          <w:sz w:val="22"/>
          <w:szCs w:val="22"/>
        </w:rPr>
      </w:pPr>
      <w:r>
        <w:rPr>
          <w:b/>
          <w:sz w:val="22"/>
          <w:szCs w:val="22"/>
        </w:rPr>
      </w:r>
    </w:p>
    <w:p>
      <w:pPr>
        <w:pStyle w:val="Normal"/>
        <w:ind w:left="708" w:hanging="0"/>
        <w:jc w:val="center"/>
        <w:rPr>
          <w:sz w:val="22"/>
          <w:szCs w:val="22"/>
        </w:rPr>
      </w:pPr>
      <w:r>
        <w:rPr>
          <w:b/>
          <w:sz w:val="22"/>
          <w:szCs w:val="22"/>
        </w:rPr>
        <w:t>10. Изменение, дополнение, прекращение и расторжение договора</w:t>
      </w:r>
    </w:p>
    <w:p>
      <w:pPr>
        <w:pStyle w:val="Normal"/>
        <w:jc w:val="both"/>
        <w:rPr>
          <w:sz w:val="22"/>
          <w:szCs w:val="22"/>
        </w:rPr>
      </w:pPr>
      <w:r>
        <w:rPr>
          <w:sz w:val="22"/>
          <w:szCs w:val="22"/>
        </w:rPr>
        <w:t>10.1. Условия настоящего Договора могут быть изменены или дополнены только по письменному соглашению Сторон. Все сканированные копии подписанных документов, которыми обменивались стороны по электронной почте имеют юридическую силу до получения оригиналов этих документов.</w:t>
      </w:r>
    </w:p>
    <w:p>
      <w:pPr>
        <w:pStyle w:val="Normal"/>
        <w:jc w:val="both"/>
        <w:rPr>
          <w:sz w:val="22"/>
          <w:szCs w:val="22"/>
        </w:rPr>
      </w:pPr>
      <w:r>
        <w:rPr>
          <w:sz w:val="22"/>
          <w:szCs w:val="22"/>
        </w:rPr>
        <w:t xml:space="preserve">10.2. Настоящий Договор может быть прекращен или расторгнут в порядке и по основаниям, предусмотренным действующим законодательством Российской Федерации. </w:t>
      </w:r>
      <w:r>
        <w:rPr>
          <w:rFonts w:cs="Times New Roman"/>
          <w:sz w:val="22"/>
          <w:szCs w:val="22"/>
        </w:rPr>
        <w:t>Договор может быть расторгнут по соглашению сторон.</w:t>
      </w:r>
    </w:p>
    <w:p>
      <w:pPr>
        <w:pStyle w:val="Normal"/>
        <w:jc w:val="both"/>
        <w:rPr>
          <w:sz w:val="22"/>
          <w:szCs w:val="22"/>
        </w:rPr>
      </w:pPr>
      <w:r>
        <w:rPr>
          <w:rFonts w:cs="Times New Roman"/>
          <w:sz w:val="22"/>
          <w:szCs w:val="22"/>
        </w:rPr>
        <w:t xml:space="preserve">10.3. </w:t>
      </w:r>
      <w:r>
        <w:rPr>
          <w:rFonts w:cs="Times New Roman"/>
          <w:sz w:val="22"/>
          <w:szCs w:val="22"/>
          <w:lang w:val="ru-RU"/>
        </w:rPr>
        <w:t>Покупатель</w:t>
      </w:r>
      <w:r>
        <w:rPr>
          <w:rFonts w:cs="Times New Roman"/>
          <w:sz w:val="22"/>
          <w:szCs w:val="22"/>
        </w:rPr>
        <w:t xml:space="preserve"> вправе отказаться от исполнения Договора в одностороннем внесудебном порядке с уведомлением поставщика за 5 календарных дней по реквизитам в п. 11 в случаях:</w:t>
      </w:r>
    </w:p>
    <w:p>
      <w:pPr>
        <w:pStyle w:val="Normal"/>
        <w:widowControl/>
        <w:shd w:val="clear" w:color="auto" w:fill="FFFFFF"/>
        <w:jc w:val="both"/>
        <w:rPr>
          <w:sz w:val="22"/>
          <w:szCs w:val="22"/>
        </w:rPr>
      </w:pPr>
      <w:r>
        <w:rPr>
          <w:rFonts w:cs="Times New Roman"/>
          <w:sz w:val="22"/>
          <w:szCs w:val="22"/>
        </w:rPr>
        <w:t xml:space="preserve">- Поставки Товара ненадлежащего качества с недостатками, которые не могут быть устранены в приемлемый для </w:t>
      </w:r>
      <w:r>
        <w:rPr>
          <w:rFonts w:cs="Times New Roman"/>
          <w:sz w:val="22"/>
          <w:szCs w:val="22"/>
          <w:lang w:val="ru-RU"/>
        </w:rPr>
        <w:t>покупателя</w:t>
      </w:r>
      <w:r>
        <w:rPr>
          <w:rFonts w:cs="Times New Roman"/>
          <w:sz w:val="22"/>
          <w:szCs w:val="22"/>
        </w:rPr>
        <w:t xml:space="preserve"> срок.</w:t>
      </w:r>
    </w:p>
    <w:p>
      <w:pPr>
        <w:pStyle w:val="Normal"/>
        <w:jc w:val="both"/>
        <w:rPr>
          <w:sz w:val="22"/>
          <w:szCs w:val="22"/>
        </w:rPr>
      </w:pPr>
      <w:r>
        <w:rPr>
          <w:rFonts w:cs="Times New Roman"/>
          <w:sz w:val="22"/>
          <w:szCs w:val="22"/>
        </w:rPr>
        <w:t>- Неоднократного нарушения Поставщиком сроков поставки Товара</w:t>
      </w:r>
    </w:p>
    <w:p>
      <w:pPr>
        <w:pStyle w:val="Normal"/>
        <w:numPr>
          <w:ilvl w:val="0"/>
          <w:numId w:val="0"/>
        </w:numPr>
        <w:ind w:left="0" w:hanging="0"/>
        <w:outlineLvl w:val="0"/>
        <w:rPr>
          <w:sz w:val="22"/>
          <w:szCs w:val="22"/>
        </w:rPr>
      </w:pPr>
      <w:r>
        <w:rPr>
          <w:rFonts w:cs="Times New Roman"/>
          <w:sz w:val="22"/>
          <w:szCs w:val="22"/>
        </w:rPr>
        <w:t xml:space="preserve">10.4. </w:t>
      </w:r>
      <w:r>
        <w:rPr>
          <w:sz w:val="22"/>
          <w:szCs w:val="22"/>
        </w:rPr>
        <w:t xml:space="preserve">В случае изменения у одной из сторон юридического адреса, названия </w:t>
      </w:r>
      <w:r>
        <w:rPr>
          <w:sz w:val="22"/>
          <w:szCs w:val="22"/>
          <w:lang w:val="ru-RU"/>
        </w:rPr>
        <w:t>юр лица</w:t>
      </w:r>
      <w:r>
        <w:rPr>
          <w:sz w:val="22"/>
          <w:szCs w:val="22"/>
        </w:rPr>
        <w:t>, банковских реквизитов и/</w:t>
      </w:r>
      <w:r>
        <w:rPr>
          <w:sz w:val="22"/>
          <w:szCs w:val="22"/>
          <w:lang w:val="ru-RU"/>
        </w:rPr>
        <w:t>или</w:t>
      </w:r>
      <w:r>
        <w:rPr>
          <w:sz w:val="22"/>
          <w:szCs w:val="22"/>
        </w:rPr>
        <w:t xml:space="preserve"> </w:t>
      </w:r>
      <w:r>
        <w:rPr>
          <w:sz w:val="22"/>
          <w:szCs w:val="22"/>
          <w:lang w:val="ru-RU"/>
        </w:rPr>
        <w:t>иных реквизитов</w:t>
      </w:r>
      <w:r>
        <w:rPr>
          <w:sz w:val="22"/>
          <w:szCs w:val="22"/>
        </w:rPr>
        <w:t xml:space="preserve"> она обязана в течение 3 (</w:t>
      </w:r>
      <w:r>
        <w:rPr>
          <w:sz w:val="22"/>
          <w:szCs w:val="22"/>
          <w:lang w:val="ru-RU"/>
        </w:rPr>
        <w:t>трех</w:t>
      </w:r>
      <w:r>
        <w:rPr>
          <w:sz w:val="22"/>
          <w:szCs w:val="22"/>
        </w:rPr>
        <w:t>) дней письменно известить об этом другую сторону.</w:t>
        <w:br/>
        <w:t>10.5. Настоящий Договор составлен в двух экземплярах, имеющих одинаковую юридическую силу, по одному экземпляру для каждой из сторон.</w:t>
      </w:r>
    </w:p>
    <w:p>
      <w:pPr>
        <w:pStyle w:val="Normal"/>
        <w:numPr>
          <w:ilvl w:val="0"/>
          <w:numId w:val="0"/>
        </w:numPr>
        <w:ind w:left="0" w:hanging="0"/>
        <w:outlineLvl w:val="0"/>
        <w:rPr>
          <w:sz w:val="22"/>
          <w:szCs w:val="22"/>
        </w:rPr>
      </w:pPr>
      <w:r>
        <w:rPr>
          <w:sz w:val="22"/>
          <w:szCs w:val="22"/>
        </w:rPr>
        <w:t xml:space="preserve">10.6. </w:t>
      </w:r>
      <w:r>
        <w:rPr>
          <w:sz w:val="22"/>
          <w:szCs w:val="22"/>
          <w:lang w:val="ru-RU"/>
        </w:rPr>
        <w:t>Приложения:</w:t>
      </w:r>
    </w:p>
    <w:p>
      <w:pPr>
        <w:pStyle w:val="Normal"/>
        <w:numPr>
          <w:ilvl w:val="0"/>
          <w:numId w:val="0"/>
        </w:numPr>
        <w:ind w:left="0" w:hanging="0"/>
        <w:outlineLvl w:val="0"/>
        <w:rPr>
          <w:sz w:val="22"/>
          <w:szCs w:val="22"/>
        </w:rPr>
      </w:pPr>
      <w:r>
        <w:rPr>
          <w:sz w:val="22"/>
          <w:szCs w:val="22"/>
          <w:lang w:val="ru-RU"/>
        </w:rPr>
        <w:t>Приложение №1 — Спецификация</w:t>
      </w:r>
    </w:p>
    <w:p>
      <w:pPr>
        <w:pStyle w:val="Normal"/>
        <w:numPr>
          <w:ilvl w:val="0"/>
          <w:numId w:val="0"/>
        </w:numPr>
        <w:ind w:left="0" w:hanging="0"/>
        <w:outlineLvl w:val="0"/>
        <w:rPr>
          <w:sz w:val="22"/>
          <w:szCs w:val="22"/>
        </w:rPr>
      </w:pPr>
      <w:r>
        <w:rPr>
          <w:sz w:val="22"/>
          <w:szCs w:val="22"/>
        </w:rPr>
      </w:r>
    </w:p>
    <w:p>
      <w:pPr>
        <w:pStyle w:val="Normal"/>
        <w:numPr>
          <w:ilvl w:val="0"/>
          <w:numId w:val="0"/>
        </w:numPr>
        <w:ind w:left="0" w:hanging="0"/>
        <w:outlineLvl w:val="0"/>
        <w:rPr>
          <w:lang w:val="ru-RU"/>
        </w:rPr>
      </w:pPr>
      <w:r>
        <w:rPr>
          <w:lang w:val="ru-RU"/>
        </w:rPr>
      </w:r>
    </w:p>
    <w:p>
      <w:pPr>
        <w:pStyle w:val="Normal"/>
        <w:numPr>
          <w:ilvl w:val="0"/>
          <w:numId w:val="0"/>
        </w:numPr>
        <w:ind w:left="0" w:hanging="0"/>
        <w:outlineLvl w:val="0"/>
        <w:rPr>
          <w:lang w:val="ru-RU"/>
        </w:rPr>
      </w:pPr>
      <w:r>
        <w:rPr>
          <w:lang w:val="ru-RU"/>
        </w:rPr>
      </w:r>
    </w:p>
    <w:p>
      <w:pPr>
        <w:pStyle w:val="Normal"/>
        <w:numPr>
          <w:ilvl w:val="0"/>
          <w:numId w:val="0"/>
        </w:numPr>
        <w:ind w:left="0" w:hanging="0"/>
        <w:outlineLvl w:val="0"/>
        <w:rPr>
          <w:lang w:val="ru-RU"/>
        </w:rPr>
      </w:pPr>
      <w:r>
        <w:rPr>
          <w:lang w:val="ru-RU"/>
        </w:rPr>
      </w:r>
    </w:p>
    <w:p>
      <w:pPr>
        <w:pStyle w:val="Normal"/>
        <w:numPr>
          <w:ilvl w:val="0"/>
          <w:numId w:val="0"/>
        </w:numPr>
        <w:ind w:left="0" w:hanging="0"/>
        <w:outlineLvl w:val="0"/>
        <w:rPr>
          <w:lang w:val="ru-RU"/>
        </w:rPr>
      </w:pPr>
      <w:r>
        <w:rPr>
          <w:lang w:val="ru-RU"/>
        </w:rPr>
      </w:r>
    </w:p>
    <w:p>
      <w:pPr>
        <w:pStyle w:val="Normal"/>
        <w:numPr>
          <w:ilvl w:val="0"/>
          <w:numId w:val="0"/>
        </w:numPr>
        <w:ind w:left="0" w:hanging="0"/>
        <w:outlineLvl w:val="0"/>
        <w:rPr>
          <w:lang w:val="ru-RU"/>
        </w:rPr>
      </w:pPr>
      <w:r>
        <w:rPr>
          <w:lang w:val="ru-RU"/>
        </w:rPr>
      </w:r>
    </w:p>
    <w:p>
      <w:pPr>
        <w:pStyle w:val="Normal"/>
        <w:numPr>
          <w:ilvl w:val="0"/>
          <w:numId w:val="0"/>
        </w:numPr>
        <w:ind w:left="0" w:hanging="0"/>
        <w:outlineLvl w:val="0"/>
        <w:rPr>
          <w:lang w:val="ru-RU"/>
        </w:rPr>
      </w:pPr>
      <w:r>
        <w:rPr>
          <w:lang w:val="ru-RU"/>
        </w:rPr>
      </w:r>
    </w:p>
    <w:p>
      <w:pPr>
        <w:pStyle w:val="Normal"/>
        <w:numPr>
          <w:ilvl w:val="0"/>
          <w:numId w:val="0"/>
        </w:numPr>
        <w:ind w:left="0" w:hanging="0"/>
        <w:outlineLvl w:val="0"/>
        <w:rPr>
          <w:lang w:val="ru-RU"/>
        </w:rPr>
      </w:pPr>
      <w:r>
        <w:rPr>
          <w:lang w:val="ru-RU"/>
        </w:rPr>
      </w:r>
    </w:p>
    <w:p>
      <w:pPr>
        <w:pStyle w:val="Normal"/>
        <w:ind w:left="708" w:hanging="0"/>
        <w:jc w:val="center"/>
        <w:rPr>
          <w:sz w:val="22"/>
          <w:szCs w:val="22"/>
        </w:rPr>
      </w:pPr>
      <w:r>
        <w:rPr>
          <w:b/>
          <w:sz w:val="22"/>
          <w:szCs w:val="22"/>
        </w:rPr>
        <w:t>11. Адреса и реквизиты сторон</w:t>
      </w:r>
    </w:p>
    <w:p>
      <w:pPr>
        <w:pStyle w:val="Normal"/>
        <w:rPr>
          <w:sz w:val="22"/>
          <w:szCs w:val="22"/>
        </w:rPr>
      </w:pPr>
      <w:r>
        <w:rPr>
          <w:b/>
          <w:bCs/>
          <w:sz w:val="22"/>
          <w:szCs w:val="22"/>
        </w:rPr>
        <w:t>Поставщик:</w:t>
        <w:tab/>
      </w:r>
      <w:r>
        <w:rPr>
          <w:sz w:val="22"/>
          <w:szCs w:val="22"/>
        </w:rPr>
        <w:tab/>
        <w:tab/>
        <w:tab/>
        <w:tab/>
        <w:tab/>
        <w:t xml:space="preserve">             Покупатель:</w:t>
      </w:r>
    </w:p>
    <w:p>
      <w:pPr>
        <w:pStyle w:val="Normal"/>
        <w:rPr>
          <w:b/>
          <w:b/>
          <w:sz w:val="22"/>
          <w:szCs w:val="22"/>
        </w:rPr>
      </w:pPr>
      <w:r>
        <w:rPr>
          <w:b/>
          <w:sz w:val="22"/>
          <w:szCs w:val="22"/>
        </w:rPr>
      </w:r>
    </w:p>
    <w:tbl>
      <w:tblPr>
        <w:tblW w:w="11078" w:type="dxa"/>
        <w:jc w:val="left"/>
        <w:tblInd w:w="-291" w:type="dxa"/>
        <w:tblLayout w:type="fixed"/>
        <w:tblCellMar>
          <w:top w:w="0" w:type="dxa"/>
          <w:left w:w="108" w:type="dxa"/>
          <w:bottom w:w="0" w:type="dxa"/>
          <w:right w:w="108" w:type="dxa"/>
        </w:tblCellMar>
        <w:tblLook w:firstRow="0" w:noVBand="0" w:lastRow="0" w:firstColumn="0" w:lastColumn="0" w:noHBand="0" w:val="0000"/>
      </w:tblPr>
      <w:tblGrid>
        <w:gridCol w:w="5338"/>
        <w:gridCol w:w="5739"/>
      </w:tblGrid>
      <w:tr>
        <w:trPr>
          <w:trHeight w:val="3601" w:hRule="atLeast"/>
        </w:trPr>
        <w:tc>
          <w:tcPr>
            <w:tcW w:w="5338" w:type="dxa"/>
            <w:tcBorders/>
          </w:tcPr>
          <w:p>
            <w:pPr>
              <w:pStyle w:val="NoSpacing"/>
              <w:widowControl w:val="false"/>
              <w:jc w:val="center"/>
              <w:rPr>
                <w:sz w:val="20"/>
                <w:szCs w:val="20"/>
              </w:rPr>
            </w:pPr>
            <w:r>
              <w:rPr>
                <w:sz w:val="20"/>
                <w:szCs w:val="20"/>
              </w:rPr>
            </w:r>
          </w:p>
          <w:p>
            <w:pPr>
              <w:pStyle w:val="NoSpacing"/>
              <w:widowControl w:val="false"/>
              <w:tabs>
                <w:tab w:val="clear" w:pos="706"/>
                <w:tab w:val="left" w:pos="6560" w:leader="none"/>
              </w:tabs>
              <w:snapToGrid w:val="false"/>
              <w:spacing w:lineRule="auto" w:line="276"/>
              <w:rPr>
                <w:rFonts w:eastAsia="Arial Unicode MS" w:cs="Times New Roman"/>
                <w:b/>
                <w:b/>
                <w:bCs/>
                <w:sz w:val="22"/>
                <w:szCs w:val="22"/>
                <w:lang w:eastAsia="ru-RU"/>
              </w:rPr>
            </w:pPr>
            <w:r>
              <w:rPr>
                <w:rFonts w:eastAsia="Arial Unicode MS" w:cs="Times New Roman"/>
                <w:b/>
                <w:bCs/>
                <w:sz w:val="22"/>
                <w:szCs w:val="22"/>
                <w:lang w:eastAsia="ru-RU"/>
              </w:rPr>
            </w:r>
          </w:p>
        </w:tc>
        <w:tc>
          <w:tcPr>
            <w:tcW w:w="5739" w:type="dxa"/>
            <w:tcBorders/>
          </w:tcPr>
          <w:p>
            <w:pPr>
              <w:pStyle w:val="Normal"/>
              <w:widowControl w:val="false"/>
              <w:ind w:left="34" w:hanging="0"/>
              <w:rPr>
                <w:sz w:val="22"/>
                <w:szCs w:val="22"/>
              </w:rPr>
            </w:pPr>
            <w:r>
              <w:rPr>
                <w:b/>
                <w:sz w:val="22"/>
                <w:szCs w:val="22"/>
              </w:rPr>
              <w:t>ФГБУЗ  КБ № 8 ФМБА  России</w:t>
            </w:r>
          </w:p>
          <w:p>
            <w:pPr>
              <w:pStyle w:val="Style18"/>
              <w:widowControl w:val="false"/>
              <w:spacing w:before="0" w:after="0"/>
              <w:rPr>
                <w:sz w:val="22"/>
                <w:szCs w:val="22"/>
              </w:rPr>
            </w:pPr>
            <w:r>
              <w:rPr>
                <w:sz w:val="22"/>
                <w:szCs w:val="22"/>
              </w:rPr>
              <w:t>249034, Россия, Калужская обл.</w:t>
            </w:r>
          </w:p>
          <w:p>
            <w:pPr>
              <w:pStyle w:val="Style18"/>
              <w:widowControl w:val="false"/>
              <w:spacing w:before="0" w:after="0"/>
              <w:rPr>
                <w:sz w:val="22"/>
                <w:szCs w:val="22"/>
              </w:rPr>
            </w:pPr>
            <w:r>
              <w:rPr>
                <w:sz w:val="22"/>
                <w:szCs w:val="22"/>
              </w:rPr>
              <w:t>г. Обнинск, пр.Ленина,85</w:t>
            </w:r>
          </w:p>
          <w:p>
            <w:pPr>
              <w:pStyle w:val="Style18"/>
              <w:widowControl w:val="false"/>
              <w:spacing w:before="0" w:after="0"/>
              <w:rPr>
                <w:sz w:val="22"/>
                <w:szCs w:val="22"/>
              </w:rPr>
            </w:pPr>
            <w:r>
              <w:rPr>
                <w:sz w:val="22"/>
                <w:szCs w:val="22"/>
              </w:rPr>
              <w:t>КПП – 402501001</w:t>
            </w:r>
          </w:p>
          <w:p>
            <w:pPr>
              <w:pStyle w:val="Style18"/>
              <w:widowControl w:val="false"/>
              <w:spacing w:before="0" w:after="0"/>
              <w:rPr>
                <w:sz w:val="22"/>
                <w:szCs w:val="22"/>
              </w:rPr>
            </w:pPr>
            <w:r>
              <w:rPr>
                <w:sz w:val="22"/>
                <w:szCs w:val="22"/>
              </w:rPr>
              <w:t>ИНН- 4025002173</w:t>
            </w:r>
          </w:p>
          <w:p>
            <w:pPr>
              <w:pStyle w:val="Style18"/>
              <w:widowControl w:val="false"/>
              <w:spacing w:before="0" w:after="0"/>
              <w:rPr>
                <w:sz w:val="22"/>
                <w:szCs w:val="22"/>
              </w:rPr>
            </w:pPr>
            <w:r>
              <w:rPr>
                <w:sz w:val="22"/>
                <w:szCs w:val="22"/>
              </w:rPr>
              <w:t>ОГРН 1024000940919 ОКТМО 29</w:t>
            </w:r>
            <w:r>
              <w:rPr>
                <w:sz w:val="22"/>
                <w:szCs w:val="22"/>
                <w:lang w:val="en-US"/>
              </w:rPr>
              <w:t> </w:t>
            </w:r>
            <w:r>
              <w:rPr>
                <w:sz w:val="22"/>
                <w:szCs w:val="22"/>
              </w:rPr>
              <w:t>715 000</w:t>
            </w:r>
          </w:p>
          <w:p>
            <w:pPr>
              <w:pStyle w:val="Style18"/>
              <w:widowControl w:val="false"/>
              <w:spacing w:before="0" w:after="0"/>
              <w:rPr>
                <w:sz w:val="22"/>
                <w:szCs w:val="22"/>
              </w:rPr>
            </w:pPr>
            <w:r>
              <w:rPr>
                <w:sz w:val="22"/>
                <w:szCs w:val="22"/>
              </w:rPr>
              <w:t>ОКЦ №9 ГУ Банка России по ЦФО//УФК по Калужской области г. Калуга</w:t>
            </w:r>
          </w:p>
          <w:p>
            <w:pPr>
              <w:pStyle w:val="Style18"/>
              <w:widowControl w:val="false"/>
              <w:spacing w:before="0" w:after="0"/>
              <w:rPr>
                <w:sz w:val="22"/>
                <w:szCs w:val="22"/>
              </w:rPr>
            </w:pPr>
            <w:r>
              <w:rPr>
                <w:sz w:val="22"/>
                <w:szCs w:val="22"/>
              </w:rPr>
              <w:t>Казначейский счет– 03214643000000013700 (УФК по Калужской области)</w:t>
            </w:r>
          </w:p>
          <w:p>
            <w:pPr>
              <w:pStyle w:val="Style18"/>
              <w:widowControl w:val="false"/>
              <w:spacing w:before="0" w:after="0"/>
              <w:rPr>
                <w:sz w:val="22"/>
                <w:szCs w:val="22"/>
              </w:rPr>
            </w:pPr>
            <w:r>
              <w:rPr>
                <w:sz w:val="22"/>
                <w:szCs w:val="22"/>
              </w:rPr>
              <w:t>л/с 22376У24990,21376У24990,20376У24990</w:t>
            </w:r>
          </w:p>
          <w:p>
            <w:pPr>
              <w:pStyle w:val="Style18"/>
              <w:widowControl w:val="false"/>
              <w:spacing w:before="0" w:after="0"/>
              <w:rPr>
                <w:sz w:val="22"/>
                <w:szCs w:val="22"/>
              </w:rPr>
            </w:pPr>
            <w:r>
              <w:rPr>
                <w:sz w:val="22"/>
                <w:szCs w:val="22"/>
              </w:rPr>
              <w:t>Единый казначейский счет 40102810045370000030</w:t>
            </w:r>
          </w:p>
          <w:p>
            <w:pPr>
              <w:pStyle w:val="Style18"/>
              <w:widowControl w:val="false"/>
              <w:spacing w:before="0" w:after="0"/>
              <w:rPr>
                <w:sz w:val="22"/>
                <w:szCs w:val="22"/>
              </w:rPr>
            </w:pPr>
            <w:r>
              <w:rPr>
                <w:sz w:val="22"/>
                <w:szCs w:val="22"/>
              </w:rPr>
              <w:t>БИК ТОФК- 012908002</w:t>
            </w:r>
          </w:p>
          <w:p>
            <w:pPr>
              <w:pStyle w:val="Style18"/>
              <w:widowControl w:val="false"/>
              <w:spacing w:before="0" w:after="0"/>
              <w:jc w:val="both"/>
              <w:rPr>
                <w:sz w:val="22"/>
                <w:szCs w:val="22"/>
              </w:rPr>
            </w:pPr>
            <w:r>
              <w:rPr>
                <w:bCs/>
                <w:sz w:val="22"/>
                <w:szCs w:val="22"/>
              </w:rPr>
              <w:t>Тел. (48439) 6-85-85, 6-17-05 факс (48439) 6-17-05</w:t>
            </w:r>
          </w:p>
          <w:p>
            <w:pPr>
              <w:pStyle w:val="Normal"/>
              <w:widowControl w:val="false"/>
              <w:rPr>
                <w:sz w:val="20"/>
                <w:szCs w:val="20"/>
              </w:rPr>
            </w:pPr>
            <w:r>
              <w:rPr>
                <w:sz w:val="20"/>
                <w:szCs w:val="20"/>
              </w:rPr>
              <w:t>e-mail: kb8.obninsk@gmail.com</w:t>
            </w:r>
          </w:p>
          <w:p>
            <w:pPr>
              <w:pStyle w:val="Normal"/>
              <w:keepNext w:val="true"/>
              <w:widowControl w:val="false"/>
              <w:snapToGrid w:val="false"/>
              <w:jc w:val="both"/>
              <w:rPr>
                <w:sz w:val="20"/>
                <w:szCs w:val="20"/>
              </w:rPr>
            </w:pPr>
            <w:r>
              <w:rPr>
                <w:bCs/>
                <w:sz w:val="20"/>
                <w:szCs w:val="20"/>
              </w:rPr>
              <w:t>e-mail: kb8.ks@mail.ru</w:t>
            </w:r>
          </w:p>
        </w:tc>
      </w:tr>
      <w:tr>
        <w:trPr>
          <w:trHeight w:val="1296" w:hRule="atLeast"/>
        </w:trPr>
        <w:tc>
          <w:tcPr>
            <w:tcW w:w="5338" w:type="dxa"/>
            <w:tcBorders/>
          </w:tcPr>
          <w:p>
            <w:pPr>
              <w:pStyle w:val="Normal"/>
              <w:widowControl w:val="false"/>
              <w:rPr>
                <w:sz w:val="22"/>
                <w:szCs w:val="22"/>
                <w:lang w:val="en-US"/>
              </w:rPr>
            </w:pPr>
            <w:r>
              <w:rPr>
                <w:sz w:val="22"/>
                <w:szCs w:val="22"/>
                <w:lang w:val="en-US"/>
              </w:rPr>
            </w:r>
          </w:p>
          <w:p>
            <w:pPr>
              <w:pStyle w:val="Normal"/>
              <w:widowControl w:val="false"/>
              <w:rPr>
                <w:b/>
                <w:b/>
                <w:bCs/>
                <w:sz w:val="22"/>
                <w:szCs w:val="22"/>
                <w:lang w:val="ru-RU"/>
              </w:rPr>
            </w:pPr>
            <w:r>
              <w:rPr>
                <w:b/>
                <w:bCs/>
                <w:sz w:val="22"/>
                <w:szCs w:val="22"/>
                <w:lang w:val="ru-RU"/>
              </w:rPr>
            </w:r>
          </w:p>
          <w:p>
            <w:pPr>
              <w:pStyle w:val="Normal"/>
              <w:widowControl w:val="false"/>
              <w:ind w:left="252" w:hanging="0"/>
              <w:rPr>
                <w:sz w:val="22"/>
                <w:szCs w:val="22"/>
              </w:rPr>
            </w:pPr>
            <w:r>
              <w:rPr>
                <w:sz w:val="22"/>
                <w:szCs w:val="22"/>
              </w:rPr>
            </w:r>
          </w:p>
          <w:p>
            <w:pPr>
              <w:pStyle w:val="Normal"/>
              <w:widowControl w:val="false"/>
              <w:ind w:left="252" w:hanging="0"/>
              <w:rPr>
                <w:sz w:val="22"/>
                <w:szCs w:val="22"/>
              </w:rPr>
            </w:pPr>
            <w:r>
              <w:rPr>
                <w:sz w:val="22"/>
                <w:szCs w:val="22"/>
              </w:rPr>
              <w:t xml:space="preserve"> </w:t>
            </w:r>
            <w:r>
              <w:rPr>
                <w:b/>
                <w:sz w:val="22"/>
                <w:szCs w:val="22"/>
              </w:rPr>
              <w:t>________________</w:t>
            </w:r>
            <w:r>
              <w:rPr>
                <w:sz w:val="22"/>
                <w:szCs w:val="22"/>
              </w:rPr>
              <w:t xml:space="preserve"> /</w:t>
            </w:r>
            <w:r>
              <w:rPr>
                <w:sz w:val="22"/>
                <w:szCs w:val="22"/>
                <w:lang w:val="ru-RU"/>
              </w:rPr>
              <w:t>____________</w:t>
            </w:r>
            <w:r>
              <w:rPr>
                <w:b/>
                <w:sz w:val="22"/>
                <w:szCs w:val="22"/>
                <w:lang w:val="ru-RU"/>
              </w:rPr>
              <w:t>/</w:t>
            </w:r>
          </w:p>
          <w:p>
            <w:pPr>
              <w:pStyle w:val="Normal"/>
              <w:widowControl w:val="false"/>
              <w:ind w:left="252" w:hanging="0"/>
              <w:rPr>
                <w:sz w:val="22"/>
                <w:szCs w:val="22"/>
              </w:rPr>
            </w:pPr>
            <w:r>
              <w:rPr>
                <w:b/>
                <w:sz w:val="22"/>
                <w:szCs w:val="22"/>
              </w:rPr>
              <w:t xml:space="preserve">                 </w:t>
            </w:r>
            <w:r>
              <w:rPr>
                <w:sz w:val="22"/>
                <w:szCs w:val="22"/>
              </w:rPr>
              <w:t>М. п.</w:t>
            </w:r>
          </w:p>
        </w:tc>
        <w:tc>
          <w:tcPr>
            <w:tcW w:w="5739" w:type="dxa"/>
            <w:tcBorders/>
          </w:tcPr>
          <w:p>
            <w:pPr>
              <w:pStyle w:val="Normal"/>
              <w:widowControl w:val="false"/>
              <w:ind w:left="34" w:hanging="0"/>
              <w:rPr>
                <w:sz w:val="22"/>
                <w:szCs w:val="22"/>
              </w:rPr>
            </w:pPr>
            <w:r>
              <w:rPr>
                <w:sz w:val="22"/>
                <w:szCs w:val="22"/>
              </w:rPr>
            </w:r>
          </w:p>
          <w:p>
            <w:pPr>
              <w:pStyle w:val="Normal"/>
              <w:widowControl w:val="false"/>
              <w:ind w:left="34" w:hanging="0"/>
              <w:rPr>
                <w:sz w:val="22"/>
                <w:szCs w:val="22"/>
              </w:rPr>
            </w:pPr>
            <w:r>
              <w:rPr>
                <w:b/>
                <w:sz w:val="22"/>
                <w:szCs w:val="22"/>
                <w:lang w:val="ru-RU"/>
              </w:rPr>
              <w:t>И.о.</w:t>
            </w:r>
            <w:r>
              <w:rPr>
                <w:b/>
                <w:sz w:val="22"/>
                <w:szCs w:val="22"/>
                <w:lang w:val="ru-RU"/>
              </w:rPr>
              <w:t>Главн</w:t>
            </w:r>
            <w:r>
              <w:rPr>
                <w:b/>
                <w:sz w:val="22"/>
                <w:szCs w:val="22"/>
                <w:lang w:val="ru-RU"/>
              </w:rPr>
              <w:t>ого</w:t>
            </w:r>
            <w:r>
              <w:rPr>
                <w:b/>
                <w:sz w:val="22"/>
                <w:szCs w:val="22"/>
                <w:lang w:val="ru-RU"/>
              </w:rPr>
              <w:t xml:space="preserve"> врач</w:t>
            </w:r>
            <w:r>
              <w:rPr>
                <w:b/>
                <w:sz w:val="22"/>
                <w:szCs w:val="22"/>
                <w:lang w:val="ru-RU"/>
              </w:rPr>
              <w:t>а</w:t>
            </w:r>
          </w:p>
          <w:p>
            <w:pPr>
              <w:pStyle w:val="Normal"/>
              <w:widowControl w:val="false"/>
              <w:ind w:left="34" w:hanging="0"/>
              <w:rPr>
                <w:sz w:val="22"/>
                <w:szCs w:val="22"/>
              </w:rPr>
            </w:pPr>
            <w:r>
              <w:rPr>
                <w:b/>
                <w:sz w:val="22"/>
                <w:szCs w:val="22"/>
              </w:rPr>
              <w:t>ФГБУЗ КБ № 8 ФМБА  России</w:t>
            </w:r>
          </w:p>
          <w:p>
            <w:pPr>
              <w:pStyle w:val="Normal"/>
              <w:widowControl w:val="false"/>
              <w:ind w:left="34" w:hanging="0"/>
              <w:rPr>
                <w:b/>
                <w:b/>
                <w:sz w:val="22"/>
                <w:szCs w:val="22"/>
              </w:rPr>
            </w:pPr>
            <w:r>
              <w:rPr>
                <w:b/>
                <w:sz w:val="22"/>
                <w:szCs w:val="22"/>
              </w:rPr>
            </w:r>
          </w:p>
          <w:p>
            <w:pPr>
              <w:pStyle w:val="Normal"/>
              <w:widowControl w:val="false"/>
              <w:ind w:left="34" w:hanging="0"/>
              <w:rPr>
                <w:sz w:val="22"/>
                <w:szCs w:val="22"/>
              </w:rPr>
            </w:pPr>
            <w:r>
              <w:rPr>
                <w:b/>
                <w:sz w:val="22"/>
                <w:szCs w:val="22"/>
              </w:rPr>
              <w:t xml:space="preserve">   </w:t>
            </w:r>
            <w:r>
              <w:rPr>
                <w:sz w:val="22"/>
                <w:szCs w:val="22"/>
              </w:rPr>
              <w:t xml:space="preserve"> </w:t>
            </w:r>
            <w:r>
              <w:rPr>
                <w:sz w:val="22"/>
                <w:szCs w:val="22"/>
              </w:rPr>
              <w:t>_______________ /</w:t>
            </w:r>
            <w:r>
              <w:rPr>
                <w:sz w:val="22"/>
                <w:szCs w:val="22"/>
              </w:rPr>
              <w:t>А.</w:t>
            </w:r>
            <w:r>
              <w:rPr>
                <w:sz w:val="22"/>
                <w:szCs w:val="22"/>
                <w:lang w:val="ru-RU"/>
              </w:rPr>
              <w:t>С.Индин</w:t>
            </w:r>
            <w:r>
              <w:rPr>
                <w:sz w:val="22"/>
                <w:szCs w:val="22"/>
                <w:lang w:val="ru-RU"/>
              </w:rPr>
              <w:t>/</w:t>
            </w:r>
          </w:p>
          <w:p>
            <w:pPr>
              <w:pStyle w:val="Normal"/>
              <w:widowControl w:val="false"/>
              <w:ind w:left="34" w:hanging="0"/>
              <w:rPr>
                <w:sz w:val="22"/>
                <w:szCs w:val="22"/>
              </w:rPr>
            </w:pPr>
            <w:r>
              <w:rPr>
                <w:sz w:val="22"/>
                <w:szCs w:val="22"/>
              </w:rPr>
              <w:t xml:space="preserve">                    </w:t>
            </w:r>
            <w:r>
              <w:rPr>
                <w:sz w:val="22"/>
                <w:szCs w:val="22"/>
              </w:rPr>
              <w:t>М. п.</w:t>
            </w:r>
          </w:p>
        </w:tc>
      </w:tr>
    </w:tbl>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jc w:val="right"/>
        <w:rPr>
          <w:b/>
          <w:b/>
        </w:rPr>
      </w:pPr>
      <w:r>
        <w:rPr>
          <w:b/>
        </w:rPr>
      </w:r>
    </w:p>
    <w:p>
      <w:pPr>
        <w:pStyle w:val="Normal"/>
        <w:jc w:val="right"/>
        <w:rPr>
          <w:b/>
          <w:b/>
        </w:rPr>
      </w:pPr>
      <w:r>
        <w:rPr>
          <w:b/>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b/>
          <w:sz w:val="22"/>
          <w:szCs w:val="22"/>
        </w:rPr>
        <w:t xml:space="preserve">Приложение №1 </w:t>
      </w:r>
    </w:p>
    <w:p>
      <w:pPr>
        <w:pStyle w:val="Normal"/>
        <w:tabs>
          <w:tab w:val="clear" w:pos="706"/>
          <w:tab w:val="left" w:pos="1560" w:leader="none"/>
        </w:tabs>
        <w:jc w:val="right"/>
        <w:rPr>
          <w:sz w:val="22"/>
          <w:szCs w:val="22"/>
        </w:rPr>
      </w:pPr>
      <w:r>
        <w:rPr>
          <w:b/>
          <w:sz w:val="22"/>
          <w:szCs w:val="22"/>
        </w:rPr>
        <w:t xml:space="preserve">к Договору поставки </w:t>
      </w:r>
    </w:p>
    <w:p>
      <w:pPr>
        <w:pStyle w:val="Normal"/>
        <w:tabs>
          <w:tab w:val="clear" w:pos="706"/>
          <w:tab w:val="left" w:pos="1560" w:leader="none"/>
        </w:tabs>
        <w:jc w:val="right"/>
        <w:rPr>
          <w:sz w:val="22"/>
          <w:szCs w:val="22"/>
        </w:rPr>
      </w:pPr>
      <w:r>
        <w:rPr>
          <w:b/>
          <w:sz w:val="22"/>
          <w:szCs w:val="22"/>
        </w:rPr>
        <w:t>№</w:t>
      </w:r>
      <w:r>
        <w:rPr>
          <w:b/>
          <w:sz w:val="22"/>
          <w:szCs w:val="22"/>
        </w:rPr>
        <w:t>390</w:t>
      </w:r>
      <w:r>
        <w:rPr>
          <w:b/>
          <w:sz w:val="22"/>
          <w:szCs w:val="22"/>
        </w:rPr>
        <w:t xml:space="preserve"> </w:t>
      </w:r>
      <w:r>
        <w:rPr>
          <w:b/>
          <w:sz w:val="22"/>
          <w:szCs w:val="22"/>
          <w:lang w:val="ru-RU"/>
        </w:rPr>
        <w:t>-</w:t>
      </w:r>
      <w:r>
        <w:rPr>
          <w:b/>
          <w:sz w:val="22"/>
          <w:szCs w:val="22"/>
        </w:rPr>
        <w:t>26-</w:t>
      </w:r>
      <w:r>
        <w:rPr>
          <w:b/>
          <w:sz w:val="22"/>
          <w:szCs w:val="22"/>
          <w:lang w:val="ru-RU"/>
        </w:rPr>
        <w:t>МЗ</w:t>
      </w:r>
    </w:p>
    <w:p>
      <w:pPr>
        <w:pStyle w:val="Normal"/>
        <w:jc w:val="right"/>
        <w:rPr>
          <w:sz w:val="22"/>
          <w:szCs w:val="22"/>
        </w:rPr>
      </w:pPr>
      <w:r>
        <w:rPr>
          <w:b/>
          <w:sz w:val="22"/>
          <w:szCs w:val="22"/>
        </w:rPr>
        <w:t xml:space="preserve">от </w:t>
      </w:r>
      <w:r>
        <w:rPr>
          <w:b/>
          <w:sz w:val="22"/>
          <w:szCs w:val="22"/>
          <w:lang w:val="ru-RU"/>
        </w:rPr>
        <w:t>______________</w:t>
      </w:r>
      <w:r>
        <w:rPr>
          <w:b/>
          <w:sz w:val="22"/>
          <w:szCs w:val="22"/>
        </w:rPr>
        <w:t xml:space="preserve"> года.</w:t>
      </w:r>
    </w:p>
    <w:p>
      <w:pPr>
        <w:pStyle w:val="Normal"/>
        <w:jc w:val="center"/>
        <w:rPr>
          <w:sz w:val="22"/>
          <w:szCs w:val="22"/>
        </w:rPr>
      </w:pPr>
      <w:r>
        <w:rPr>
          <w:b/>
          <w:sz w:val="22"/>
          <w:szCs w:val="22"/>
        </w:rPr>
        <w:t>СПЕЦИФИКАЦИЯ</w:t>
      </w:r>
    </w:p>
    <w:p>
      <w:pPr>
        <w:pStyle w:val="Normal"/>
        <w:jc w:val="center"/>
        <w:rPr>
          <w:b/>
          <w:b/>
          <w:sz w:val="22"/>
          <w:szCs w:val="22"/>
        </w:rPr>
      </w:pPr>
      <w:r>
        <w:rPr>
          <w:b/>
          <w:sz w:val="22"/>
          <w:szCs w:val="22"/>
        </w:rPr>
      </w:r>
    </w:p>
    <w:tbl>
      <w:tblPr>
        <w:tblW w:w="10436" w:type="dxa"/>
        <w:jc w:val="left"/>
        <w:tblInd w:w="0" w:type="dxa"/>
        <w:tblLayout w:type="fixed"/>
        <w:tblCellMar>
          <w:top w:w="0" w:type="dxa"/>
          <w:left w:w="30" w:type="dxa"/>
          <w:bottom w:w="0" w:type="dxa"/>
          <w:right w:w="0" w:type="dxa"/>
        </w:tblCellMar>
        <w:tblLook w:firstRow="1" w:noVBand="1" w:lastRow="0" w:firstColumn="1" w:lastColumn="0" w:noHBand="0" w:val="04a0"/>
      </w:tblPr>
      <w:tblGrid>
        <w:gridCol w:w="57"/>
        <w:gridCol w:w="192"/>
        <w:gridCol w:w="182"/>
        <w:gridCol w:w="487"/>
        <w:gridCol w:w="487"/>
        <w:gridCol w:w="484"/>
        <w:gridCol w:w="51"/>
        <w:gridCol w:w="557"/>
        <w:gridCol w:w="265"/>
        <w:gridCol w:w="102"/>
        <w:gridCol w:w="166"/>
        <w:gridCol w:w="261"/>
        <w:gridCol w:w="263"/>
        <w:gridCol w:w="241"/>
        <w:gridCol w:w="265"/>
        <w:gridCol w:w="241"/>
        <w:gridCol w:w="263"/>
        <w:gridCol w:w="240"/>
        <w:gridCol w:w="239"/>
        <w:gridCol w:w="237"/>
        <w:gridCol w:w="234"/>
        <w:gridCol w:w="234"/>
        <w:gridCol w:w="228"/>
        <w:gridCol w:w="53"/>
        <w:gridCol w:w="180"/>
        <w:gridCol w:w="49"/>
        <w:gridCol w:w="410"/>
        <w:gridCol w:w="47"/>
        <w:gridCol w:w="166"/>
        <w:gridCol w:w="58"/>
        <w:gridCol w:w="571"/>
        <w:gridCol w:w="49"/>
        <w:gridCol w:w="380"/>
        <w:gridCol w:w="221"/>
        <w:gridCol w:w="207"/>
        <w:gridCol w:w="387"/>
        <w:gridCol w:w="229"/>
        <w:gridCol w:w="240"/>
        <w:gridCol w:w="225"/>
        <w:gridCol w:w="207"/>
        <w:gridCol w:w="202"/>
        <w:gridCol w:w="314"/>
        <w:gridCol w:w="61"/>
        <w:gridCol w:w="167"/>
        <w:gridCol w:w="34"/>
      </w:tblGrid>
      <w:tr>
        <w:trPr/>
        <w:tc>
          <w:tcPr>
            <w:tcW w:w="57"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192"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182"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487"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487"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484"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51"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557"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5"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8" w:type="dxa"/>
            <w:gridSpan w:val="2"/>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1"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3"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41"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5"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41"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3"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40"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39"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37"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34"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34"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28"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33" w:type="dxa"/>
            <w:gridSpan w:val="2"/>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49"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410"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13" w:type="dxa"/>
            <w:gridSpan w:val="2"/>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58"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571"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49"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380"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21"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07"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616" w:type="dxa"/>
            <w:gridSpan w:val="2"/>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40"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25"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07"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02"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542" w:type="dxa"/>
            <w:gridSpan w:val="3"/>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34" w:type="dxa"/>
            <w:tcBorders/>
          </w:tcPr>
          <w:p>
            <w:pPr>
              <w:pStyle w:val="Normal"/>
              <w:widowControl w:val="false"/>
              <w:rPr>
                <w:sz w:val="22"/>
                <w:szCs w:val="22"/>
              </w:rPr>
            </w:pPr>
            <w:r>
              <w:rPr>
                <w:sz w:val="22"/>
                <w:szCs w:val="22"/>
              </w:rPr>
            </w:r>
          </w:p>
        </w:tc>
      </w:tr>
      <w:tr>
        <w:trPr>
          <w:trHeight w:val="255" w:hRule="atLeast"/>
        </w:trPr>
        <w:tc>
          <w:tcPr>
            <w:tcW w:w="57" w:type="dxa"/>
            <w:tcBorders/>
            <w:vAlign w:val="center"/>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374" w:type="dxa"/>
            <w:gridSpan w:val="2"/>
            <w:tcBorders>
              <w:top w:val="single" w:sz="12" w:space="0" w:color="000000"/>
              <w:left w:val="single" w:sz="12" w:space="0" w:color="000000"/>
              <w:bottom w:val="single" w:sz="6" w:space="0" w:color="000000"/>
              <w:right w:val="single" w:sz="6" w:space="0" w:color="000000"/>
            </w:tcBorders>
            <w:vAlign w:val="center"/>
          </w:tcPr>
          <w:p>
            <w:pPr>
              <w:pStyle w:val="Normal"/>
              <w:widowControl w:val="false"/>
              <w:suppressAutoHyphens w:val="false"/>
              <w:overflowPunct w:val="false"/>
              <w:jc w:val="center"/>
              <w:rPr>
                <w:sz w:val="22"/>
                <w:szCs w:val="22"/>
              </w:rPr>
            </w:pPr>
            <w:r>
              <w:rPr>
                <w:rFonts w:eastAsia="Times New Roman" w:cs="Arial" w:ascii="Arial" w:hAnsi="Arial"/>
                <w:b/>
                <w:bCs/>
                <w:kern w:val="0"/>
                <w:sz w:val="22"/>
                <w:szCs w:val="22"/>
                <w:lang w:val="ru-RU" w:eastAsia="ru-RU" w:bidi="ar-SA"/>
              </w:rPr>
              <w:t>№</w:t>
            </w:r>
          </w:p>
        </w:tc>
        <w:tc>
          <w:tcPr>
            <w:tcW w:w="2433" w:type="dxa"/>
            <w:gridSpan w:val="7"/>
            <w:tcBorders>
              <w:top w:val="single" w:sz="12" w:space="0" w:color="000000"/>
              <w:left w:val="single" w:sz="6" w:space="0" w:color="000000"/>
              <w:bottom w:val="single" w:sz="6" w:space="0" w:color="000000"/>
              <w:right w:val="single" w:sz="6" w:space="0" w:color="000000"/>
            </w:tcBorders>
            <w:vAlign w:val="center"/>
          </w:tcPr>
          <w:p>
            <w:pPr>
              <w:pStyle w:val="Normal"/>
              <w:widowControl w:val="false"/>
              <w:suppressAutoHyphens w:val="false"/>
              <w:overflowPunct w:val="false"/>
              <w:jc w:val="center"/>
              <w:rPr>
                <w:sz w:val="22"/>
                <w:szCs w:val="22"/>
              </w:rPr>
            </w:pPr>
            <w:r>
              <w:rPr>
                <w:rFonts w:eastAsia="Times New Roman" w:cs="Arial" w:ascii="Arial" w:hAnsi="Arial"/>
                <w:b/>
                <w:bCs/>
                <w:kern w:val="0"/>
                <w:sz w:val="22"/>
                <w:szCs w:val="22"/>
                <w:lang w:val="ru-RU" w:eastAsia="ru-RU" w:bidi="ar-SA"/>
              </w:rPr>
              <w:t>Наименование товара</w:t>
            </w:r>
          </w:p>
        </w:tc>
        <w:tc>
          <w:tcPr>
            <w:tcW w:w="3165" w:type="dxa"/>
            <w:gridSpan w:val="14"/>
            <w:tcBorders>
              <w:top w:val="single" w:sz="12" w:space="0" w:color="000000"/>
              <w:left w:val="single" w:sz="6" w:space="0" w:color="000000"/>
              <w:bottom w:val="single" w:sz="6" w:space="0" w:color="000000"/>
              <w:right w:val="single" w:sz="6" w:space="0" w:color="000000"/>
            </w:tcBorders>
            <w:vAlign w:val="center"/>
          </w:tcPr>
          <w:p>
            <w:pPr>
              <w:pStyle w:val="Normal"/>
              <w:widowControl w:val="false"/>
              <w:suppressAutoHyphens w:val="false"/>
              <w:overflowPunct w:val="false"/>
              <w:jc w:val="center"/>
              <w:rPr>
                <w:sz w:val="22"/>
                <w:szCs w:val="22"/>
              </w:rPr>
            </w:pPr>
            <w:r>
              <w:rPr>
                <w:rFonts w:eastAsia="Times New Roman" w:cs="Arial" w:ascii="Arial" w:hAnsi="Arial"/>
                <w:b/>
                <w:bCs/>
                <w:kern w:val="0"/>
                <w:sz w:val="22"/>
                <w:szCs w:val="22"/>
                <w:lang w:val="ru-RU" w:eastAsia="ru-RU" w:bidi="ar-SA"/>
              </w:rPr>
              <w:t>Характеристики товара</w:t>
            </w:r>
          </w:p>
        </w:tc>
        <w:tc>
          <w:tcPr>
            <w:tcW w:w="686" w:type="dxa"/>
            <w:gridSpan w:val="4"/>
            <w:tcBorders>
              <w:top w:val="single" w:sz="12" w:space="0" w:color="000000"/>
              <w:left w:val="single" w:sz="6" w:space="0" w:color="000000"/>
              <w:bottom w:val="single" w:sz="6" w:space="0" w:color="000000"/>
              <w:right w:val="single" w:sz="6" w:space="0" w:color="000000"/>
            </w:tcBorders>
            <w:vAlign w:val="center"/>
          </w:tcPr>
          <w:p>
            <w:pPr>
              <w:pStyle w:val="Normal"/>
              <w:widowControl w:val="false"/>
              <w:suppressAutoHyphens w:val="false"/>
              <w:overflowPunct w:val="false"/>
              <w:jc w:val="center"/>
              <w:rPr>
                <w:sz w:val="22"/>
                <w:szCs w:val="22"/>
              </w:rPr>
            </w:pPr>
            <w:r>
              <w:rPr>
                <w:rFonts w:eastAsia="Times New Roman" w:cs="Arial" w:ascii="Arial" w:hAnsi="Arial"/>
                <w:b/>
                <w:bCs/>
                <w:kern w:val="0"/>
                <w:sz w:val="22"/>
                <w:szCs w:val="22"/>
                <w:lang w:val="ru-RU" w:eastAsia="ru-RU" w:bidi="ar-SA"/>
              </w:rPr>
              <w:t>Кол-во</w:t>
            </w:r>
          </w:p>
        </w:tc>
        <w:tc>
          <w:tcPr>
            <w:tcW w:w="795" w:type="dxa"/>
            <w:gridSpan w:val="3"/>
            <w:tcBorders>
              <w:top w:val="single" w:sz="12" w:space="0" w:color="000000"/>
              <w:left w:val="single" w:sz="6" w:space="0" w:color="000000"/>
              <w:bottom w:val="single" w:sz="6" w:space="0" w:color="000000"/>
              <w:right w:val="single" w:sz="6" w:space="0" w:color="000000"/>
            </w:tcBorders>
            <w:vAlign w:val="center"/>
          </w:tcPr>
          <w:p>
            <w:pPr>
              <w:pStyle w:val="Normal"/>
              <w:widowControl w:val="false"/>
              <w:suppressAutoHyphens w:val="false"/>
              <w:overflowPunct w:val="false"/>
              <w:jc w:val="center"/>
              <w:rPr>
                <w:sz w:val="22"/>
                <w:szCs w:val="22"/>
              </w:rPr>
            </w:pPr>
            <w:r>
              <w:rPr>
                <w:rFonts w:eastAsia="Times New Roman" w:cs="Arial" w:ascii="Arial" w:hAnsi="Arial"/>
                <w:b/>
                <w:bCs/>
                <w:kern w:val="0"/>
                <w:sz w:val="22"/>
                <w:szCs w:val="22"/>
                <w:lang w:val="ru-RU" w:eastAsia="ru-RU" w:bidi="ar-SA"/>
              </w:rPr>
              <w:t>Ед.</w:t>
            </w:r>
          </w:p>
        </w:tc>
        <w:tc>
          <w:tcPr>
            <w:tcW w:w="1244" w:type="dxa"/>
            <w:gridSpan w:val="5"/>
            <w:tcBorders>
              <w:top w:val="single" w:sz="12" w:space="0" w:color="000000"/>
              <w:left w:val="single" w:sz="6" w:space="0" w:color="000000"/>
              <w:bottom w:val="single" w:sz="6" w:space="0" w:color="000000"/>
              <w:right w:val="single" w:sz="6" w:space="0" w:color="000000"/>
            </w:tcBorders>
            <w:vAlign w:val="center"/>
          </w:tcPr>
          <w:p>
            <w:pPr>
              <w:pStyle w:val="Normal"/>
              <w:widowControl w:val="false"/>
              <w:suppressAutoHyphens w:val="false"/>
              <w:overflowPunct w:val="false"/>
              <w:jc w:val="center"/>
              <w:rPr>
                <w:sz w:val="22"/>
                <w:szCs w:val="22"/>
              </w:rPr>
            </w:pPr>
            <w:r>
              <w:rPr>
                <w:rFonts w:eastAsia="Times New Roman" w:cs="Arial" w:ascii="Arial" w:hAnsi="Arial"/>
                <w:b/>
                <w:bCs/>
                <w:kern w:val="0"/>
                <w:sz w:val="22"/>
                <w:szCs w:val="22"/>
                <w:lang w:val="ru-RU" w:eastAsia="ru-RU" w:bidi="ar-SA"/>
              </w:rPr>
              <w:t>Цена,руб</w:t>
            </w:r>
          </w:p>
        </w:tc>
        <w:tc>
          <w:tcPr>
            <w:tcW w:w="1417" w:type="dxa"/>
            <w:gridSpan w:val="6"/>
            <w:tcBorders>
              <w:top w:val="single" w:sz="12" w:space="0" w:color="000000"/>
              <w:left w:val="single" w:sz="6" w:space="0" w:color="000000"/>
              <w:bottom w:val="single" w:sz="6" w:space="0" w:color="000000"/>
              <w:right w:val="single" w:sz="12" w:space="0" w:color="000000"/>
            </w:tcBorders>
            <w:vAlign w:val="center"/>
          </w:tcPr>
          <w:p>
            <w:pPr>
              <w:pStyle w:val="Normal"/>
              <w:widowControl w:val="false"/>
              <w:suppressAutoHyphens w:val="false"/>
              <w:overflowPunct w:val="false"/>
              <w:jc w:val="center"/>
              <w:rPr>
                <w:sz w:val="22"/>
                <w:szCs w:val="22"/>
              </w:rPr>
            </w:pPr>
            <w:r>
              <w:rPr>
                <w:rFonts w:eastAsia="Times New Roman" w:cs="Arial" w:ascii="Arial" w:hAnsi="Arial"/>
                <w:b/>
                <w:bCs/>
                <w:kern w:val="0"/>
                <w:sz w:val="22"/>
                <w:szCs w:val="22"/>
                <w:lang w:val="ru-RU" w:eastAsia="ru-RU" w:bidi="ar-SA"/>
              </w:rPr>
              <w:t>Сумма, руб</w:t>
            </w:r>
          </w:p>
        </w:tc>
        <w:tc>
          <w:tcPr>
            <w:tcW w:w="61" w:type="dxa"/>
            <w:tcBorders/>
            <w:vAlign w:val="center"/>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167" w:type="dxa"/>
            <w:tcBorders/>
          </w:tcPr>
          <w:p>
            <w:pPr>
              <w:pStyle w:val="Normal"/>
              <w:widowControl w:val="false"/>
              <w:rPr/>
            </w:pPr>
            <w:r>
              <w:rPr/>
            </w:r>
          </w:p>
        </w:tc>
        <w:tc>
          <w:tcPr>
            <w:tcW w:w="34" w:type="dxa"/>
            <w:tcBorders/>
          </w:tcPr>
          <w:p>
            <w:pPr>
              <w:pStyle w:val="Normal"/>
              <w:widowControl w:val="false"/>
              <w:rPr/>
            </w:pPr>
            <w:r>
              <w:rPr/>
            </w:r>
          </w:p>
        </w:tc>
      </w:tr>
      <w:tr>
        <w:trPr>
          <w:trHeight w:val="435" w:hRule="atLeast"/>
        </w:trPr>
        <w:tc>
          <w:tcPr>
            <w:tcW w:w="57" w:type="dxa"/>
            <w:tcBorders/>
            <w:vAlign w:val="center"/>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374" w:type="dxa"/>
            <w:gridSpan w:val="2"/>
            <w:tcBorders>
              <w:top w:val="single" w:sz="6" w:space="0" w:color="000000"/>
              <w:left w:val="single" w:sz="12" w:space="0" w:color="000000"/>
              <w:bottom w:val="single" w:sz="6" w:space="0" w:color="000000"/>
              <w:right w:val="single" w:sz="6" w:space="0" w:color="000000"/>
            </w:tcBorders>
          </w:tcPr>
          <w:p>
            <w:pPr>
              <w:pStyle w:val="Normal"/>
              <w:widowControl w:val="false"/>
              <w:suppressAutoHyphens w:val="false"/>
              <w:overflowPunct w:val="false"/>
              <w:jc w:val="center"/>
              <w:rPr>
                <w:sz w:val="22"/>
                <w:szCs w:val="22"/>
              </w:rPr>
            </w:pPr>
            <w:r>
              <w:rPr>
                <w:sz w:val="22"/>
                <w:szCs w:val="22"/>
              </w:rPr>
            </w:r>
          </w:p>
          <w:p>
            <w:pPr>
              <w:pStyle w:val="Normal"/>
              <w:widowControl w:val="false"/>
              <w:suppressAutoHyphens w:val="false"/>
              <w:overflowPunct w:val="false"/>
              <w:jc w:val="center"/>
              <w:rPr>
                <w:sz w:val="22"/>
                <w:szCs w:val="22"/>
              </w:rPr>
            </w:pPr>
            <w:r>
              <w:rPr>
                <w:rFonts w:eastAsia="Times New Roman" w:cs="Arial" w:ascii="Arial" w:hAnsi="Arial"/>
                <w:kern w:val="0"/>
                <w:sz w:val="22"/>
                <w:szCs w:val="22"/>
                <w:lang w:val="ru-RU" w:eastAsia="ru-RU" w:bidi="ar-SA"/>
              </w:rPr>
              <w:t>1</w:t>
            </w:r>
          </w:p>
        </w:tc>
        <w:tc>
          <w:tcPr>
            <w:tcW w:w="2433" w:type="dxa"/>
            <w:gridSpan w:val="7"/>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overflowPunct w:val="false"/>
              <w:rPr>
                <w:sz w:val="22"/>
                <w:szCs w:val="22"/>
                <w:lang w:val="ru-RU"/>
              </w:rPr>
            </w:pPr>
            <w:r>
              <w:rPr>
                <w:sz w:val="22"/>
                <w:szCs w:val="22"/>
                <w:lang w:val="ru-RU"/>
              </w:rPr>
            </w:r>
          </w:p>
        </w:tc>
        <w:tc>
          <w:tcPr>
            <w:tcW w:w="3165" w:type="dxa"/>
            <w:gridSpan w:val="14"/>
            <w:tcBorders>
              <w:top w:val="single" w:sz="6" w:space="0" w:color="000000"/>
              <w:left w:val="single" w:sz="6" w:space="0" w:color="000000"/>
              <w:bottom w:val="single" w:sz="6" w:space="0" w:color="000000"/>
              <w:right w:val="single" w:sz="6" w:space="0" w:color="000000"/>
            </w:tcBorders>
          </w:tcPr>
          <w:p>
            <w:pPr>
              <w:pStyle w:val="Normal"/>
              <w:widowControl w:val="false"/>
              <w:rPr>
                <w:rFonts w:eastAsia="Times New Roman" w:cs="Times New Roman"/>
                <w:iCs/>
                <w:lang w:val="ru-RU" w:eastAsia="ru-RU"/>
              </w:rPr>
            </w:pPr>
            <w:r>
              <w:rPr>
                <w:rFonts w:eastAsia="Times New Roman" w:cs="Times New Roman"/>
                <w:iCs/>
                <w:lang w:val="ru-RU" w:eastAsia="ru-RU"/>
              </w:rPr>
            </w:r>
          </w:p>
        </w:tc>
        <w:tc>
          <w:tcPr>
            <w:tcW w:w="686" w:type="dxa"/>
            <w:gridSpan w:val="4"/>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eastAsia="Times New Roman" w:cs="Times New Roman"/>
                <w:iCs/>
                <w:lang w:val="ru-RU" w:eastAsia="ru-RU"/>
              </w:rPr>
            </w:pPr>
            <w:r>
              <w:rPr>
                <w:rFonts w:eastAsia="Times New Roman" w:cs="Times New Roman"/>
                <w:iCs/>
                <w:lang w:val="ru-RU" w:eastAsia="ru-RU"/>
              </w:rPr>
            </w:r>
          </w:p>
        </w:tc>
        <w:tc>
          <w:tcPr>
            <w:tcW w:w="795"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eastAsia="Times New Roman" w:cs="Times New Roman"/>
                <w:iCs/>
                <w:lang w:val="ru-RU" w:eastAsia="ru-RU"/>
              </w:rPr>
            </w:pPr>
            <w:r>
              <w:rPr>
                <w:rFonts w:eastAsia="Times New Roman" w:cs="Times New Roman"/>
                <w:iCs/>
                <w:lang w:val="ru-RU" w:eastAsia="ru-RU"/>
              </w:rPr>
            </w:r>
          </w:p>
        </w:tc>
        <w:tc>
          <w:tcPr>
            <w:tcW w:w="1244" w:type="dxa"/>
            <w:gridSpan w:val="5"/>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b/>
                <w:b/>
                <w:bCs/>
                <w:sz w:val="22"/>
                <w:szCs w:val="22"/>
                <w:lang w:val="ru-RU"/>
              </w:rPr>
            </w:pPr>
            <w:r>
              <w:rPr>
                <w:b/>
                <w:bCs/>
                <w:sz w:val="22"/>
                <w:szCs w:val="22"/>
                <w:lang w:val="ru-RU"/>
              </w:rPr>
            </w:r>
          </w:p>
        </w:tc>
        <w:tc>
          <w:tcPr>
            <w:tcW w:w="1417" w:type="dxa"/>
            <w:gridSpan w:val="6"/>
            <w:tcBorders>
              <w:top w:val="single" w:sz="6" w:space="0" w:color="000000"/>
              <w:left w:val="single" w:sz="6" w:space="0" w:color="000000"/>
              <w:bottom w:val="single" w:sz="6" w:space="0" w:color="000000"/>
              <w:right w:val="single" w:sz="12" w:space="0" w:color="000000"/>
            </w:tcBorders>
            <w:vAlign w:val="center"/>
          </w:tcPr>
          <w:p>
            <w:pPr>
              <w:pStyle w:val="Normal"/>
              <w:widowControl w:val="false"/>
              <w:jc w:val="center"/>
              <w:rPr>
                <w:rFonts w:eastAsia="Times New Roman" w:cs="Times New Roman"/>
                <w:iCs/>
                <w:lang w:val="ru-RU" w:eastAsia="ru-RU"/>
              </w:rPr>
            </w:pPr>
            <w:r>
              <w:rPr>
                <w:rFonts w:eastAsia="Times New Roman" w:cs="Times New Roman"/>
                <w:iCs/>
                <w:lang w:val="ru-RU" w:eastAsia="ru-RU"/>
              </w:rPr>
            </w:r>
          </w:p>
        </w:tc>
        <w:tc>
          <w:tcPr>
            <w:tcW w:w="61" w:type="dxa"/>
            <w:tcBorders/>
            <w:vAlign w:val="center"/>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167" w:type="dxa"/>
            <w:tcBorders/>
          </w:tcPr>
          <w:p>
            <w:pPr>
              <w:pStyle w:val="Normal"/>
              <w:widowControl w:val="false"/>
              <w:rPr/>
            </w:pPr>
            <w:r>
              <w:rPr/>
            </w:r>
          </w:p>
        </w:tc>
        <w:tc>
          <w:tcPr>
            <w:tcW w:w="34" w:type="dxa"/>
            <w:tcBorders/>
          </w:tcPr>
          <w:p>
            <w:pPr>
              <w:pStyle w:val="Normal"/>
              <w:widowControl w:val="false"/>
              <w:rPr/>
            </w:pPr>
            <w:r>
              <w:rPr/>
            </w:r>
          </w:p>
        </w:tc>
      </w:tr>
      <w:tr>
        <w:trPr>
          <w:trHeight w:val="435" w:hRule="atLeast"/>
        </w:trPr>
        <w:tc>
          <w:tcPr>
            <w:tcW w:w="57" w:type="dxa"/>
            <w:tcBorders/>
            <w:vAlign w:val="center"/>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374" w:type="dxa"/>
            <w:gridSpan w:val="2"/>
            <w:tcBorders>
              <w:top w:val="single" w:sz="6" w:space="0" w:color="000000"/>
              <w:left w:val="single" w:sz="12" w:space="0" w:color="000000"/>
              <w:bottom w:val="single" w:sz="6" w:space="0" w:color="000000"/>
              <w:right w:val="single" w:sz="6" w:space="0" w:color="000000"/>
            </w:tcBorders>
          </w:tcPr>
          <w:p>
            <w:pPr>
              <w:pStyle w:val="Normal"/>
              <w:widowControl w:val="false"/>
              <w:suppressAutoHyphens w:val="false"/>
              <w:overflowPunct w:val="false"/>
              <w:jc w:val="center"/>
              <w:rPr>
                <w:sz w:val="22"/>
                <w:szCs w:val="22"/>
                <w:lang w:val="ru-RU"/>
              </w:rPr>
            </w:pPr>
            <w:r>
              <w:rPr>
                <w:sz w:val="22"/>
                <w:szCs w:val="22"/>
                <w:lang w:val="ru-RU"/>
              </w:rPr>
              <w:t>2</w:t>
            </w:r>
          </w:p>
        </w:tc>
        <w:tc>
          <w:tcPr>
            <w:tcW w:w="2433" w:type="dxa"/>
            <w:gridSpan w:val="7"/>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overflowPunct w:val="false"/>
              <w:rPr>
                <w:sz w:val="22"/>
                <w:szCs w:val="22"/>
                <w:lang w:val="ru-RU"/>
              </w:rPr>
            </w:pPr>
            <w:r>
              <w:rPr>
                <w:sz w:val="22"/>
                <w:szCs w:val="22"/>
                <w:lang w:val="ru-RU"/>
              </w:rPr>
            </w:r>
          </w:p>
        </w:tc>
        <w:tc>
          <w:tcPr>
            <w:tcW w:w="3165" w:type="dxa"/>
            <w:gridSpan w:val="14"/>
            <w:tcBorders>
              <w:top w:val="single" w:sz="6" w:space="0" w:color="000000"/>
              <w:left w:val="single" w:sz="6" w:space="0" w:color="000000"/>
              <w:bottom w:val="single" w:sz="6" w:space="0" w:color="000000"/>
              <w:right w:val="single" w:sz="6" w:space="0" w:color="000000"/>
            </w:tcBorders>
          </w:tcPr>
          <w:p>
            <w:pPr>
              <w:pStyle w:val="Normal"/>
              <w:widowControl w:val="false"/>
              <w:rPr>
                <w:rFonts w:eastAsia="Times New Roman" w:cs="Times New Roman"/>
                <w:iCs/>
                <w:lang w:val="ru-RU" w:eastAsia="ru-RU"/>
              </w:rPr>
            </w:pPr>
            <w:r>
              <w:rPr>
                <w:rFonts w:eastAsia="Times New Roman" w:cs="Times New Roman"/>
                <w:iCs/>
                <w:lang w:val="ru-RU" w:eastAsia="ru-RU"/>
              </w:rPr>
            </w:r>
          </w:p>
        </w:tc>
        <w:tc>
          <w:tcPr>
            <w:tcW w:w="686" w:type="dxa"/>
            <w:gridSpan w:val="4"/>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eastAsia="Times New Roman" w:cs="Times New Roman"/>
                <w:iCs/>
                <w:lang w:val="ru-RU" w:eastAsia="ru-RU"/>
              </w:rPr>
            </w:pPr>
            <w:r>
              <w:rPr>
                <w:rFonts w:eastAsia="Times New Roman" w:cs="Times New Roman"/>
                <w:iCs/>
                <w:lang w:val="ru-RU" w:eastAsia="ru-RU"/>
              </w:rPr>
            </w:r>
          </w:p>
        </w:tc>
        <w:tc>
          <w:tcPr>
            <w:tcW w:w="795"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eastAsia="Times New Roman" w:cs="Times New Roman"/>
                <w:iCs/>
                <w:lang w:val="ru-RU" w:eastAsia="ru-RU"/>
              </w:rPr>
            </w:pPr>
            <w:r>
              <w:rPr>
                <w:rFonts w:eastAsia="Times New Roman" w:cs="Times New Roman"/>
                <w:iCs/>
                <w:lang w:val="ru-RU" w:eastAsia="ru-RU"/>
              </w:rPr>
            </w:r>
          </w:p>
        </w:tc>
        <w:tc>
          <w:tcPr>
            <w:tcW w:w="1244" w:type="dxa"/>
            <w:gridSpan w:val="5"/>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b/>
                <w:b/>
                <w:bCs/>
                <w:sz w:val="22"/>
                <w:szCs w:val="22"/>
                <w:lang w:val="ru-RU"/>
              </w:rPr>
            </w:pPr>
            <w:r>
              <w:rPr>
                <w:b/>
                <w:bCs/>
                <w:sz w:val="22"/>
                <w:szCs w:val="22"/>
                <w:lang w:val="ru-RU"/>
              </w:rPr>
            </w:r>
          </w:p>
        </w:tc>
        <w:tc>
          <w:tcPr>
            <w:tcW w:w="1417" w:type="dxa"/>
            <w:gridSpan w:val="6"/>
            <w:tcBorders>
              <w:top w:val="single" w:sz="6" w:space="0" w:color="000000"/>
              <w:left w:val="single" w:sz="6" w:space="0" w:color="000000"/>
              <w:bottom w:val="single" w:sz="6" w:space="0" w:color="000000"/>
              <w:right w:val="single" w:sz="12" w:space="0" w:color="000000"/>
            </w:tcBorders>
            <w:vAlign w:val="center"/>
          </w:tcPr>
          <w:p>
            <w:pPr>
              <w:pStyle w:val="Normal"/>
              <w:widowControl w:val="false"/>
              <w:jc w:val="center"/>
              <w:rPr>
                <w:rFonts w:eastAsia="Times New Roman" w:cs="Times New Roman"/>
                <w:iCs/>
                <w:lang w:val="ru-RU" w:eastAsia="ru-RU"/>
              </w:rPr>
            </w:pPr>
            <w:r>
              <w:rPr>
                <w:rFonts w:eastAsia="Times New Roman" w:cs="Times New Roman"/>
                <w:iCs/>
                <w:lang w:val="ru-RU" w:eastAsia="ru-RU"/>
              </w:rPr>
            </w:r>
          </w:p>
        </w:tc>
        <w:tc>
          <w:tcPr>
            <w:tcW w:w="61" w:type="dxa"/>
            <w:tcBorders/>
            <w:vAlign w:val="center"/>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167" w:type="dxa"/>
            <w:tcBorders/>
          </w:tcPr>
          <w:p>
            <w:pPr>
              <w:pStyle w:val="Normal"/>
              <w:widowControl w:val="false"/>
              <w:rPr/>
            </w:pPr>
            <w:r>
              <w:rPr/>
            </w:r>
          </w:p>
        </w:tc>
        <w:tc>
          <w:tcPr>
            <w:tcW w:w="34" w:type="dxa"/>
            <w:tcBorders/>
          </w:tcPr>
          <w:p>
            <w:pPr>
              <w:pStyle w:val="Normal"/>
              <w:widowControl w:val="false"/>
              <w:rPr/>
            </w:pPr>
            <w:r>
              <w:rPr/>
            </w:r>
          </w:p>
        </w:tc>
      </w:tr>
      <w:tr>
        <w:trPr>
          <w:trHeight w:val="435" w:hRule="atLeast"/>
        </w:trPr>
        <w:tc>
          <w:tcPr>
            <w:tcW w:w="57" w:type="dxa"/>
            <w:tcBorders/>
            <w:vAlign w:val="center"/>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374" w:type="dxa"/>
            <w:gridSpan w:val="2"/>
            <w:tcBorders>
              <w:top w:val="single" w:sz="6" w:space="0" w:color="000000"/>
              <w:left w:val="single" w:sz="12" w:space="0" w:color="000000"/>
              <w:bottom w:val="single" w:sz="6" w:space="0" w:color="000000"/>
              <w:right w:val="single" w:sz="6" w:space="0" w:color="000000"/>
            </w:tcBorders>
          </w:tcPr>
          <w:p>
            <w:pPr>
              <w:pStyle w:val="Normal"/>
              <w:widowControl w:val="false"/>
              <w:suppressAutoHyphens w:val="false"/>
              <w:overflowPunct w:val="false"/>
              <w:jc w:val="center"/>
              <w:rPr>
                <w:sz w:val="22"/>
                <w:szCs w:val="22"/>
                <w:lang w:val="ru-RU"/>
              </w:rPr>
            </w:pPr>
            <w:r>
              <w:rPr>
                <w:sz w:val="22"/>
                <w:szCs w:val="22"/>
                <w:lang w:val="ru-RU"/>
              </w:rPr>
              <w:t>3</w:t>
            </w:r>
          </w:p>
        </w:tc>
        <w:tc>
          <w:tcPr>
            <w:tcW w:w="2433" w:type="dxa"/>
            <w:gridSpan w:val="7"/>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overflowPunct w:val="false"/>
              <w:rPr>
                <w:sz w:val="22"/>
                <w:szCs w:val="22"/>
                <w:lang w:val="ru-RU"/>
              </w:rPr>
            </w:pPr>
            <w:r>
              <w:rPr>
                <w:sz w:val="22"/>
                <w:szCs w:val="22"/>
                <w:lang w:val="ru-RU"/>
              </w:rPr>
            </w:r>
          </w:p>
        </w:tc>
        <w:tc>
          <w:tcPr>
            <w:tcW w:w="3165" w:type="dxa"/>
            <w:gridSpan w:val="14"/>
            <w:tcBorders>
              <w:top w:val="single" w:sz="6" w:space="0" w:color="000000"/>
              <w:left w:val="single" w:sz="6" w:space="0" w:color="000000"/>
              <w:bottom w:val="single" w:sz="6" w:space="0" w:color="000000"/>
              <w:right w:val="single" w:sz="6" w:space="0" w:color="000000"/>
            </w:tcBorders>
          </w:tcPr>
          <w:p>
            <w:pPr>
              <w:pStyle w:val="Normal"/>
              <w:widowControl w:val="false"/>
              <w:rPr>
                <w:rFonts w:eastAsia="Times New Roman" w:cs="Times New Roman"/>
                <w:iCs/>
                <w:lang w:val="ru-RU" w:eastAsia="ru-RU"/>
              </w:rPr>
            </w:pPr>
            <w:r>
              <w:rPr>
                <w:rFonts w:eastAsia="Times New Roman" w:cs="Times New Roman"/>
                <w:iCs/>
                <w:lang w:val="ru-RU" w:eastAsia="ru-RU"/>
              </w:rPr>
            </w:r>
          </w:p>
        </w:tc>
        <w:tc>
          <w:tcPr>
            <w:tcW w:w="686" w:type="dxa"/>
            <w:gridSpan w:val="4"/>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eastAsia="Times New Roman" w:cs="Times New Roman"/>
                <w:iCs/>
                <w:lang w:val="ru-RU" w:eastAsia="ru-RU"/>
              </w:rPr>
            </w:pPr>
            <w:r>
              <w:rPr>
                <w:rFonts w:eastAsia="Times New Roman" w:cs="Times New Roman"/>
                <w:iCs/>
                <w:lang w:val="ru-RU" w:eastAsia="ru-RU"/>
              </w:rPr>
            </w:r>
          </w:p>
        </w:tc>
        <w:tc>
          <w:tcPr>
            <w:tcW w:w="795"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eastAsia="Times New Roman" w:cs="Times New Roman"/>
                <w:iCs/>
                <w:lang w:val="ru-RU" w:eastAsia="ru-RU"/>
              </w:rPr>
            </w:pPr>
            <w:r>
              <w:rPr>
                <w:rFonts w:eastAsia="Times New Roman" w:cs="Times New Roman"/>
                <w:iCs/>
                <w:lang w:val="ru-RU" w:eastAsia="ru-RU"/>
              </w:rPr>
            </w:r>
          </w:p>
        </w:tc>
        <w:tc>
          <w:tcPr>
            <w:tcW w:w="1244" w:type="dxa"/>
            <w:gridSpan w:val="5"/>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b/>
                <w:b/>
                <w:bCs/>
                <w:sz w:val="22"/>
                <w:szCs w:val="22"/>
                <w:lang w:val="ru-RU"/>
              </w:rPr>
            </w:pPr>
            <w:r>
              <w:rPr>
                <w:b/>
                <w:bCs/>
                <w:sz w:val="22"/>
                <w:szCs w:val="22"/>
                <w:lang w:val="ru-RU"/>
              </w:rPr>
            </w:r>
          </w:p>
        </w:tc>
        <w:tc>
          <w:tcPr>
            <w:tcW w:w="1417" w:type="dxa"/>
            <w:gridSpan w:val="6"/>
            <w:tcBorders>
              <w:top w:val="single" w:sz="6" w:space="0" w:color="000000"/>
              <w:left w:val="single" w:sz="6" w:space="0" w:color="000000"/>
              <w:bottom w:val="single" w:sz="6" w:space="0" w:color="000000"/>
              <w:right w:val="single" w:sz="12" w:space="0" w:color="000000"/>
            </w:tcBorders>
            <w:vAlign w:val="center"/>
          </w:tcPr>
          <w:p>
            <w:pPr>
              <w:pStyle w:val="Normal"/>
              <w:widowControl w:val="false"/>
              <w:jc w:val="center"/>
              <w:rPr>
                <w:rFonts w:eastAsia="Times New Roman" w:cs="Times New Roman"/>
                <w:iCs/>
                <w:lang w:val="ru-RU" w:eastAsia="ru-RU"/>
              </w:rPr>
            </w:pPr>
            <w:r>
              <w:rPr>
                <w:rFonts w:eastAsia="Times New Roman" w:cs="Times New Roman"/>
                <w:iCs/>
                <w:lang w:val="ru-RU" w:eastAsia="ru-RU"/>
              </w:rPr>
            </w:r>
          </w:p>
        </w:tc>
        <w:tc>
          <w:tcPr>
            <w:tcW w:w="61" w:type="dxa"/>
            <w:tcBorders/>
            <w:vAlign w:val="center"/>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167" w:type="dxa"/>
            <w:tcBorders/>
          </w:tcPr>
          <w:p>
            <w:pPr>
              <w:pStyle w:val="Normal"/>
              <w:widowControl w:val="false"/>
              <w:rPr/>
            </w:pPr>
            <w:r>
              <w:rPr/>
            </w:r>
          </w:p>
        </w:tc>
        <w:tc>
          <w:tcPr>
            <w:tcW w:w="34" w:type="dxa"/>
            <w:tcBorders/>
          </w:tcPr>
          <w:p>
            <w:pPr>
              <w:pStyle w:val="Normal"/>
              <w:widowControl w:val="false"/>
              <w:rPr/>
            </w:pPr>
            <w:r>
              <w:rPr/>
            </w:r>
          </w:p>
        </w:tc>
      </w:tr>
      <w:tr>
        <w:trPr>
          <w:trHeight w:val="135" w:hRule="atLeast"/>
        </w:trPr>
        <w:tc>
          <w:tcPr>
            <w:tcW w:w="57" w:type="dxa"/>
            <w:tcBorders/>
            <w:vAlign w:val="center"/>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192" w:type="dxa"/>
            <w:tcBorders>
              <w:top w:val="single" w:sz="12" w:space="0" w:color="000000"/>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182" w:type="dxa"/>
            <w:tcBorders>
              <w:top w:val="single" w:sz="12" w:space="0" w:color="000000"/>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487" w:type="dxa"/>
            <w:tcBorders>
              <w:top w:val="single" w:sz="12" w:space="0" w:color="000000"/>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487" w:type="dxa"/>
            <w:tcBorders>
              <w:top w:val="single" w:sz="12" w:space="0" w:color="000000"/>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484" w:type="dxa"/>
            <w:tcBorders>
              <w:top w:val="single" w:sz="12" w:space="0" w:color="000000"/>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51" w:type="dxa"/>
            <w:tcBorders>
              <w:top w:val="single" w:sz="12" w:space="0" w:color="000000"/>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557" w:type="dxa"/>
            <w:tcBorders>
              <w:top w:val="single" w:sz="12" w:space="0" w:color="000000"/>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65" w:type="dxa"/>
            <w:tcBorders>
              <w:top w:val="single" w:sz="12" w:space="0" w:color="000000"/>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68" w:type="dxa"/>
            <w:gridSpan w:val="2"/>
            <w:tcBorders>
              <w:top w:val="single" w:sz="12" w:space="0" w:color="000000"/>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61" w:type="dxa"/>
            <w:tcBorders>
              <w:top w:val="single" w:sz="12" w:space="0" w:color="000000"/>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63" w:type="dxa"/>
            <w:tcBorders>
              <w:top w:val="single" w:sz="12" w:space="0" w:color="000000"/>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41" w:type="dxa"/>
            <w:tcBorders>
              <w:top w:val="single" w:sz="12" w:space="0" w:color="000000"/>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65" w:type="dxa"/>
            <w:tcBorders>
              <w:top w:val="single" w:sz="12" w:space="0" w:color="000000"/>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41" w:type="dxa"/>
            <w:tcBorders>
              <w:top w:val="single" w:sz="12" w:space="0" w:color="000000"/>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63" w:type="dxa"/>
            <w:tcBorders>
              <w:top w:val="single" w:sz="12" w:space="0" w:color="000000"/>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40" w:type="dxa"/>
            <w:tcBorders>
              <w:top w:val="single" w:sz="12" w:space="0" w:color="000000"/>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39" w:type="dxa"/>
            <w:tcBorders>
              <w:top w:val="single" w:sz="12" w:space="0" w:color="000000"/>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37" w:type="dxa"/>
            <w:tcBorders>
              <w:top w:val="single" w:sz="12" w:space="0" w:color="000000"/>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34" w:type="dxa"/>
            <w:tcBorders>
              <w:top w:val="single" w:sz="12" w:space="0" w:color="000000"/>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34" w:type="dxa"/>
            <w:tcBorders>
              <w:top w:val="single" w:sz="12" w:space="0" w:color="000000"/>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28" w:type="dxa"/>
            <w:tcBorders>
              <w:top w:val="single" w:sz="12" w:space="0" w:color="000000"/>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33" w:type="dxa"/>
            <w:gridSpan w:val="2"/>
            <w:tcBorders>
              <w:top w:val="single" w:sz="12" w:space="0" w:color="000000"/>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49" w:type="dxa"/>
            <w:tcBorders>
              <w:top w:val="single" w:sz="12" w:space="0" w:color="000000"/>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410" w:type="dxa"/>
            <w:tcBorders>
              <w:top w:val="single" w:sz="12" w:space="0" w:color="000000"/>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13" w:type="dxa"/>
            <w:gridSpan w:val="2"/>
            <w:tcBorders>
              <w:top w:val="single" w:sz="12" w:space="0" w:color="000000"/>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58" w:type="dxa"/>
            <w:tcBorders>
              <w:top w:val="single" w:sz="12" w:space="0" w:color="000000"/>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571" w:type="dxa"/>
            <w:tcBorders>
              <w:top w:val="single" w:sz="12" w:space="0" w:color="000000"/>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49" w:type="dxa"/>
            <w:tcBorders>
              <w:top w:val="single" w:sz="12" w:space="0" w:color="000000"/>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380" w:type="dxa"/>
            <w:tcBorders>
              <w:top w:val="single" w:sz="12" w:space="0" w:color="000000"/>
            </w:tcBorders>
          </w:tcPr>
          <w:p>
            <w:pPr>
              <w:pStyle w:val="Normal"/>
              <w:widowControl w:val="false"/>
              <w:suppressAutoHyphens w:val="false"/>
              <w:overflowPunct w:val="false"/>
              <w:jc w:val="right"/>
              <w:rPr>
                <w:rFonts w:ascii="Arial" w:hAnsi="Arial" w:eastAsia="Times New Roman" w:cs="Arial"/>
                <w:b/>
                <w:b/>
                <w:bCs/>
                <w:kern w:val="0"/>
                <w:sz w:val="22"/>
                <w:szCs w:val="22"/>
                <w:lang w:val="ru-RU" w:eastAsia="ru-RU" w:bidi="ar-SA"/>
              </w:rPr>
            </w:pPr>
            <w:r>
              <w:rPr>
                <w:rFonts w:eastAsia="Times New Roman" w:cs="Arial" w:ascii="Arial" w:hAnsi="Arial"/>
                <w:b/>
                <w:bCs/>
                <w:kern w:val="0"/>
                <w:sz w:val="22"/>
                <w:szCs w:val="22"/>
                <w:lang w:val="ru-RU" w:eastAsia="ru-RU" w:bidi="ar-SA"/>
              </w:rPr>
            </w:r>
          </w:p>
        </w:tc>
        <w:tc>
          <w:tcPr>
            <w:tcW w:w="221" w:type="dxa"/>
            <w:tcBorders>
              <w:top w:val="single" w:sz="12" w:space="0" w:color="000000"/>
            </w:tcBorders>
            <w:vAlign w:val="center"/>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07" w:type="dxa"/>
            <w:tcBorders>
              <w:top w:val="single" w:sz="12" w:space="0" w:color="000000"/>
            </w:tcBorders>
            <w:vAlign w:val="center"/>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616" w:type="dxa"/>
            <w:gridSpan w:val="2"/>
            <w:tcBorders>
              <w:top w:val="single" w:sz="12" w:space="0" w:color="000000"/>
            </w:tcBorders>
            <w:vAlign w:val="center"/>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40" w:type="dxa"/>
            <w:tcBorders>
              <w:top w:val="single" w:sz="12" w:space="0" w:color="000000"/>
            </w:tcBorders>
          </w:tcPr>
          <w:p>
            <w:pPr>
              <w:pStyle w:val="Normal"/>
              <w:widowControl w:val="false"/>
              <w:suppressAutoHyphens w:val="false"/>
              <w:overflowPunct w:val="false"/>
              <w:jc w:val="right"/>
              <w:rPr>
                <w:rFonts w:ascii="Arial" w:hAnsi="Arial" w:eastAsia="Times New Roman" w:cs="Arial"/>
                <w:b/>
                <w:b/>
                <w:bCs/>
                <w:kern w:val="0"/>
                <w:sz w:val="22"/>
                <w:szCs w:val="22"/>
                <w:lang w:val="ru-RU" w:eastAsia="ru-RU" w:bidi="ar-SA"/>
              </w:rPr>
            </w:pPr>
            <w:r>
              <w:rPr>
                <w:rFonts w:eastAsia="Times New Roman" w:cs="Arial" w:ascii="Arial" w:hAnsi="Arial"/>
                <w:b/>
                <w:bCs/>
                <w:kern w:val="0"/>
                <w:sz w:val="22"/>
                <w:szCs w:val="22"/>
                <w:lang w:val="ru-RU" w:eastAsia="ru-RU" w:bidi="ar-SA"/>
              </w:rPr>
            </w:r>
          </w:p>
        </w:tc>
        <w:tc>
          <w:tcPr>
            <w:tcW w:w="225" w:type="dxa"/>
            <w:tcBorders>
              <w:top w:val="single" w:sz="12" w:space="0" w:color="000000"/>
            </w:tcBorders>
            <w:vAlign w:val="center"/>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07" w:type="dxa"/>
            <w:tcBorders>
              <w:top w:val="single" w:sz="12" w:space="0" w:color="000000"/>
            </w:tcBorders>
            <w:vAlign w:val="center"/>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02" w:type="dxa"/>
            <w:tcBorders>
              <w:top w:val="single" w:sz="12" w:space="0" w:color="000000"/>
            </w:tcBorders>
            <w:vAlign w:val="center"/>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542" w:type="dxa"/>
            <w:gridSpan w:val="3"/>
            <w:tcBorders>
              <w:top w:val="single" w:sz="12" w:space="0" w:color="000000"/>
            </w:tcBorders>
            <w:vAlign w:val="center"/>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34" w:type="dxa"/>
            <w:tcBorders/>
            <w:vAlign w:val="center"/>
          </w:tcPr>
          <w:p>
            <w:pPr>
              <w:pStyle w:val="Normal"/>
              <w:widowControl w:val="false"/>
              <w:suppressAutoHyphens w:val="false"/>
              <w:overflowPunct w:val="false"/>
              <w:spacing w:lineRule="atLeast" w:line="135"/>
              <w:rPr>
                <w:sz w:val="22"/>
                <w:szCs w:val="22"/>
              </w:rPr>
            </w:pPr>
            <w:r>
              <w:rPr>
                <w:sz w:val="22"/>
                <w:szCs w:val="22"/>
              </w:rPr>
            </w:r>
          </w:p>
        </w:tc>
      </w:tr>
      <w:tr>
        <w:trPr>
          <w:trHeight w:val="255" w:hRule="atLeast"/>
        </w:trPr>
        <w:tc>
          <w:tcPr>
            <w:tcW w:w="57" w:type="dxa"/>
            <w:tcBorders/>
            <w:vAlign w:val="center"/>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192" w:type="dxa"/>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182" w:type="dxa"/>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487" w:type="dxa"/>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487" w:type="dxa"/>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484" w:type="dxa"/>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51" w:type="dxa"/>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557" w:type="dxa"/>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65" w:type="dxa"/>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68" w:type="dxa"/>
            <w:gridSpan w:val="2"/>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61" w:type="dxa"/>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63" w:type="dxa"/>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41" w:type="dxa"/>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65" w:type="dxa"/>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41" w:type="dxa"/>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63" w:type="dxa"/>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40" w:type="dxa"/>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39" w:type="dxa"/>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37" w:type="dxa"/>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34" w:type="dxa"/>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34" w:type="dxa"/>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28" w:type="dxa"/>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33" w:type="dxa"/>
            <w:gridSpan w:val="2"/>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49" w:type="dxa"/>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410" w:type="dxa"/>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13" w:type="dxa"/>
            <w:gridSpan w:val="2"/>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58" w:type="dxa"/>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571" w:type="dxa"/>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49" w:type="dxa"/>
            <w:tcBorders/>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1424" w:type="dxa"/>
            <w:gridSpan w:val="5"/>
            <w:tcBorders/>
          </w:tcPr>
          <w:p>
            <w:pPr>
              <w:pStyle w:val="Normal"/>
              <w:widowControl w:val="false"/>
              <w:suppressAutoHyphens w:val="false"/>
              <w:overflowPunct w:val="false"/>
              <w:jc w:val="right"/>
              <w:rPr>
                <w:sz w:val="22"/>
                <w:szCs w:val="22"/>
              </w:rPr>
            </w:pPr>
            <w:r>
              <w:rPr>
                <w:rFonts w:eastAsia="Times New Roman" w:cs="Arial" w:ascii="Arial" w:hAnsi="Arial"/>
                <w:b/>
                <w:bCs/>
                <w:kern w:val="0"/>
                <w:sz w:val="22"/>
                <w:szCs w:val="22"/>
                <w:lang w:val="ru-RU" w:eastAsia="ru-RU" w:bidi="ar-SA"/>
              </w:rPr>
              <w:t>Итого:</w:t>
            </w:r>
          </w:p>
        </w:tc>
        <w:tc>
          <w:tcPr>
            <w:tcW w:w="1416" w:type="dxa"/>
            <w:gridSpan w:val="7"/>
            <w:tcBorders/>
          </w:tcPr>
          <w:p>
            <w:pPr>
              <w:pStyle w:val="Normal"/>
              <w:widowControl w:val="false"/>
              <w:suppressAutoHyphens w:val="false"/>
              <w:overflowPunct w:val="false"/>
              <w:jc w:val="right"/>
              <w:rPr>
                <w:sz w:val="22"/>
                <w:szCs w:val="22"/>
              </w:rPr>
            </w:pPr>
            <w:r>
              <w:rPr>
                <w:sz w:val="22"/>
                <w:szCs w:val="22"/>
              </w:rPr>
            </w:r>
          </w:p>
        </w:tc>
        <w:tc>
          <w:tcPr>
            <w:tcW w:w="34" w:type="dxa"/>
            <w:tcBorders/>
            <w:vAlign w:val="center"/>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r>
      <w:tr>
        <w:trPr>
          <w:trHeight w:val="290" w:hRule="atLeast"/>
        </w:trPr>
        <w:tc>
          <w:tcPr>
            <w:tcW w:w="8754" w:type="dxa"/>
            <w:gridSpan w:val="36"/>
            <w:tcBorders/>
          </w:tcPr>
          <w:p>
            <w:pPr>
              <w:pStyle w:val="Normal"/>
              <w:widowControl w:val="false"/>
              <w:suppressAutoHyphens w:val="false"/>
              <w:overflowPunct w:val="false"/>
              <w:jc w:val="right"/>
              <w:rPr>
                <w:sz w:val="22"/>
                <w:szCs w:val="22"/>
              </w:rPr>
            </w:pPr>
            <w:r>
              <w:rPr>
                <w:rFonts w:eastAsia="Times New Roman" w:cs="Arial" w:ascii="Arial" w:hAnsi="Arial"/>
                <w:b/>
                <w:bCs/>
                <w:kern w:val="0"/>
                <w:sz w:val="22"/>
                <w:szCs w:val="22"/>
                <w:lang w:val="ru-RU" w:eastAsia="ru-RU" w:bidi="ar-SA"/>
              </w:rPr>
              <w:t>Без НДС:</w:t>
            </w:r>
          </w:p>
        </w:tc>
        <w:tc>
          <w:tcPr>
            <w:tcW w:w="1417" w:type="dxa"/>
            <w:gridSpan w:val="6"/>
            <w:tcBorders/>
          </w:tcPr>
          <w:p>
            <w:pPr>
              <w:pStyle w:val="Normal"/>
              <w:widowControl w:val="false"/>
              <w:suppressAutoHyphens w:val="false"/>
              <w:overflowPunct w:val="false"/>
              <w:jc w:val="right"/>
              <w:rPr>
                <w:rFonts w:ascii="Arial" w:hAnsi="Arial" w:eastAsia="Times New Roman" w:cs="Arial"/>
                <w:b/>
                <w:b/>
                <w:bCs/>
                <w:kern w:val="0"/>
                <w:sz w:val="22"/>
                <w:szCs w:val="22"/>
                <w:lang w:val="ru-RU" w:eastAsia="ru-RU" w:bidi="ar-SA"/>
              </w:rPr>
            </w:pPr>
            <w:r>
              <w:rPr>
                <w:rFonts w:eastAsia="Times New Roman" w:cs="Arial" w:ascii="Arial" w:hAnsi="Arial"/>
                <w:b/>
                <w:bCs/>
                <w:kern w:val="0"/>
                <w:sz w:val="22"/>
                <w:szCs w:val="22"/>
                <w:lang w:val="ru-RU" w:eastAsia="ru-RU" w:bidi="ar-SA"/>
              </w:rPr>
              <w:t>-</w:t>
            </w:r>
          </w:p>
        </w:tc>
        <w:tc>
          <w:tcPr>
            <w:tcW w:w="61" w:type="dxa"/>
            <w:tcBorders/>
            <w:vAlign w:val="center"/>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167" w:type="dxa"/>
            <w:tcBorders/>
          </w:tcPr>
          <w:p>
            <w:pPr>
              <w:pStyle w:val="Normal"/>
              <w:widowControl w:val="false"/>
              <w:rPr/>
            </w:pPr>
            <w:r>
              <w:rPr/>
            </w:r>
          </w:p>
        </w:tc>
        <w:tc>
          <w:tcPr>
            <w:tcW w:w="34" w:type="dxa"/>
            <w:tcBorders/>
          </w:tcPr>
          <w:p>
            <w:pPr>
              <w:pStyle w:val="Normal"/>
              <w:widowControl w:val="false"/>
              <w:rPr/>
            </w:pPr>
            <w:r>
              <w:rPr/>
            </w:r>
          </w:p>
        </w:tc>
      </w:tr>
    </w:tbl>
    <w:p>
      <w:pPr>
        <w:pStyle w:val="Normal"/>
        <w:widowControl/>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bl>
      <w:tblPr>
        <w:tblW w:w="9668" w:type="dxa"/>
        <w:jc w:val="left"/>
        <w:tblInd w:w="0" w:type="dxa"/>
        <w:tblLayout w:type="fixed"/>
        <w:tblCellMar>
          <w:top w:w="0" w:type="dxa"/>
          <w:left w:w="30" w:type="dxa"/>
          <w:bottom w:w="0" w:type="dxa"/>
          <w:right w:w="0" w:type="dxa"/>
        </w:tblCellMar>
        <w:tblLook w:firstRow="1" w:noVBand="1" w:lastRow="0" w:firstColumn="1" w:lastColumn="0" w:noHBand="0" w:val="04a0"/>
      </w:tblPr>
      <w:tblGrid>
        <w:gridCol w:w="81"/>
        <w:gridCol w:w="267"/>
        <w:gridCol w:w="267"/>
        <w:gridCol w:w="278"/>
        <w:gridCol w:w="267"/>
        <w:gridCol w:w="266"/>
        <w:gridCol w:w="268"/>
        <w:gridCol w:w="268"/>
        <w:gridCol w:w="272"/>
        <w:gridCol w:w="261"/>
        <w:gridCol w:w="266"/>
        <w:gridCol w:w="261"/>
        <w:gridCol w:w="261"/>
        <w:gridCol w:w="261"/>
        <w:gridCol w:w="260"/>
        <w:gridCol w:w="261"/>
        <w:gridCol w:w="261"/>
        <w:gridCol w:w="262"/>
        <w:gridCol w:w="256"/>
        <w:gridCol w:w="256"/>
        <w:gridCol w:w="260"/>
        <w:gridCol w:w="260"/>
        <w:gridCol w:w="254"/>
        <w:gridCol w:w="244"/>
        <w:gridCol w:w="257"/>
        <w:gridCol w:w="257"/>
        <w:gridCol w:w="251"/>
        <w:gridCol w:w="249"/>
        <w:gridCol w:w="254"/>
        <w:gridCol w:w="250"/>
        <w:gridCol w:w="257"/>
        <w:gridCol w:w="247"/>
        <w:gridCol w:w="252"/>
        <w:gridCol w:w="247"/>
        <w:gridCol w:w="250"/>
        <w:gridCol w:w="244"/>
        <w:gridCol w:w="250"/>
        <w:gridCol w:w="246"/>
        <w:gridCol w:w="36"/>
      </w:tblGrid>
      <w:tr>
        <w:trPr/>
        <w:tc>
          <w:tcPr>
            <w:tcW w:w="81"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7"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7"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78"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7"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6"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8"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8"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72"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1"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6"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1"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1"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1"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0"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1"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1"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2"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56"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56"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0"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0"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54"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44"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57"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57"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51"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49"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54"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50"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57"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47"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52"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47"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50"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44"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50"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46" w:type="dxa"/>
            <w:tcBorders/>
            <w:vAlign w:val="center"/>
          </w:tcPr>
          <w:p>
            <w:pPr>
              <w:pStyle w:val="Normal"/>
              <w:widowControl w:val="false"/>
              <w:suppressAutoHyphens w:val="false"/>
              <w:overflowPunct w:val="fals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36" w:type="dxa"/>
            <w:tcBorders/>
          </w:tcPr>
          <w:p>
            <w:pPr>
              <w:pStyle w:val="Normal"/>
              <w:widowControl w:val="false"/>
              <w:rPr>
                <w:sz w:val="22"/>
                <w:szCs w:val="22"/>
              </w:rPr>
            </w:pPr>
            <w:r>
              <w:rPr>
                <w:sz w:val="22"/>
                <w:szCs w:val="22"/>
              </w:rPr>
            </w:r>
          </w:p>
        </w:tc>
      </w:tr>
      <w:tr>
        <w:trPr>
          <w:trHeight w:val="255" w:hRule="atLeast"/>
        </w:trPr>
        <w:tc>
          <w:tcPr>
            <w:tcW w:w="81" w:type="dxa"/>
            <w:tcBorders/>
            <w:vAlign w:val="center"/>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9548" w:type="dxa"/>
            <w:gridSpan w:val="37"/>
            <w:tcBorders/>
            <w:vAlign w:val="center"/>
          </w:tcPr>
          <w:p>
            <w:pPr>
              <w:pStyle w:val="Normal"/>
              <w:widowControl w:val="false"/>
              <w:suppressAutoHyphens w:val="false"/>
              <w:overflowPunct w:val="false"/>
              <w:jc w:val="both"/>
              <w:rPr>
                <w:sz w:val="22"/>
                <w:szCs w:val="22"/>
              </w:rPr>
            </w:pPr>
            <w:r>
              <w:rPr>
                <w:rFonts w:eastAsia="Times New Roman" w:cs="Arial" w:ascii="Arial" w:hAnsi="Arial"/>
                <w:kern w:val="0"/>
                <w:sz w:val="22"/>
                <w:szCs w:val="22"/>
                <w:lang w:val="ru-RU" w:eastAsia="ru-RU" w:bidi="ar-SA"/>
              </w:rPr>
              <w:t>Всего наименований ______ на сумму</w:t>
            </w:r>
          </w:p>
        </w:tc>
        <w:tc>
          <w:tcPr>
            <w:tcW w:w="36" w:type="dxa"/>
            <w:tcBorders/>
            <w:vAlign w:val="center"/>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r>
      <w:tr>
        <w:trPr>
          <w:trHeight w:val="255" w:hRule="atLeast"/>
        </w:trPr>
        <w:tc>
          <w:tcPr>
            <w:tcW w:w="81" w:type="dxa"/>
            <w:tcBorders/>
            <w:vAlign w:val="center"/>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9548" w:type="dxa"/>
            <w:gridSpan w:val="37"/>
            <w:tcBorders/>
          </w:tcPr>
          <w:p>
            <w:pPr>
              <w:pStyle w:val="Normal"/>
              <w:widowControl w:val="false"/>
              <w:suppressAutoHyphens w:val="false"/>
              <w:overflowPunct w:val="false"/>
              <w:rPr>
                <w:sz w:val="22"/>
                <w:szCs w:val="22"/>
              </w:rPr>
            </w:pPr>
            <w:r>
              <w:rPr>
                <w:sz w:val="22"/>
                <w:szCs w:val="22"/>
              </w:rPr>
            </w:r>
          </w:p>
        </w:tc>
        <w:tc>
          <w:tcPr>
            <w:tcW w:w="36" w:type="dxa"/>
            <w:tcBorders/>
            <w:vAlign w:val="center"/>
          </w:tcPr>
          <w:p>
            <w:pPr>
              <w:pStyle w:val="Normal"/>
              <w:widowControl w:val="false"/>
              <w:suppressAutoHyphens w:val="false"/>
              <w:overflowPunct w:val="fals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r>
    </w:tbl>
    <w:p>
      <w:pPr>
        <w:pStyle w:val="Normal"/>
        <w:jc w:val="both"/>
        <w:rPr>
          <w:b/>
          <w:b/>
          <w:sz w:val="22"/>
          <w:szCs w:val="22"/>
        </w:rPr>
      </w:pPr>
      <w:r>
        <w:rPr>
          <w:b/>
          <w:sz w:val="22"/>
          <w:szCs w:val="22"/>
        </w:rPr>
      </w:r>
    </w:p>
    <w:tbl>
      <w:tblPr>
        <w:tblW w:w="10794" w:type="dxa"/>
        <w:jc w:val="left"/>
        <w:tblInd w:w="-9" w:type="dxa"/>
        <w:tblLayout w:type="fixed"/>
        <w:tblCellMar>
          <w:top w:w="0" w:type="dxa"/>
          <w:left w:w="108" w:type="dxa"/>
          <w:bottom w:w="0" w:type="dxa"/>
          <w:right w:w="108" w:type="dxa"/>
        </w:tblCellMar>
        <w:tblLook w:firstRow="0" w:noVBand="0" w:lastRow="0" w:firstColumn="0" w:lastColumn="0" w:noHBand="0" w:val="0000"/>
      </w:tblPr>
      <w:tblGrid>
        <w:gridCol w:w="5159"/>
        <w:gridCol w:w="5634"/>
      </w:tblGrid>
      <w:tr>
        <w:trPr>
          <w:trHeight w:val="1296" w:hRule="atLeast"/>
        </w:trPr>
        <w:tc>
          <w:tcPr>
            <w:tcW w:w="5159" w:type="dxa"/>
            <w:tcBorders/>
          </w:tcPr>
          <w:p>
            <w:pPr>
              <w:pStyle w:val="Normal"/>
              <w:widowControl w:val="false"/>
              <w:rPr>
                <w:b/>
                <w:b/>
                <w:sz w:val="22"/>
                <w:szCs w:val="22"/>
                <w:lang w:val="ru-RU"/>
              </w:rPr>
            </w:pPr>
            <w:r>
              <w:rPr>
                <w:b/>
                <w:sz w:val="22"/>
                <w:szCs w:val="22"/>
                <w:lang w:val="ru-RU"/>
              </w:rPr>
            </w:r>
          </w:p>
          <w:p>
            <w:pPr>
              <w:pStyle w:val="Normal"/>
              <w:widowControl w:val="false"/>
              <w:snapToGrid w:val="false"/>
              <w:ind w:right="283" w:hanging="0"/>
              <w:rPr>
                <w:b/>
                <w:b/>
                <w:color w:val="000000"/>
                <w:sz w:val="18"/>
                <w:szCs w:val="18"/>
                <w:lang w:val="ru-RU"/>
              </w:rPr>
            </w:pPr>
            <w:r>
              <w:rPr>
                <w:b/>
                <w:color w:val="000000"/>
                <w:sz w:val="18"/>
                <w:szCs w:val="18"/>
                <w:lang w:val="ru-RU"/>
              </w:rPr>
            </w:r>
          </w:p>
          <w:p>
            <w:pPr>
              <w:pStyle w:val="Normal"/>
              <w:widowControl w:val="false"/>
              <w:snapToGrid w:val="false"/>
              <w:ind w:right="283" w:hanging="0"/>
              <w:rPr>
                <w:b/>
                <w:b/>
                <w:color w:val="000000"/>
                <w:sz w:val="18"/>
                <w:szCs w:val="18"/>
              </w:rPr>
            </w:pPr>
            <w:r>
              <w:rPr>
                <w:b/>
                <w:color w:val="000000"/>
                <w:sz w:val="18"/>
                <w:szCs w:val="18"/>
              </w:rPr>
            </w:r>
          </w:p>
          <w:p>
            <w:pPr>
              <w:pStyle w:val="Normal"/>
              <w:widowControl w:val="false"/>
              <w:snapToGrid w:val="false"/>
              <w:ind w:right="283" w:hanging="0"/>
              <w:rPr>
                <w:color w:val="000000"/>
              </w:rPr>
            </w:pPr>
            <w:r>
              <w:rPr>
                <w:color w:val="000000"/>
              </w:rPr>
              <w:t>____________/</w:t>
            </w:r>
            <w:r>
              <w:rPr>
                <w:color w:val="000000"/>
                <w:lang w:val="ru-RU"/>
              </w:rPr>
              <w:t>_______________</w:t>
            </w:r>
            <w:r>
              <w:rPr>
                <w:color w:val="000000"/>
              </w:rPr>
              <w:t xml:space="preserve"> /</w:t>
            </w:r>
          </w:p>
          <w:p>
            <w:pPr>
              <w:pStyle w:val="Normal"/>
              <w:widowControl w:val="false"/>
              <w:snapToGrid w:val="false"/>
              <w:ind w:right="283" w:hanging="0"/>
              <w:rPr>
                <w:sz w:val="22"/>
                <w:szCs w:val="22"/>
              </w:rPr>
            </w:pPr>
            <w:r>
              <w:rPr>
                <w:rFonts w:eastAsia="Andale Sans UI;Arial Unicode MS" w:cs="Times New Roman"/>
                <w:b/>
                <w:color w:val="000000"/>
                <w:sz w:val="22"/>
                <w:szCs w:val="22"/>
                <w:lang w:val="ru-RU" w:eastAsia="zh-CN" w:bidi="ar-SA"/>
              </w:rPr>
              <w:t>м.п.</w:t>
            </w:r>
          </w:p>
        </w:tc>
        <w:tc>
          <w:tcPr>
            <w:tcW w:w="5634" w:type="dxa"/>
            <w:tcBorders/>
          </w:tcPr>
          <w:p>
            <w:pPr>
              <w:pStyle w:val="Normal"/>
              <w:widowControl w:val="false"/>
              <w:ind w:left="34" w:hanging="0"/>
              <w:rPr>
                <w:sz w:val="22"/>
                <w:szCs w:val="22"/>
              </w:rPr>
            </w:pPr>
            <w:r>
              <w:rPr>
                <w:b/>
                <w:sz w:val="22"/>
                <w:szCs w:val="22"/>
                <w:lang w:val="ru-RU"/>
              </w:rPr>
              <w:t>И.о.</w:t>
            </w:r>
            <w:r>
              <w:rPr>
                <w:b/>
                <w:sz w:val="22"/>
                <w:szCs w:val="22"/>
                <w:lang w:val="ru-RU"/>
              </w:rPr>
              <w:t>Главн</w:t>
            </w:r>
            <w:r>
              <w:rPr>
                <w:b/>
                <w:sz w:val="22"/>
                <w:szCs w:val="22"/>
                <w:lang w:val="ru-RU"/>
              </w:rPr>
              <w:t>ого</w:t>
            </w:r>
            <w:r>
              <w:rPr>
                <w:b/>
                <w:sz w:val="22"/>
                <w:szCs w:val="22"/>
                <w:lang w:val="ru-RU"/>
              </w:rPr>
              <w:t xml:space="preserve"> врач</w:t>
            </w:r>
            <w:r>
              <w:rPr>
                <w:b/>
                <w:sz w:val="22"/>
                <w:szCs w:val="22"/>
                <w:lang w:val="ru-RU"/>
              </w:rPr>
              <w:t>а</w:t>
            </w:r>
          </w:p>
          <w:p>
            <w:pPr>
              <w:pStyle w:val="Normal"/>
              <w:widowControl w:val="false"/>
              <w:ind w:left="34" w:hanging="0"/>
              <w:rPr>
                <w:sz w:val="22"/>
                <w:szCs w:val="22"/>
              </w:rPr>
            </w:pPr>
            <w:r>
              <w:rPr>
                <w:b/>
                <w:sz w:val="22"/>
                <w:szCs w:val="22"/>
              </w:rPr>
              <w:t>ФГБУЗ КБ № 8 ФМБА  России</w:t>
            </w:r>
          </w:p>
          <w:p>
            <w:pPr>
              <w:pStyle w:val="Normal"/>
              <w:widowControl w:val="false"/>
              <w:ind w:left="34" w:hanging="0"/>
              <w:rPr>
                <w:b/>
                <w:b/>
                <w:sz w:val="22"/>
                <w:szCs w:val="22"/>
              </w:rPr>
            </w:pPr>
            <w:r>
              <w:rPr>
                <w:b/>
                <w:sz w:val="22"/>
                <w:szCs w:val="22"/>
              </w:rPr>
            </w:r>
          </w:p>
          <w:p>
            <w:pPr>
              <w:pStyle w:val="Normal"/>
              <w:widowControl w:val="false"/>
              <w:ind w:left="34" w:hanging="0"/>
              <w:rPr>
                <w:sz w:val="22"/>
                <w:szCs w:val="22"/>
              </w:rPr>
            </w:pPr>
            <w:r>
              <w:rPr>
                <w:b/>
                <w:sz w:val="22"/>
                <w:szCs w:val="22"/>
              </w:rPr>
              <w:t xml:space="preserve">    </w:t>
            </w:r>
            <w:r>
              <w:rPr>
                <w:b/>
                <w:sz w:val="22"/>
                <w:szCs w:val="22"/>
              </w:rPr>
              <w:t>_______________</w:t>
            </w:r>
            <w:r>
              <w:rPr>
                <w:sz w:val="22"/>
                <w:szCs w:val="22"/>
              </w:rPr>
              <w:t xml:space="preserve"> /</w:t>
            </w:r>
            <w:r>
              <w:rPr>
                <w:b/>
                <w:bCs/>
                <w:sz w:val="22"/>
                <w:szCs w:val="22"/>
                <w:lang w:val="ru-RU"/>
              </w:rPr>
              <w:t>А.С.Индин</w:t>
            </w:r>
            <w:r>
              <w:rPr>
                <w:b/>
                <w:sz w:val="22"/>
                <w:szCs w:val="22"/>
                <w:lang w:val="ru-RU"/>
              </w:rPr>
              <w:t>/</w:t>
            </w:r>
          </w:p>
          <w:p>
            <w:pPr>
              <w:pStyle w:val="Normal"/>
              <w:widowControl w:val="false"/>
              <w:ind w:left="34" w:hanging="0"/>
              <w:rPr>
                <w:sz w:val="22"/>
                <w:szCs w:val="22"/>
              </w:rPr>
            </w:pPr>
            <w:r>
              <w:rPr>
                <w:sz w:val="22"/>
                <w:szCs w:val="22"/>
              </w:rPr>
            </w:r>
          </w:p>
        </w:tc>
      </w:tr>
    </w:tbl>
    <w:p>
      <w:pPr>
        <w:pStyle w:val="Normal"/>
        <w:ind w:firstLine="426"/>
        <w:jc w:val="right"/>
        <w:rPr>
          <w:rStyle w:val="Fontstyle01"/>
          <w:rFonts w:cs="Times New Roman"/>
          <w:b w:val="false"/>
          <w:b w:val="false"/>
          <w:sz w:val="24"/>
          <w:szCs w:val="24"/>
        </w:rPr>
      </w:pPr>
      <w:r>
        <w:rPr>
          <w:rFonts w:cs="Times New Roman"/>
          <w:b w:val="false"/>
          <w:sz w:val="24"/>
          <w:szCs w:val="24"/>
        </w:rPr>
      </w:r>
    </w:p>
    <w:p>
      <w:pPr>
        <w:pStyle w:val="Normal"/>
        <w:ind w:firstLine="426"/>
        <w:jc w:val="right"/>
        <w:rPr>
          <w:rStyle w:val="Fontstyle01"/>
          <w:rFonts w:cs="Times New Roman"/>
          <w:b w:val="false"/>
          <w:b w:val="false"/>
          <w:sz w:val="24"/>
          <w:szCs w:val="24"/>
        </w:rPr>
      </w:pPr>
      <w:r>
        <w:rPr>
          <w:rFonts w:cs="Times New Roman"/>
          <w:b w:val="false"/>
          <w:sz w:val="24"/>
          <w:szCs w:val="24"/>
        </w:rPr>
      </w:r>
    </w:p>
    <w:p>
      <w:pPr>
        <w:pStyle w:val="Normal"/>
        <w:ind w:firstLine="426"/>
        <w:jc w:val="right"/>
        <w:rPr>
          <w:rStyle w:val="Fontstyle01"/>
          <w:rFonts w:cs="Times New Roman"/>
          <w:b w:val="false"/>
          <w:b w:val="false"/>
          <w:sz w:val="24"/>
          <w:szCs w:val="24"/>
        </w:rPr>
      </w:pPr>
      <w:r>
        <w:rPr>
          <w:rFonts w:cs="Times New Roman"/>
          <w:b w:val="false"/>
          <w:sz w:val="24"/>
          <w:szCs w:val="24"/>
        </w:rPr>
      </w:r>
    </w:p>
    <w:p>
      <w:pPr>
        <w:pStyle w:val="Normal"/>
        <w:rPr>
          <w:rStyle w:val="Fontstyle01"/>
          <w:rFonts w:cs="Times New Roman"/>
          <w:b w:val="false"/>
          <w:b w:val="false"/>
          <w:sz w:val="24"/>
          <w:szCs w:val="24"/>
        </w:rPr>
      </w:pPr>
      <w:r>
        <w:rPr>
          <w:rFonts w:cs="Times New Roman"/>
          <w:b w:val="false"/>
          <w:sz w:val="24"/>
          <w:szCs w:val="24"/>
        </w:rPr>
      </w:r>
    </w:p>
    <w:p>
      <w:pPr>
        <w:pStyle w:val="Normal"/>
        <w:ind w:firstLine="426"/>
        <w:jc w:val="right"/>
        <w:rPr>
          <w:rStyle w:val="Fontstyle01"/>
          <w:rFonts w:cs="Times New Roman"/>
          <w:b w:val="false"/>
          <w:b w:val="false"/>
          <w:sz w:val="24"/>
          <w:szCs w:val="24"/>
        </w:rPr>
      </w:pPr>
      <w:r>
        <w:rPr>
          <w:rFonts w:cs="Times New Roman"/>
          <w:b w:val="false"/>
          <w:sz w:val="24"/>
          <w:szCs w:val="24"/>
        </w:rPr>
      </w:r>
    </w:p>
    <w:p>
      <w:pPr>
        <w:pStyle w:val="Normal"/>
        <w:ind w:firstLine="426"/>
        <w:jc w:val="right"/>
        <w:rPr>
          <w:rStyle w:val="Fontstyle01"/>
          <w:rFonts w:cs="Times New Roman"/>
          <w:b/>
          <w:b/>
          <w:bCs/>
          <w:sz w:val="24"/>
          <w:szCs w:val="24"/>
        </w:rPr>
      </w:pPr>
      <w:r>
        <w:rPr>
          <w:rFonts w:cs="Times New Roman"/>
          <w:b/>
          <w:bCs/>
          <w:sz w:val="24"/>
          <w:szCs w:val="24"/>
        </w:rPr>
      </w:r>
    </w:p>
    <w:p>
      <w:pPr>
        <w:pStyle w:val="Normal"/>
        <w:ind w:firstLine="426"/>
        <w:jc w:val="right"/>
        <w:rPr>
          <w:rFonts w:cs="Times New Roman"/>
          <w:sz w:val="28"/>
          <w:szCs w:val="28"/>
        </w:rPr>
      </w:pPr>
      <w:r>
        <w:rPr>
          <w:rFonts w:cs="Times New Roman"/>
          <w:sz w:val="28"/>
          <w:szCs w:val="28"/>
        </w:rPr>
        <w:tab/>
      </w:r>
    </w:p>
    <w:p>
      <w:pPr>
        <w:pStyle w:val="Normal"/>
        <w:rPr/>
      </w:pPr>
      <w:r>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imesNewRomanPS-BoldMT">
    <w:altName w:val="Times Ne"/>
    <w:charset w:val="cc"/>
    <w:family w:val="roman"/>
    <w:pitch w:val="variable"/>
  </w:font>
  <w:font w:name="Liberation Sans">
    <w:altName w:val="Arial"/>
    <w:charset w:val="cc"/>
    <w:family w:val="roman"/>
    <w:pitch w:val="variable"/>
  </w:font>
  <w:font w:name="Arial">
    <w:charset w:val="cc"/>
    <w:family w:val="roman"/>
    <w:pitch w:val="variable"/>
  </w:font>
  <w:font w:name="Times New Roman CYR">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sz w:val="22"/>
        <w:b/>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6"/>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ndale Sans UI" w:cs="Tahoma"/>
        <w:kern w:val="2"/>
        <w:sz w:val="24"/>
        <w:szCs w:val="24"/>
        <w:lang w:val="de-DE" w:eastAsia="ja-JP" w:bidi="fa-IR"/>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0282c"/>
    <w:pPr>
      <w:widowControl w:val="false"/>
      <w:suppressAutoHyphens w:val="true"/>
      <w:bidi w:val="0"/>
      <w:spacing w:before="0" w:after="0"/>
      <w:jc w:val="left"/>
    </w:pPr>
    <w:rPr>
      <w:rFonts w:ascii="Times New Roman" w:hAnsi="Times New Roman" w:eastAsia="Andale Sans UI" w:cs="Tahoma"/>
      <w:color w:val="auto"/>
      <w:kern w:val="2"/>
      <w:sz w:val="24"/>
      <w:szCs w:val="24"/>
      <w:lang w:val="de-DE" w:eastAsia="ja-JP" w:bidi="fa-IR"/>
    </w:rPr>
  </w:style>
  <w:style w:type="character" w:styleId="DefaultParagraphFont" w:default="1">
    <w:name w:val="Default Paragraph Font"/>
    <w:uiPriority w:val="1"/>
    <w:semiHidden/>
    <w:unhideWhenUsed/>
    <w:qFormat/>
    <w:rPr/>
  </w:style>
  <w:style w:type="character" w:styleId="Style14" w:customStyle="1">
    <w:name w:val="Интернет-ссылка"/>
    <w:basedOn w:val="DefaultParagraphFont"/>
    <w:rsid w:val="0070282c"/>
    <w:rPr>
      <w:color w:val="0563C1"/>
      <w:u w:val="single"/>
    </w:rPr>
  </w:style>
  <w:style w:type="character" w:styleId="Style15" w:customStyle="1">
    <w:name w:val="Посещённая гиперссылка"/>
    <w:rsid w:val="0070282c"/>
    <w:rPr>
      <w:color w:val="800080"/>
      <w:u w:val="single"/>
    </w:rPr>
  </w:style>
  <w:style w:type="character" w:styleId="Style16" w:customStyle="1">
    <w:name w:val="Основной текст с отступом Знак"/>
    <w:basedOn w:val="DefaultParagraphFont"/>
    <w:uiPriority w:val="99"/>
    <w:semiHidden/>
    <w:qFormat/>
    <w:rsid w:val="00f134c1"/>
    <w:rPr/>
  </w:style>
  <w:style w:type="character" w:styleId="Fontstyle01" w:customStyle="1">
    <w:name w:val="fontstyle01"/>
    <w:qFormat/>
    <w:rPr>
      <w:rFonts w:ascii="TimesNewRomanPS-BoldMT;Times Ne" w:hAnsi="TimesNewRomanPS-BoldMT;Times Ne" w:cs="TimesNewRomanPS-BoldMT;Times Ne"/>
      <w:b/>
      <w:bCs/>
      <w:i w:val="false"/>
      <w:iCs w:val="false"/>
      <w:color w:val="000000"/>
      <w:sz w:val="28"/>
      <w:szCs w:val="28"/>
    </w:rPr>
  </w:style>
  <w:style w:type="character" w:styleId="FontStyle31" w:customStyle="1">
    <w:name w:val="Font Style31"/>
    <w:qFormat/>
    <w:rPr>
      <w:rFonts w:ascii="Times New Roman" w:hAnsi="Times New Roman" w:cs="Times New Roman"/>
      <w:sz w:val="26"/>
    </w:rPr>
  </w:style>
  <w:style w:type="paragraph" w:styleId="Style17">
    <w:name w:val="Заголовок"/>
    <w:basedOn w:val="Normal"/>
    <w:next w:val="Style18"/>
    <w:qFormat/>
    <w:pPr>
      <w:keepNext w:val="true"/>
      <w:spacing w:before="240" w:after="120"/>
    </w:pPr>
    <w:rPr>
      <w:rFonts w:ascii="Liberation Sans" w:hAnsi="Liberation Sans" w:eastAsia="Microsoft YaHei" w:cs="Arial"/>
      <w:sz w:val="28"/>
      <w:szCs w:val="28"/>
    </w:rPr>
  </w:style>
  <w:style w:type="paragraph" w:styleId="Style18">
    <w:name w:val="Body Text"/>
    <w:basedOn w:val="Normal"/>
    <w:rsid w:val="0070282c"/>
    <w:pPr>
      <w:spacing w:before="0" w:after="120"/>
    </w:pPr>
    <w:rPr/>
  </w:style>
  <w:style w:type="paragraph" w:styleId="Style19">
    <w:name w:val="List"/>
    <w:basedOn w:val="Style18"/>
    <w:rsid w:val="0070282c"/>
    <w:pPr/>
    <w:rPr/>
  </w:style>
  <w:style w:type="paragraph" w:styleId="Style20">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lang w:val="zxx" w:eastAsia="zxx" w:bidi="zxx"/>
    </w:rPr>
  </w:style>
  <w:style w:type="paragraph" w:styleId="11" w:customStyle="1">
    <w:name w:val="Заголовок 11"/>
    <w:basedOn w:val="Normal"/>
    <w:next w:val="Normal"/>
    <w:qFormat/>
    <w:rsid w:val="0070282c"/>
    <w:pPr>
      <w:keepNext w:val="true"/>
      <w:numPr>
        <w:ilvl w:val="0"/>
        <w:numId w:val="1"/>
      </w:numPr>
      <w:spacing w:lineRule="atLeast" w:line="240"/>
      <w:jc w:val="center"/>
      <w:outlineLvl w:val="0"/>
    </w:pPr>
    <w:rPr>
      <w:b/>
      <w:sz w:val="28"/>
      <w:lang w:val="ru-RU"/>
    </w:rPr>
  </w:style>
  <w:style w:type="paragraph" w:styleId="1" w:customStyle="1">
    <w:name w:val="Заголовок1"/>
    <w:basedOn w:val="Normal"/>
    <w:next w:val="Style18"/>
    <w:qFormat/>
    <w:rsid w:val="0070282c"/>
    <w:pPr>
      <w:keepNext w:val="true"/>
      <w:spacing w:before="240" w:after="120"/>
    </w:pPr>
    <w:rPr>
      <w:rFonts w:ascii="Arial" w:hAnsi="Arial"/>
      <w:sz w:val="28"/>
      <w:szCs w:val="28"/>
    </w:rPr>
  </w:style>
  <w:style w:type="paragraph" w:styleId="12" w:customStyle="1">
    <w:name w:val="Название объекта1"/>
    <w:basedOn w:val="Normal"/>
    <w:qFormat/>
    <w:rsid w:val="0070282c"/>
    <w:pPr>
      <w:suppressLineNumbers/>
      <w:spacing w:before="120" w:after="120"/>
    </w:pPr>
    <w:rPr>
      <w:i/>
      <w:iCs/>
    </w:rPr>
  </w:style>
  <w:style w:type="paragraph" w:styleId="Indexheading">
    <w:name w:val="index heading"/>
    <w:basedOn w:val="Normal"/>
    <w:qFormat/>
    <w:rsid w:val="0070282c"/>
    <w:pPr>
      <w:suppressLineNumbers/>
    </w:pPr>
    <w:rPr/>
  </w:style>
  <w:style w:type="paragraph" w:styleId="Style22" w:customStyle="1">
    <w:name w:val="Содержимое таблицы"/>
    <w:basedOn w:val="Normal"/>
    <w:qFormat/>
    <w:rsid w:val="0070282c"/>
    <w:pPr>
      <w:suppressLineNumbers/>
    </w:pPr>
    <w:rPr/>
  </w:style>
  <w:style w:type="paragraph" w:styleId="NormalWeb">
    <w:name w:val="Normal (Web)"/>
    <w:basedOn w:val="Normal"/>
    <w:qFormat/>
    <w:rsid w:val="0070282c"/>
    <w:pPr>
      <w:spacing w:before="280" w:after="100"/>
    </w:pPr>
    <w:rPr>
      <w:rFonts w:eastAsia="Calibri"/>
    </w:rPr>
  </w:style>
  <w:style w:type="paragraph" w:styleId="ListParagraph">
    <w:name w:val="List Paragraph"/>
    <w:basedOn w:val="Normal"/>
    <w:qFormat/>
    <w:rsid w:val="00444d15"/>
    <w:pPr>
      <w:ind w:left="720" w:hanging="0"/>
    </w:pPr>
    <w:rPr/>
  </w:style>
  <w:style w:type="paragraph" w:styleId="Style23">
    <w:name w:val="Body Text Indent"/>
    <w:basedOn w:val="Normal"/>
    <w:link w:val="Style16"/>
    <w:uiPriority w:val="99"/>
    <w:semiHidden/>
    <w:unhideWhenUsed/>
    <w:rsid w:val="00f134c1"/>
    <w:pPr>
      <w:spacing w:before="0" w:after="120"/>
      <w:ind w:left="283" w:hanging="0"/>
    </w:pPr>
    <w:rPr/>
  </w:style>
  <w:style w:type="paragraph" w:styleId="NoSpacing">
    <w:name w:val="No Spacing"/>
    <w:qFormat/>
    <w:pPr>
      <w:widowControl/>
      <w:suppressAutoHyphens w:val="true"/>
      <w:bidi w:val="0"/>
      <w:spacing w:before="0" w:after="0"/>
      <w:jc w:val="left"/>
    </w:pPr>
    <w:rPr>
      <w:rFonts w:ascii="Times New Roman" w:hAnsi="Times New Roman" w:eastAsia="Andale Sans UI" w:cs="Tahoma"/>
      <w:color w:val="auto"/>
      <w:kern w:val="2"/>
      <w:sz w:val="24"/>
      <w:szCs w:val="24"/>
      <w:lang w:val="de-DE" w:eastAsia="ja-JP" w:bidi="fa-IR"/>
    </w:rPr>
  </w:style>
  <w:style w:type="paragraph" w:styleId="Style24" w:customStyle="1">
    <w:name w:val="Заголовок таблицы"/>
    <w:basedOn w:val="Style22"/>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706557356161AAF3938123594DF1E42ADF0B66C51D27F5C8BABB2754D78117A25F339B3CoFj5H"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441</TotalTime>
  <Application>LibreOffice/7.3.0.3$Windows_X86_64 LibreOffice_project/0f246aa12d0eee4a0f7adcefbf7c878fc2238db3</Application>
  <AppVersion>15.0000</AppVersion>
  <Pages>5</Pages>
  <Words>1485</Words>
  <Characters>10470</Characters>
  <CharactersWithSpaces>11934</CharactersWithSpaces>
  <Paragraphs>105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2025-02-04T08:04:00Z</dcterms:created>
  <dc:creator>13</dc:creator>
  <dc:description/>
  <dc:language>ru-RU</dc:language>
  <cp:lastModifiedBy/>
  <dcterms:modified xsi:type="dcterms:W3CDTF">2026-08-10T10:18:15Z</dcterms:modified>
  <cp:revision>65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