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14CF" w14:textId="6759094E" w:rsidR="00B32578" w:rsidRPr="00E840D0" w:rsidRDefault="00FE36A5" w:rsidP="00B3257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ru-RU"/>
        </w:rPr>
        <w:t xml:space="preserve"> </w:t>
      </w:r>
      <w:r w:rsidR="00152C27" w:rsidRPr="00E840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</w:t>
      </w:r>
      <w:r w:rsidR="00B32578" w:rsidRPr="00E840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ЛИЦЕНЗИОННЫЙ ДОГОВОР № </w:t>
      </w:r>
      <w:r w:rsidR="00D835C2" w:rsidRPr="00E840D0">
        <w:rPr>
          <w:rFonts w:ascii="Times New Roman" w:eastAsia="Arial" w:hAnsi="Times New Roman" w:cs="Times New Roman"/>
          <w:b/>
          <w:w w:val="105"/>
          <w:sz w:val="24"/>
          <w:szCs w:val="24"/>
        </w:rPr>
        <w:t>С-О-ПД-77/26-5-4219</w:t>
      </w:r>
    </w:p>
    <w:tbl>
      <w:tblPr>
        <w:tblW w:w="97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5134"/>
        <w:gridCol w:w="159"/>
      </w:tblGrid>
      <w:tr w:rsidR="00345BCD" w:rsidRPr="00E840D0" w14:paraId="4B94F1CD" w14:textId="77777777" w:rsidTr="002811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20810" w14:textId="77777777" w:rsidR="00345BCD" w:rsidRPr="00E840D0" w:rsidRDefault="00345BCD" w:rsidP="002811BA">
            <w:pPr>
              <w:spacing w:after="0" w:line="240" w:lineRule="auto"/>
              <w:ind w:firstLine="5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E840D0">
              <w:rPr>
                <w:sz w:val="20"/>
                <w:szCs w:val="20"/>
              </w:rPr>
              <w:t>.</w:t>
            </w: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38" w:rsidRPr="00E840D0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0" w:type="auto"/>
            <w:vAlign w:val="center"/>
          </w:tcPr>
          <w:p w14:paraId="248C36DD" w14:textId="10597F5E" w:rsidR="00345BCD" w:rsidRPr="00E840D0" w:rsidRDefault="00FE36A5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___________</w:t>
            </w:r>
            <w:r w:rsidR="00345BCD" w:rsidRPr="00E840D0">
              <w:rPr>
                <w:rFonts w:ascii="Times New Roman" w:eastAsia="Arial" w:hAnsi="Times New Roman" w:cs="Times New Roman"/>
                <w:w w:val="105"/>
                <w:sz w:val="20"/>
                <w:szCs w:val="20"/>
                <w:lang w:val="en-US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2218916" w14:textId="77777777" w:rsidR="00345BCD" w:rsidRPr="00E840D0" w:rsidRDefault="00345BCD" w:rsidP="00281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DD77D05" w14:textId="77777777" w:rsidR="00DB10AF" w:rsidRPr="00E840D0" w:rsidRDefault="00D16664" w:rsidP="00DB10AF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"СПЕЦОПЕРАТОР"</w:t>
      </w:r>
      <w:r w:rsidR="004D2A53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80A95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</w:t>
      </w:r>
      <w:r w:rsidR="005A2D0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 Березка Олеси Викторовны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Устава, с одной стороны и</w:t>
      </w:r>
      <w:r w:rsidR="00D835C2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E840D0">
        <w:rPr>
          <w:rFonts w:ascii="Times New Roman" w:eastAsia="Arial" w:hAnsi="Times New Roman" w:cs="Times New Roman"/>
          <w:w w:val="105"/>
          <w:sz w:val="20"/>
          <w:szCs w:val="20"/>
        </w:rPr>
        <w:t>ФЕДЕРАЛЬНОЕ ГОСУДАРСТВЕННОЕ БЮДЖЕТНОЕ УЧРЕЖДЕНИЕ НАУКИ ИНСТИТУТ ВСЕОБЩЕЙ ИСТОРИИ РОССИЙСКОЙ АКАДЕМИИ НАУК</w:t>
      </w:r>
      <w:r w:rsidR="00D835C2" w:rsidRPr="00E840D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47EB" w:rsidRPr="00E840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35C2" w:rsidRPr="00E840D0">
        <w:rPr>
          <w:rFonts w:ascii="Times New Roman" w:eastAsia="Times New Roman" w:hAnsi="Times New Roman" w:cs="Times New Roman"/>
          <w:sz w:val="20"/>
          <w:szCs w:val="20"/>
        </w:rPr>
        <w:t xml:space="preserve">  именуемый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D2A53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</w:t>
      </w:r>
      <w:r w:rsidR="00D835C2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35C2" w:rsidRPr="00E840D0">
        <w:rPr>
          <w:rFonts w:ascii="Times New Roman" w:hAnsi="Times New Roman" w:cs="Times New Roman"/>
          <w:sz w:val="20"/>
          <w:szCs w:val="20"/>
          <w:shd w:val="clear" w:color="auto" w:fill="FFFFFF"/>
        </w:rPr>
        <w:t>директора</w:t>
      </w:r>
      <w:r w:rsidR="00F203A1" w:rsidRPr="00E840D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835C2" w:rsidRPr="00E840D0">
        <w:rPr>
          <w:rFonts w:ascii="Times New Roman" w:hAnsi="Times New Roman" w:cs="Times New Roman"/>
          <w:sz w:val="20"/>
        </w:rPr>
        <w:t>Липкина Михаила Аркадьевича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</w:t>
      </w:r>
      <w:r w:rsidR="0016006E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0C641B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5E71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совместно именуемые «Стороны», а по отдельности – «Сторона», </w:t>
      </w:r>
      <w:r w:rsidR="00DB10AF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 соблюдением требований Гражданского кодекса Российской Федерации, согласно 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Закон), и иных нормативных правовых актов Российской Федерации заключили настоящий контракт (далее - Договор) о нижеследующем:</w:t>
      </w:r>
    </w:p>
    <w:p w14:paraId="0C9FA6F2" w14:textId="3B2B7941" w:rsidR="00B32578" w:rsidRPr="00E840D0" w:rsidRDefault="00A6578C" w:rsidP="00DB10AF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B32578"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ПРЕДМЕТ ДОГОВОРА. </w:t>
      </w:r>
    </w:p>
    <w:p w14:paraId="63D45C9E" w14:textId="77777777" w:rsidR="00E117A0" w:rsidRPr="00E840D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 w14:paraId="64F1F6E8" w14:textId="77777777" w:rsidR="00E117A0" w:rsidRPr="00E840D0" w:rsidRDefault="00A6578C" w:rsidP="006F4EC8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>            1.1.1. 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периодического контроля защищенного подключения Суперсервису «Поступление в вуз онлайн»;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1.1.2. 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возможностями;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  <w:t>            1.1.3. Предоставление бессрочного права использования ПО VipNet Client for Windows 4.х (КС2) (реестровая запись №778 от 16.05.2016), новая версия, сеть 13833, включая дополнительные функциональные возможности.</w:t>
      </w:r>
    </w:p>
    <w:p w14:paraId="319A167F" w14:textId="77777777" w:rsidR="00A6578C" w:rsidRPr="00E840D0" w:rsidRDefault="00A6578C" w:rsidP="00E117A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 w14:paraId="7F5DD568" w14:textId="77777777" w:rsidR="00A6578C" w:rsidRPr="00E840D0" w:rsidRDefault="00A6578C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 xml:space="preserve">1.3. Сублицензиату представляются Программы с дополнительными функциональными возможностями, указанными в приложении к настоящему Договору. </w:t>
      </w:r>
    </w:p>
    <w:p w14:paraId="4DD0FDBA" w14:textId="77777777" w:rsidR="000B5162" w:rsidRPr="00E840D0" w:rsidRDefault="000B5162" w:rsidP="00E117A0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>1.4. Сублицензиату предоставляются следующие права использования: воспроизведение, ограниченное правом инсталляции, копирования и запуска.</w:t>
      </w:r>
    </w:p>
    <w:p w14:paraId="65A2A7A7" w14:textId="77777777" w:rsidR="00B32578" w:rsidRPr="00E840D0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B32578"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РАЗМЕР ВОЗНАГРАЖДЕНИЯ, ПОРЯДОК И СРОКИ ЕГО ВЫПЛАТЫ. </w:t>
      </w:r>
    </w:p>
    <w:p w14:paraId="2C069EC4" w14:textId="77777777" w:rsidR="00B32578" w:rsidRPr="00E840D0" w:rsidRDefault="00A6578C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D62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лицензионного вознаграждения составляет </w:t>
      </w:r>
      <w:r w:rsidR="00D835C2" w:rsidRPr="00E840D0">
        <w:rPr>
          <w:rFonts w:ascii="Times New Roman" w:eastAsia="Times New Roman" w:hAnsi="Times New Roman" w:cs="Times New Roman"/>
          <w:sz w:val="20"/>
          <w:szCs w:val="20"/>
        </w:rPr>
        <w:t>61 988.30 руб. (Шестьдесят одна тысяча девятьсот восемьдесят восемь рублей 30 копеек)</w:t>
      </w:r>
      <w:r w:rsidR="00912D62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прав по настоящему Договору НДС не облагается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(пп. 26 п. 2 ст. 149 НК РФ)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177737D" w14:textId="28D90E13" w:rsidR="00FE36A5" w:rsidRPr="00E840D0" w:rsidRDefault="00FE36A5" w:rsidP="00912D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Оплата по Договору осуществляется в рублях Российской Федерации из средств аспирантуры.</w:t>
      </w:r>
    </w:p>
    <w:p w14:paraId="15058AAA" w14:textId="00147C20" w:rsidR="00CC106A" w:rsidRPr="00E840D0" w:rsidRDefault="00080E31" w:rsidP="00B325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FE36A5"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Вознаграждение, предусмотренное настоящим Договором, оплачивается Сублицензиатом в течение </w:t>
      </w:r>
      <w:r w:rsidR="00DB10AF"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DB10AF"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семи</w:t>
      </w:r>
      <w:r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) рабочих дней со дня подписания Сторонами акта приёма-передачи.</w:t>
      </w:r>
    </w:p>
    <w:p w14:paraId="10A55DD9" w14:textId="3D882EE0" w:rsidR="00B32578" w:rsidRPr="00E840D0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E36A5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Уплата вознаграждения производится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российских рублях путем зачисления денежных средств на расчетный счет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330E0940" w14:textId="0C98F6EE" w:rsidR="00B32578" w:rsidRPr="00E840D0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E36A5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оплаты является дата зачисления денежных средств на расчетный счет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14:paraId="3C85B7AA" w14:textId="77777777" w:rsidR="00B32578" w:rsidRPr="00E840D0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32578" w:rsidRPr="00E8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ПЕРЕДАЧА ПРАВ. </w:t>
      </w:r>
    </w:p>
    <w:p w14:paraId="70E3BF4F" w14:textId="77777777" w:rsidR="00080E31" w:rsidRPr="00E840D0" w:rsidRDefault="00080E31" w:rsidP="00080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t xml:space="preserve"> </w:t>
      </w:r>
      <w:r w:rsidRPr="00E840D0">
        <w:rPr>
          <w:rFonts w:ascii="Times New Roman" w:hAnsi="Times New Roman" w:cs="Times New Roman"/>
          <w:color w:val="000000" w:themeColor="text1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 w14:paraId="6C2F2FA2" w14:textId="77777777" w:rsidR="00B32578" w:rsidRPr="00E840D0" w:rsidRDefault="00A6578C" w:rsidP="00CC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оформляется актом приёма-передачи. </w:t>
      </w:r>
    </w:p>
    <w:p w14:paraId="69435675" w14:textId="77777777" w:rsidR="00B32578" w:rsidRPr="00E840D0" w:rsidRDefault="00A6578C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 течение 3 (трех) рабочих дней с момента получения акта приёма-передачи подписать его и предоставить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у, либо предоставить письменный мотивированный отказ от его подписания. В случае непредоставления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подписанного акта приёма-передачи или письменного мотивированного отказа в указанные сроки права считаются переданными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и принятыми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B3257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в полном объёме. </w:t>
      </w:r>
    </w:p>
    <w:p w14:paraId="005D62E9" w14:textId="195C3BD5" w:rsidR="00FE36A5" w:rsidRPr="00E840D0" w:rsidRDefault="00FE36A5" w:rsidP="00FE36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3.4.  По факту приемки Заказчик формирует и подписывает акт приемки ТРУ (по форме 0510452 в соответствии с законодательством), в котором указывается дата и номер договора. При наличии технической возможности у обеих сторон акт приемки ТРУ по форме 0510452 подписывается Заказчиком и направляется одновременно с УПД в адрес Исполнителем с использованием ЭДО. При отсутствии технической возможности акт приемки ТРУ по форме 0510452 подписывается Заказчиком на бумажном носителе и направляется в адрес Исполнителя.</w:t>
      </w:r>
    </w:p>
    <w:p w14:paraId="04F17BBE" w14:textId="19A83AAC" w:rsidR="00FE36A5" w:rsidRPr="00E840D0" w:rsidRDefault="00FE36A5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58A30A" w14:textId="77777777" w:rsidR="00876CAD" w:rsidRPr="00E840D0" w:rsidRDefault="00876CAD" w:rsidP="00B32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739CFB" w14:textId="77777777" w:rsidR="00876CAD" w:rsidRPr="00E840D0" w:rsidRDefault="00A6578C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И ОБЯЗАННОСТИ СТОРОН.</w:t>
      </w:r>
    </w:p>
    <w:p w14:paraId="345A4E08" w14:textId="77777777" w:rsidR="00876CAD" w:rsidRPr="00E840D0" w:rsidRDefault="00876CAD" w:rsidP="00876C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7064B2" w14:textId="77777777" w:rsidR="00876CAD" w:rsidRPr="00E840D0" w:rsidRDefault="00A6578C" w:rsidP="00C732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 настоящему Договору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право использования </w:t>
      </w:r>
      <w:r w:rsidR="00C7323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способами</w:t>
      </w:r>
      <w:r w:rsidR="00C73238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предусмотренными ст. 1280 ГК РФ и настоящим Договором</w:t>
      </w:r>
    </w:p>
    <w:p w14:paraId="7DD3C7B1" w14:textId="77777777" w:rsidR="00876CAD" w:rsidRPr="00E840D0" w:rsidRDefault="00A6578C" w:rsidP="003B6AFA">
      <w:pPr>
        <w:spacing w:after="0"/>
        <w:ind w:firstLine="567"/>
        <w:rPr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14:paraId="40A0D8FF" w14:textId="77777777" w:rsidR="00876CAD" w:rsidRPr="00E840D0" w:rsidRDefault="00A6578C" w:rsidP="003B6AFA">
      <w:pPr>
        <w:pStyle w:val="a7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.2.1. Представить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у документы и информацию (исходные данные</w:t>
      </w:r>
      <w:r w:rsidR="002A6F6C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следующему п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</w:t>
      </w:r>
      <w:r w:rsidR="002A6F6C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ню 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исходных данных:</w:t>
      </w:r>
    </w:p>
    <w:p w14:paraId="75B186AD" w14:textId="77777777" w:rsidR="00876CAD" w:rsidRPr="00E840D0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и сокращенное наименование организации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Сублицензиат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а, организационно-правовая форма, юридический адрес и адреса размещения информационной системы (ИС) организации.</w:t>
      </w:r>
    </w:p>
    <w:p w14:paraId="36888519" w14:textId="77777777" w:rsidR="00876CAD" w:rsidRPr="00E840D0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 w14:paraId="2E66D970" w14:textId="77777777" w:rsidR="00876CAD" w:rsidRPr="00E840D0" w:rsidRDefault="00876CAD" w:rsidP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Организационно-распорядительная документация по защите ПДн, имеющаяся в организации на момент проведения предварительного обследования.</w:t>
      </w:r>
    </w:p>
    <w:p w14:paraId="3AB070DC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 w14:paraId="1DE6733A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 w14:paraId="2CDF409A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14:paraId="0BBE2732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 w14:paraId="18F25513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и количество ПДн, обрабатываемых в организации.</w:t>
      </w:r>
    </w:p>
    <w:p w14:paraId="23B67E50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 обработки ПДн в организации.</w:t>
      </w:r>
    </w:p>
    <w:p w14:paraId="2B1896AF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ПДн, их роли и возможности, должностные (функциональные обязанности), фамилия и инициалы. </w:t>
      </w:r>
    </w:p>
    <w:p w14:paraId="69598652" w14:textId="77777777" w:rsidR="00876CAD" w:rsidRPr="00E840D0" w:rsidRDefault="00876CAD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ИСПДн. </w:t>
      </w:r>
    </w:p>
    <w:p w14:paraId="2A82F452" w14:textId="77777777" w:rsidR="00876CAD" w:rsidRPr="00E840D0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 w14:paraId="7CE3C347" w14:textId="77777777" w:rsidR="00876CAD" w:rsidRPr="00E840D0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.2.2. Обеспечить допуск специалистов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а к объекту</w:t>
      </w:r>
      <w:r w:rsidR="002A6F6C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необходимости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создать условия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для </w:t>
      </w:r>
      <w:r w:rsidR="00374D40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 своих обязательств по настоящему Договору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8C784A9" w14:textId="77777777" w:rsidR="00876CAD" w:rsidRPr="00E840D0" w:rsidRDefault="00A6578C" w:rsidP="00876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.2.3. Выплатить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у вознаграждение по настоящему Договору в полном объеме.</w:t>
      </w:r>
    </w:p>
    <w:p w14:paraId="293929A1" w14:textId="77777777" w:rsidR="00876CAD" w:rsidRPr="00E840D0" w:rsidRDefault="00A6578C" w:rsidP="003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.2.4. Не позднее пяти рабочих дней с даты заключения Договора предоставить </w:t>
      </w:r>
      <w:r w:rsidR="00372819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Сублицензиар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у цветные сканированные копии надлежащим образом оформленных документов, а именно:</w:t>
      </w:r>
    </w:p>
    <w:p w14:paraId="10FEBDFD" w14:textId="77777777" w:rsidR="00876CAD" w:rsidRPr="00E840D0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 w14:paraId="17CB44BE" w14:textId="77777777" w:rsidR="00876CAD" w:rsidRPr="00E840D0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технический паспорт объекта информатизации;</w:t>
      </w:r>
    </w:p>
    <w:p w14:paraId="6C18D87B" w14:textId="77777777" w:rsidR="00876CAD" w:rsidRPr="00E840D0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 w14:paraId="1035CE03" w14:textId="77777777" w:rsidR="00876CAD" w:rsidRPr="00E840D0" w:rsidRDefault="00876CAD" w:rsidP="003B6AFA">
      <w:pPr>
        <w:pStyle w:val="a7"/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 w14:paraId="7B2D0F25" w14:textId="77777777" w:rsidR="00876CAD" w:rsidRPr="00E840D0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76CA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B73AFE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неисполнения/ненадлежащего исполнения Сублицензиатом своих обязательств, предусмотренных п. </w:t>
      </w:r>
      <w:r w:rsidR="00197BEC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73AFE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 w14:paraId="0AAAF847" w14:textId="77777777" w:rsidR="00716DEB" w:rsidRPr="00E840D0" w:rsidRDefault="00A6578C" w:rsidP="003B6AFA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6DEB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 </w:t>
      </w:r>
      <w:r w:rsidR="004D553F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Сублицензиар </w:t>
      </w:r>
      <w:r w:rsidR="00716DEB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несет ответственность за соответствие Программы ожиданиям Сублицензиата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 w14:paraId="5C037CC1" w14:textId="77777777" w:rsidR="00A6578C" w:rsidRPr="00E840D0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СТОРОН. </w:t>
      </w:r>
    </w:p>
    <w:p w14:paraId="0CD5E477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 w14:paraId="04AA4F5F" w14:textId="77777777" w:rsidR="00A6578C" w:rsidRPr="00E840D0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КОНФИДЕНЦИАЛЬНОСТЬ. </w:t>
      </w:r>
    </w:p>
    <w:p w14:paraId="14B3B473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 w14:paraId="4D1E5773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 w14:paraId="200DAF0C" w14:textId="77777777" w:rsidR="00A6578C" w:rsidRPr="00E840D0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РАЗРЕШЕНИЕ СПОРОВ. </w:t>
      </w:r>
    </w:p>
    <w:p w14:paraId="480111C9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 w14:paraId="6C142F39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7.2.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 w14:paraId="5D648A6D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При неурегулировании в процессе переговоров спорных вопросов споры разрешаются в Арбитражном суде Смоленской области. </w:t>
      </w:r>
    </w:p>
    <w:p w14:paraId="751F6703" w14:textId="77777777" w:rsidR="00A6578C" w:rsidRPr="00E840D0" w:rsidRDefault="00A6578C" w:rsidP="00A6578C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8. ДОПОЛНИТЕЛЬНЫЕ УСЛОВИЯ И ЗАКЛЮЧИТЕЛЬНЫЕ ПОЛОЖЕНИЯ. </w:t>
      </w:r>
    </w:p>
    <w:p w14:paraId="50BFE21D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 w14:paraId="6C524E78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 w14:paraId="2C994CED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8.3. Стороны пришли к соглашению, что заключение любого дополнительного соглашения к настоящему Договору осуществляется только в письменном виде на бумажном носителе. </w:t>
      </w:r>
    </w:p>
    <w:p w14:paraId="1028F957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8.4. Настоящий Договор составлен в двух экземплярах, имеющих одинаковую юридическую силу, из которых один находится у Сублицензиара, другой - у Сублицензиата. </w:t>
      </w:r>
    </w:p>
    <w:p w14:paraId="0EF23EE6" w14:textId="77777777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8.5. Сублицензиар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14:paraId="7E63AB2F" w14:textId="7EF84999" w:rsidR="00A6578C" w:rsidRPr="00E840D0" w:rsidRDefault="00A6578C" w:rsidP="00A65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8.6. Настоящий Договор действует </w:t>
      </w:r>
      <w:r w:rsidR="00C85A87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«31» декабря 2026 г. Окончание срока действия Договора не освобождает Стороны от выполнения обязательств, предусмотренных Договором, а также от ответственности за нарушение условий Договора.</w:t>
      </w:r>
    </w:p>
    <w:p w14:paraId="50AB1BAA" w14:textId="77777777" w:rsidR="00B32578" w:rsidRPr="00E840D0" w:rsidRDefault="00A6578C" w:rsidP="00B32578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9</w:t>
      </w:r>
      <w:r w:rsidR="00B32578" w:rsidRPr="00E840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299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87"/>
        <w:gridCol w:w="408"/>
        <w:gridCol w:w="4709"/>
        <w:gridCol w:w="405"/>
      </w:tblGrid>
      <w:tr w:rsidR="006E550E" w:rsidRPr="00E840D0" w14:paraId="61F056C8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vAlign w:val="center"/>
            <w:hideMark/>
          </w:tcPr>
          <w:p w14:paraId="4F5130AF" w14:textId="77777777" w:rsidR="006E550E" w:rsidRPr="00E840D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Сублицензиар</w:t>
            </w:r>
            <w:r w:rsidR="006E550E"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" w:type="pct"/>
            <w:vAlign w:val="center"/>
            <w:hideMark/>
          </w:tcPr>
          <w:p w14:paraId="78C580F0" w14:textId="77777777" w:rsidR="006E550E" w:rsidRPr="00E840D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vAlign w:val="center"/>
            <w:hideMark/>
          </w:tcPr>
          <w:p w14:paraId="4BF06F72" w14:textId="77777777" w:rsidR="006E550E" w:rsidRPr="00E840D0" w:rsidRDefault="004D553F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Сублицензиат</w:t>
            </w:r>
            <w:r w:rsidR="006E550E"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E550E" w:rsidRPr="00E840D0" w14:paraId="2C93B795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hideMark/>
          </w:tcPr>
          <w:p w14:paraId="5C3E25D9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"СПЕЦОПЕРАТОР"</w:t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3102014826 / КПП 312301001</w:t>
            </w:r>
          </w:p>
          <w:p w14:paraId="573EE4F3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адрес: 308000</w:t>
            </w:r>
          </w:p>
          <w:p w14:paraId="22E2266E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Белгородская область, Белгород, ул. Костюкова, дом 35В офис 37</w:t>
            </w:r>
          </w:p>
          <w:p w14:paraId="58E90FDE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 115093</w:t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Москва, Подольское шоссе, д.8 к. 5</w:t>
            </w:r>
          </w:p>
          <w:p w14:paraId="0012A38D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 8 (495) 647-72-77</w:t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Р/счет № 40702810010440000504 в Филиал «Центральный» Банка ВТБ (ПАО) в г. Москве</w:t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БИК 044525411</w:t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К/счет № 30101810145250000411</w:t>
            </w:r>
          </w:p>
        </w:tc>
        <w:tc>
          <w:tcPr>
            <w:tcW w:w="209" w:type="pct"/>
            <w:hideMark/>
          </w:tcPr>
          <w:p w14:paraId="6618FAEA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pct"/>
            <w:gridSpan w:val="2"/>
            <w:hideMark/>
          </w:tcPr>
          <w:p w14:paraId="23253E2A" w14:textId="25960E63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Федеральное государственное бюджетное учреждение науки Институт всеобщей истории Российской академии наук (ИВИ РАН)</w:t>
            </w:r>
            <w:r w:rsidR="006E550E"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ИНН 7736000549 / КПП 773601001</w:t>
            </w:r>
            <w:r w:rsidR="006E550E"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119334, г. Москва, В-334, Ленинский проспект дом 32а</w:t>
            </w:r>
          </w:p>
          <w:p w14:paraId="1F1CAB90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1037739306880</w:t>
            </w:r>
          </w:p>
          <w:p w14:paraId="29EE6A03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ОКПО 02699004</w:t>
            </w:r>
          </w:p>
          <w:p w14:paraId="3A65BF7F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УФК по г. Москве (ИВИ РАН, л/с 20736Ч18250)</w:t>
            </w:r>
          </w:p>
          <w:p w14:paraId="6C702CC6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р/с 03214643000000017300</w:t>
            </w:r>
          </w:p>
          <w:p w14:paraId="26728644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к/с 40102810545370000003</w:t>
            </w:r>
          </w:p>
          <w:p w14:paraId="1295AC8F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ОКЦ № 1 ГУ Банка России по ЦФО//УФК по г. Москве г. Москва</w:t>
            </w:r>
          </w:p>
          <w:p w14:paraId="130992DD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БИК 004525988</w:t>
            </w:r>
          </w:p>
          <w:p w14:paraId="7153E280" w14:textId="77777777" w:rsidR="00DB10AF" w:rsidRPr="00E840D0" w:rsidRDefault="00DB10AF" w:rsidP="00DB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Идентификатор ЭДО: 2BM-7736000549-773601001-201509040202473678386</w:t>
            </w:r>
          </w:p>
          <w:p w14:paraId="3FAEB648" w14:textId="3A254DDF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50E" w:rsidRPr="00E840D0" w14:paraId="060E5898" w14:textId="77777777" w:rsidTr="009B5BAD">
        <w:trPr>
          <w:gridAfter w:val="1"/>
          <w:wAfter w:w="150" w:type="pct"/>
          <w:trHeight w:val="416"/>
          <w:tblCellSpacing w:w="15" w:type="dxa"/>
        </w:trPr>
        <w:tc>
          <w:tcPr>
            <w:tcW w:w="2249" w:type="pct"/>
            <w:hideMark/>
          </w:tcPr>
          <w:p w14:paraId="39F69749" w14:textId="77777777" w:rsidR="006E550E" w:rsidRPr="00E840D0" w:rsidRDefault="006E550E" w:rsidP="009B5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Директор ООО "СПЕЦОПЕРАТОР"</w:t>
            </w:r>
          </w:p>
        </w:tc>
        <w:tc>
          <w:tcPr>
            <w:tcW w:w="209" w:type="pct"/>
            <w:hideMark/>
          </w:tcPr>
          <w:p w14:paraId="4416A249" w14:textId="77777777" w:rsidR="006E550E" w:rsidRPr="00E840D0" w:rsidRDefault="006E550E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hideMark/>
          </w:tcPr>
          <w:p w14:paraId="335CB166" w14:textId="4C9DA10C" w:rsidR="006E550E" w:rsidRPr="00E840D0" w:rsidRDefault="00DB10AF" w:rsidP="009B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6E550E"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 </w:t>
            </w:r>
            <w:r w:rsidR="006E550E" w:rsidRPr="00E840D0">
              <w:rPr>
                <w:rFonts w:ascii="Times New Roman" w:hAnsi="Times New Roman" w:cs="Times New Roman"/>
                <w:sz w:val="20"/>
                <w:szCs w:val="20"/>
              </w:rPr>
              <w:t>ИВИ РАН</w:t>
            </w:r>
          </w:p>
        </w:tc>
      </w:tr>
      <w:tr w:rsidR="006E550E" w:rsidRPr="00E840D0" w14:paraId="279EB344" w14:textId="77777777" w:rsidTr="009B5BAD">
        <w:trPr>
          <w:gridAfter w:val="1"/>
          <w:wAfter w:w="150" w:type="pct"/>
          <w:tblCellSpacing w:w="15" w:type="dxa"/>
        </w:trPr>
        <w:tc>
          <w:tcPr>
            <w:tcW w:w="2249" w:type="pct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E840D0" w14:paraId="1C8235FB" w14:textId="77777777" w:rsidTr="009B5BAD">
              <w:tc>
                <w:tcPr>
                  <w:tcW w:w="2399" w:type="dxa"/>
                  <w:vAlign w:val="bottom"/>
                </w:tcPr>
                <w:p w14:paraId="6F697E15" w14:textId="77777777" w:rsidR="006E550E" w:rsidRPr="00E840D0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3D16D4AE" w14:textId="77777777" w:rsidR="006E550E" w:rsidRPr="00E840D0" w:rsidRDefault="006E550E" w:rsidP="009B5BAD">
                  <w:pPr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</w:pPr>
                  <w:r w:rsidRPr="00E840D0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  <w:r w:rsidR="00016F6A" w:rsidRPr="00E840D0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Березка О. В.</w:t>
                  </w:r>
                  <w:r w:rsidRPr="00E840D0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</w:t>
                  </w:r>
                </w:p>
                <w:p w14:paraId="2FE9E42A" w14:textId="77777777" w:rsidR="00934A18" w:rsidRPr="00E840D0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14:paraId="3AE2E7A4" w14:textId="77777777" w:rsidR="00934A18" w:rsidRPr="00E840D0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  <w:p w14:paraId="2DDD43E3" w14:textId="77777777" w:rsidR="00934A18" w:rsidRPr="00E840D0" w:rsidRDefault="00934A18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</w:tr>
          </w:tbl>
          <w:p w14:paraId="4A5DA1D8" w14:textId="77777777" w:rsidR="006E550E" w:rsidRPr="00E840D0" w:rsidRDefault="006E550E" w:rsidP="009B5B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bottom"/>
            <w:hideMark/>
          </w:tcPr>
          <w:p w14:paraId="0516B623" w14:textId="77777777" w:rsidR="006E550E" w:rsidRPr="00E840D0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6" w:type="pct"/>
            <w:gridSpan w:val="2"/>
            <w:tcBorders>
              <w:bottom w:val="single" w:sz="6" w:space="0" w:color="000000"/>
            </w:tcBorders>
            <w:vAlign w:val="bottom"/>
            <w:hideMark/>
          </w:tcPr>
          <w:tbl>
            <w:tblPr>
              <w:tblStyle w:val="ae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399"/>
            </w:tblGrid>
            <w:tr w:rsidR="006E550E" w:rsidRPr="00E840D0" w14:paraId="75A8F05F" w14:textId="77777777" w:rsidTr="009B5BAD">
              <w:tc>
                <w:tcPr>
                  <w:tcW w:w="2399" w:type="dxa"/>
                  <w:vAlign w:val="bottom"/>
                </w:tcPr>
                <w:p w14:paraId="535607F3" w14:textId="77777777" w:rsidR="006E550E" w:rsidRPr="00E840D0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</w:p>
              </w:tc>
              <w:tc>
                <w:tcPr>
                  <w:tcW w:w="2399" w:type="dxa"/>
                  <w:vAlign w:val="center"/>
                </w:tcPr>
                <w:p w14:paraId="267BC7B3" w14:textId="77777777" w:rsidR="006E550E" w:rsidRPr="00E840D0" w:rsidRDefault="006E550E" w:rsidP="009B5BAD">
                  <w:pPr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E840D0">
                    <w:rPr>
                      <w:rFonts w:ascii="Times New Roman" w:eastAsia="Times New Roman" w:hAnsi="Times New Roman" w:cs="Times New Roman"/>
                      <w:szCs w:val="20"/>
                      <w:lang w:val="en-US"/>
                    </w:rPr>
                    <w:t>/Липкин М. А./</w:t>
                  </w:r>
                </w:p>
              </w:tc>
            </w:tr>
          </w:tbl>
          <w:p w14:paraId="6D1A5E40" w14:textId="77777777" w:rsidR="006E550E" w:rsidRPr="00E840D0" w:rsidRDefault="006E550E" w:rsidP="009B5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50E" w:rsidRPr="00E840D0" w14:paraId="1D808C6C" w14:textId="77777777" w:rsidTr="009B5BAD">
        <w:trPr>
          <w:tblCellSpacing w:w="15" w:type="dxa"/>
        </w:trPr>
        <w:tc>
          <w:tcPr>
            <w:tcW w:w="2249" w:type="pct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0E4FEE7B" w14:textId="77777777" w:rsidR="006E550E" w:rsidRPr="00E840D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382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2B7C8FB2" w14:textId="77777777" w:rsidR="006E550E" w:rsidRPr="00E840D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bottom"/>
            <w:hideMark/>
          </w:tcPr>
          <w:p w14:paraId="64A15D2E" w14:textId="77777777" w:rsidR="006E550E" w:rsidRPr="00E840D0" w:rsidRDefault="006E550E" w:rsidP="009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</w:tbl>
    <w:p w14:paraId="6797D57C" w14:textId="77777777" w:rsidR="00D624C8" w:rsidRPr="00E840D0" w:rsidRDefault="00D624C8"/>
    <w:p w14:paraId="46E5F679" w14:textId="77777777" w:rsidR="006E550E" w:rsidRPr="00E840D0" w:rsidRDefault="006E550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F2D6688" w14:textId="250099C6" w:rsidR="00A92F85" w:rsidRPr="00E840D0" w:rsidRDefault="00A92F85" w:rsidP="007E0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DB10AF" w:rsidRPr="00E840D0">
        <w:rPr>
          <w:rFonts w:ascii="Times New Roman" w:eastAsia="Arial" w:hAnsi="Times New Roman" w:cs="Times New Roman"/>
          <w:w w:val="105"/>
          <w:sz w:val="20"/>
          <w:szCs w:val="20"/>
        </w:rPr>
        <w:t>__________2026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</w:t>
      </w:r>
      <w:r w:rsidR="00B01B5D"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ицензионному договору </w:t>
      </w:r>
      <w:r w:rsidR="007E047F" w:rsidRPr="00E840D0">
        <w:rPr>
          <w:rFonts w:ascii="Times New Roman" w:eastAsia="Times New Roman" w:hAnsi="Times New Roman" w:cs="Times New Roman"/>
          <w:sz w:val="20"/>
          <w:szCs w:val="20"/>
        </w:rPr>
        <w:t xml:space="preserve">№ С-О-ПД-77/26-5-4219 от </w:t>
      </w:r>
      <w:r w:rsidR="00DB10AF" w:rsidRPr="00E840D0">
        <w:rPr>
          <w:rFonts w:ascii="Times New Roman" w:eastAsia="Arial" w:hAnsi="Times New Roman" w:cs="Times New Roman"/>
          <w:w w:val="105"/>
          <w:sz w:val="20"/>
          <w:szCs w:val="20"/>
        </w:rPr>
        <w:t>___________2026</w:t>
      </w:r>
      <w:r w:rsidRPr="00E840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BC362CD" w14:textId="77777777" w:rsidR="00B00517" w:rsidRPr="00E840D0" w:rsidRDefault="00B00517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935"/>
        <w:gridCol w:w="1134"/>
      </w:tblGrid>
      <w:tr w:rsidR="00897DE7" w:rsidRPr="00E840D0" w14:paraId="62FA276C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  <w:vAlign w:val="center"/>
          </w:tcPr>
          <w:p w14:paraId="61B1FB75" w14:textId="77777777" w:rsidR="00897DE7" w:rsidRPr="00E840D0" w:rsidRDefault="00A6578C" w:rsidP="007F7E0B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tcMar>
              <w:left w:w="75" w:type="dxa"/>
            </w:tcMar>
            <w:vAlign w:val="center"/>
          </w:tcPr>
          <w:p w14:paraId="04089F0F" w14:textId="77777777" w:rsidR="00897DE7" w:rsidRPr="00E840D0" w:rsidRDefault="00897DE7" w:rsidP="007F7E0B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5" w:type="dxa"/>
            <w:tcMar>
              <w:left w:w="75" w:type="dxa"/>
            </w:tcMar>
            <w:vAlign w:val="center"/>
          </w:tcPr>
          <w:p w14:paraId="59CAB6F9" w14:textId="77777777" w:rsidR="00897DE7" w:rsidRPr="00E840D0" w:rsidRDefault="00897DE7" w:rsidP="00E14859">
            <w:pPr>
              <w:spacing w:before="20" w:after="20"/>
              <w:ind w:left="20" w:right="20"/>
              <w:jc w:val="center"/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Кол-во</w:t>
            </w:r>
          </w:p>
        </w:tc>
        <w:tc>
          <w:tcPr>
            <w:tcW w:w="1134" w:type="dxa"/>
            <w:tcMar>
              <w:left w:w="75" w:type="dxa"/>
            </w:tcMar>
            <w:vAlign w:val="center"/>
          </w:tcPr>
          <w:p w14:paraId="50DA54F5" w14:textId="77777777" w:rsidR="00897DE7" w:rsidRPr="00E840D0" w:rsidRDefault="00897DE7" w:rsidP="007F7E0B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Cs w:val="18"/>
              </w:rPr>
              <w:t>Сумма, руб.</w:t>
            </w:r>
          </w:p>
        </w:tc>
      </w:tr>
      <w:tr w:rsidR="00897DE7" w:rsidRPr="00E840D0" w14:paraId="4C10B1C5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</w:tcPr>
          <w:p w14:paraId="31C75412" w14:textId="77777777" w:rsidR="00897DE7" w:rsidRPr="00E840D0" w:rsidRDefault="00897DE7" w:rsidP="007F7E0B">
            <w:pPr>
              <w:spacing w:before="20" w:after="20"/>
              <w:ind w:left="20" w:right="20" w:hanging="20"/>
            </w:pPr>
            <w:r w:rsidRPr="00E84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периодического контроля защищенного подключения Суперсервису «Поступление в вуз онлайн».</w:t>
            </w:r>
          </w:p>
        </w:tc>
        <w:tc>
          <w:tcPr>
            <w:tcW w:w="1559" w:type="dxa"/>
            <w:tcMar>
              <w:left w:w="75" w:type="dxa"/>
            </w:tcMar>
          </w:tcPr>
          <w:p w14:paraId="46F0F75A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47289.30</w:t>
            </w:r>
          </w:p>
        </w:tc>
        <w:tc>
          <w:tcPr>
            <w:tcW w:w="935" w:type="dxa"/>
            <w:tcMar>
              <w:left w:w="75" w:type="dxa"/>
            </w:tcMar>
          </w:tcPr>
          <w:p w14:paraId="254E161B" w14:textId="77777777" w:rsidR="00897DE7" w:rsidRPr="00E840D0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75" w:type="dxa"/>
            </w:tcMar>
          </w:tcPr>
          <w:p w14:paraId="3FB2DE8E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47289.30</w:t>
            </w:r>
          </w:p>
        </w:tc>
      </w:tr>
      <w:tr w:rsidR="00897DE7" w:rsidRPr="00E840D0" w14:paraId="18FD18F5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</w:tcPr>
          <w:p w14:paraId="3780B7A5" w14:textId="77777777" w:rsidR="00897DE7" w:rsidRPr="00E840D0" w:rsidRDefault="00897DE7" w:rsidP="007F7E0B">
            <w:pPr>
              <w:spacing w:before="20" w:after="20"/>
              <w:ind w:left="20" w:right="20" w:hanging="20"/>
            </w:pPr>
            <w:r w:rsidRPr="00E84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права использования Средства защиты информации Secret Net Studio 8 (реестровая запись № 3855 от 16.08.2017) сроком на 1 год в комплектации "Максимальная защита" с дополнительными функциональными возможностями на 1 компьютер:защита от НСД; контроль устройств; защита диска и шифрование контейнеров;персональный межсетевой экран; антивирус (технология Касперского); обнаружение и предотвращение вторжений.</w:t>
            </w:r>
          </w:p>
        </w:tc>
        <w:tc>
          <w:tcPr>
            <w:tcW w:w="1559" w:type="dxa"/>
            <w:tcMar>
              <w:left w:w="75" w:type="dxa"/>
            </w:tcMar>
          </w:tcPr>
          <w:p w14:paraId="6012100D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  <w:tc>
          <w:tcPr>
            <w:tcW w:w="935" w:type="dxa"/>
            <w:tcMar>
              <w:left w:w="75" w:type="dxa"/>
            </w:tcMar>
          </w:tcPr>
          <w:p w14:paraId="2FFEBE21" w14:textId="77777777" w:rsidR="00897DE7" w:rsidRPr="00E840D0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75" w:type="dxa"/>
            </w:tcMar>
          </w:tcPr>
          <w:p w14:paraId="5AD0D80C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7671.00</w:t>
            </w:r>
          </w:p>
        </w:tc>
      </w:tr>
      <w:tr w:rsidR="00897DE7" w:rsidRPr="00E840D0" w14:paraId="0F9212D9" w14:textId="77777777" w:rsidTr="00AC541C">
        <w:trPr>
          <w:trHeight w:val="848"/>
        </w:trPr>
        <w:tc>
          <w:tcPr>
            <w:tcW w:w="6663" w:type="dxa"/>
            <w:tcMar>
              <w:left w:w="75" w:type="dxa"/>
            </w:tcMar>
          </w:tcPr>
          <w:p w14:paraId="40B32541" w14:textId="77777777" w:rsidR="00897DE7" w:rsidRPr="00E840D0" w:rsidRDefault="00897DE7" w:rsidP="007F7E0B">
            <w:pPr>
              <w:spacing w:before="20" w:after="20"/>
              <w:ind w:left="20" w:right="20" w:hanging="20"/>
            </w:pPr>
            <w:r w:rsidRPr="00E84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Предоставление бессрочного права использования ПО VipNet Client for Windows 4.х (КС2) (реестровая запись №778 от 16.05.2016), новая версия, сеть 13833, включая дополнительные функциональные возможности:</w:t>
            </w:r>
            <w:r w:rsidRPr="00E84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Компакт-диск с дистрибутивом ПО ViPNet Client for Windows 4. х (КС2) - 1 экземпляр на весь комплект лицензий..</w:t>
            </w:r>
            <w:r w:rsidRPr="00E840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- Сертификат активации сервиса совместной технической поддержки ПО VipNet Client for Windows (КС2), сеть 13833,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tcMar>
              <w:left w:w="75" w:type="dxa"/>
            </w:tcMar>
          </w:tcPr>
          <w:p w14:paraId="33A8F592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  <w:rPr>
                <w:szCs w:val="18"/>
                <w:lang w:val="en-US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7028.00</w:t>
            </w:r>
          </w:p>
        </w:tc>
        <w:tc>
          <w:tcPr>
            <w:tcW w:w="935" w:type="dxa"/>
            <w:tcMar>
              <w:left w:w="75" w:type="dxa"/>
            </w:tcMar>
          </w:tcPr>
          <w:p w14:paraId="73E1BC66" w14:textId="77777777" w:rsidR="00897DE7" w:rsidRPr="00E840D0" w:rsidRDefault="00897DE7" w:rsidP="000A40A9">
            <w:pPr>
              <w:spacing w:before="20" w:after="20"/>
              <w:ind w:left="20" w:righ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left w:w="75" w:type="dxa"/>
            </w:tcMar>
          </w:tcPr>
          <w:p w14:paraId="36059781" w14:textId="77777777" w:rsidR="00897DE7" w:rsidRPr="00E840D0" w:rsidRDefault="00897DE7" w:rsidP="0040020F">
            <w:pPr>
              <w:spacing w:before="20" w:after="20"/>
              <w:ind w:left="20" w:right="20" w:hanging="20"/>
              <w:jc w:val="center"/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7028.00</w:t>
            </w:r>
          </w:p>
        </w:tc>
      </w:tr>
    </w:tbl>
    <w:p w14:paraId="71E9C048" w14:textId="77777777" w:rsidR="00D6114E" w:rsidRPr="00E840D0" w:rsidRDefault="00D6114E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8285DD" w14:textId="77777777" w:rsidR="00A92F85" w:rsidRPr="00E840D0" w:rsidRDefault="00A92F85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Всего на сумму </w:t>
      </w:r>
      <w:r w:rsidR="00D6114E" w:rsidRPr="00E840D0">
        <w:rPr>
          <w:rFonts w:ascii="Times New Roman" w:hAnsi="Times New Roman" w:cs="Times New Roman"/>
          <w:b/>
          <w:sz w:val="20"/>
          <w:szCs w:val="20"/>
        </w:rPr>
        <w:t>61 988.30 руб. (Шестьдесят одна тысяча девятьсот восемьдесят восемь рублей 30 копеек)</w:t>
      </w:r>
      <w:r w:rsidRPr="00E840D0">
        <w:rPr>
          <w:rFonts w:ascii="Times New Roman" w:hAnsi="Times New Roman" w:cs="Times New Roman"/>
          <w:b/>
          <w:sz w:val="20"/>
          <w:szCs w:val="20"/>
          <w:lang w:eastAsia="ru-RU"/>
        </w:rPr>
        <w:t>, без НДС.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t xml:space="preserve"> Не подлежит налогообложению НДС в соответствии с пп. 26 п. 2 ст. 149 Налогового Кодекса </w:t>
      </w:r>
      <w:r w:rsidR="008A6049" w:rsidRPr="00E840D0">
        <w:rPr>
          <w:rFonts w:ascii="Times New Roman" w:hAnsi="Times New Roman" w:cs="Times New Roman"/>
          <w:sz w:val="20"/>
          <w:szCs w:val="20"/>
          <w:lang w:eastAsia="ru-RU"/>
        </w:rPr>
        <w:t>РФ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3D5644EE" w14:textId="77777777" w:rsidR="00A6578C" w:rsidRPr="00E840D0" w:rsidRDefault="00A6578C" w:rsidP="00A92F85">
      <w:pPr>
        <w:pStyle w:val="ad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9F298A" w14:textId="77777777" w:rsidR="00A6578C" w:rsidRPr="00E840D0" w:rsidRDefault="00961FB5" w:rsidP="00F7236B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E840D0">
        <w:rPr>
          <w:rFonts w:ascii="Times New Roman" w:hAnsi="Times New Roman" w:cs="Times New Roman"/>
          <w:sz w:val="20"/>
          <w:szCs w:val="20"/>
          <w:lang w:eastAsia="ru-RU"/>
        </w:rPr>
        <w:t>*В целях полноценной эксплуатации на ПК «ВУЗ онлайн» Сублицензиаром предоставляется: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  <w:t>- Установка и настройка средств защиты информации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  <w:t>- Оценка эффективности реализованных мер объекта информатизации в соответствии с требованиями безопасности информации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  <w:t>- Комплект типовой организационно-распорядительной документации, в электронном виде, подписанный электронной подписью, на цифровом носителе</w:t>
      </w:r>
      <w:r w:rsidRPr="00E840D0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14:paraId="42096D1F" w14:textId="77777777" w:rsidR="00A92F85" w:rsidRPr="00E840D0" w:rsidRDefault="00A92F85" w:rsidP="00A92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95"/>
        <w:gridCol w:w="793"/>
        <w:gridCol w:w="695"/>
        <w:gridCol w:w="4209"/>
      </w:tblGrid>
      <w:tr w:rsidR="009178D0" w:rsidRPr="00E840D0" w14:paraId="55C30397" w14:textId="77777777" w:rsidTr="0093496D">
        <w:trPr>
          <w:tblCellSpacing w:w="15" w:type="dxa"/>
        </w:trPr>
        <w:tc>
          <w:tcPr>
            <w:tcW w:w="2250" w:type="pct"/>
            <w:gridSpan w:val="2"/>
            <w:vAlign w:val="center"/>
            <w:hideMark/>
          </w:tcPr>
          <w:p w14:paraId="7EAC1DDE" w14:textId="77777777" w:rsidR="009178D0" w:rsidRPr="00E840D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Сублицензиара:</w:t>
            </w:r>
          </w:p>
        </w:tc>
        <w:tc>
          <w:tcPr>
            <w:tcW w:w="0" w:type="auto"/>
            <w:vAlign w:val="center"/>
            <w:hideMark/>
          </w:tcPr>
          <w:p w14:paraId="2C02C529" w14:textId="77777777" w:rsidR="009178D0" w:rsidRPr="00E840D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vAlign w:val="center"/>
            <w:hideMark/>
          </w:tcPr>
          <w:p w14:paraId="015284F3" w14:textId="77777777" w:rsidR="009178D0" w:rsidRPr="00E840D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Сублицензиата</w:t>
            </w:r>
            <w:r w:rsidRPr="00E84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178D0" w:rsidRPr="00E840D0" w14:paraId="54B0BCCB" w14:textId="77777777" w:rsidTr="0093496D">
        <w:trPr>
          <w:tblCellSpacing w:w="15" w:type="dxa"/>
        </w:trPr>
        <w:tc>
          <w:tcPr>
            <w:tcW w:w="2250" w:type="pct"/>
            <w:gridSpan w:val="2"/>
            <w:hideMark/>
          </w:tcPr>
          <w:p w14:paraId="356DA33B" w14:textId="77777777" w:rsidR="009178D0" w:rsidRPr="00E840D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</w:rPr>
              <w:t>Директор ООО "СПЕЦОПЕРАТОР"</w:t>
            </w:r>
            <w:r w:rsidRPr="00E840D0">
              <w:rPr>
                <w:noProof/>
              </w:rPr>
              <w:t xml:space="preserve"> </w:t>
            </w:r>
          </w:p>
        </w:tc>
        <w:tc>
          <w:tcPr>
            <w:tcW w:w="0" w:type="auto"/>
            <w:hideMark/>
          </w:tcPr>
          <w:p w14:paraId="4A1BD88A" w14:textId="77777777" w:rsidR="009178D0" w:rsidRPr="00E840D0" w:rsidRDefault="009178D0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hideMark/>
          </w:tcPr>
          <w:p w14:paraId="294EF243" w14:textId="6B2A32E1" w:rsidR="009178D0" w:rsidRPr="00E840D0" w:rsidRDefault="00DB10AF" w:rsidP="0093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9178D0"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 </w:t>
            </w:r>
            <w:r w:rsidR="009178D0" w:rsidRPr="00E840D0">
              <w:rPr>
                <w:rFonts w:ascii="Times New Roman" w:hAnsi="Times New Roman" w:cs="Times New Roman"/>
                <w:sz w:val="20"/>
                <w:szCs w:val="20"/>
              </w:rPr>
              <w:t>ИВИ РАН</w:t>
            </w:r>
          </w:p>
        </w:tc>
      </w:tr>
      <w:tr w:rsidR="009178D0" w:rsidRPr="00E840D0" w14:paraId="53B466E7" w14:textId="77777777" w:rsidTr="0093496D">
        <w:trPr>
          <w:tblCellSpacing w:w="15" w:type="dxa"/>
        </w:trPr>
        <w:tc>
          <w:tcPr>
            <w:tcW w:w="2218" w:type="pct"/>
            <w:tcBorders>
              <w:bottom w:val="single" w:sz="6" w:space="0" w:color="000000"/>
            </w:tcBorders>
            <w:hideMark/>
          </w:tcPr>
          <w:p w14:paraId="1B47AA64" w14:textId="77777777" w:rsidR="009178D0" w:rsidRPr="00E840D0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14:paraId="27606E5C" w14:textId="77777777" w:rsidR="009178D0" w:rsidRPr="00E840D0" w:rsidRDefault="00B921EF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sz w:val="20"/>
                <w:szCs w:val="20"/>
                <w:lang w:val="en-US"/>
              </w:rPr>
              <w:t>/Березка О. В.</w:t>
            </w:r>
            <w:r w:rsidR="009178D0" w:rsidRPr="00E840D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  <w:tc>
          <w:tcPr>
            <w:tcW w:w="0" w:type="auto"/>
            <w:gridSpan w:val="3"/>
            <w:hideMark/>
          </w:tcPr>
          <w:p w14:paraId="39768375" w14:textId="77777777" w:rsidR="009178D0" w:rsidRPr="00E840D0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8" w:type="pct"/>
            <w:tcBorders>
              <w:bottom w:val="single" w:sz="6" w:space="0" w:color="000000"/>
            </w:tcBorders>
            <w:vAlign w:val="bottom"/>
            <w:hideMark/>
          </w:tcPr>
          <w:p w14:paraId="129DF6A6" w14:textId="77777777" w:rsidR="009178D0" w:rsidRPr="00E840D0" w:rsidRDefault="009178D0" w:rsidP="009349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0BFB4C" w14:textId="77777777" w:rsidR="009178D0" w:rsidRPr="00E840D0" w:rsidRDefault="009178D0" w:rsidP="0093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40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840D0">
              <w:rPr>
                <w:rFonts w:ascii="Times New Roman" w:hAnsi="Times New Roman" w:cs="Times New Roman"/>
                <w:sz w:val="20"/>
                <w:lang w:val="en-US"/>
              </w:rPr>
              <w:t>Липкин М. А./</w:t>
            </w:r>
          </w:p>
        </w:tc>
      </w:tr>
      <w:tr w:rsidR="009178D0" w:rsidRPr="00C51040" w14:paraId="33A4DC48" w14:textId="77777777" w:rsidTr="0093496D">
        <w:trPr>
          <w:tblCellSpacing w:w="15" w:type="dxa"/>
        </w:trPr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4ADC9305" w14:textId="77777777" w:rsidR="009178D0" w:rsidRPr="00E840D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0B00FE43" w14:textId="77777777" w:rsidR="009178D0" w:rsidRPr="00E840D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pct"/>
            <w:gridSpan w:val="2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14:paraId="402702D8" w14:textId="77777777" w:rsidR="009178D0" w:rsidRPr="00C51040" w:rsidRDefault="009178D0" w:rsidP="009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0D0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  <w:r w:rsidRPr="00C51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6A37864" w14:textId="77777777" w:rsidR="009178D0" w:rsidRDefault="009178D0" w:rsidP="007648C1">
      <w:pPr>
        <w:spacing w:after="0"/>
        <w:rPr>
          <w:sz w:val="20"/>
          <w:szCs w:val="20"/>
        </w:rPr>
      </w:pPr>
    </w:p>
    <w:p w14:paraId="584E840C" w14:textId="77777777" w:rsidR="009178D0" w:rsidRDefault="009178D0" w:rsidP="007648C1">
      <w:pPr>
        <w:spacing w:after="0"/>
        <w:rPr>
          <w:sz w:val="20"/>
          <w:szCs w:val="20"/>
        </w:rPr>
      </w:pPr>
    </w:p>
    <w:p w14:paraId="572C9387" w14:textId="77777777" w:rsidR="00A92F85" w:rsidRPr="00F27874" w:rsidRDefault="00A92F85" w:rsidP="004B58D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2F85" w:rsidRPr="00F27874" w:rsidSect="00AC54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01B"/>
    <w:multiLevelType w:val="multilevel"/>
    <w:tmpl w:val="ED5C90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2627CD2"/>
    <w:multiLevelType w:val="multilevel"/>
    <w:tmpl w:val="C0C0047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567FC3"/>
    <w:multiLevelType w:val="hybridMultilevel"/>
    <w:tmpl w:val="36920EFE"/>
    <w:lvl w:ilvl="0" w:tplc="09CAC3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6409"/>
    <w:multiLevelType w:val="multilevel"/>
    <w:tmpl w:val="3F9CD86C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5971031">
    <w:abstractNumId w:val="3"/>
  </w:num>
  <w:num w:numId="2" w16cid:durableId="905721346">
    <w:abstractNumId w:val="1"/>
  </w:num>
  <w:num w:numId="3" w16cid:durableId="995182484">
    <w:abstractNumId w:val="2"/>
  </w:num>
  <w:num w:numId="4" w16cid:durableId="5941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1"/>
    <w:rsid w:val="00011C51"/>
    <w:rsid w:val="00016838"/>
    <w:rsid w:val="00016F6A"/>
    <w:rsid w:val="00040419"/>
    <w:rsid w:val="000439CB"/>
    <w:rsid w:val="0004503C"/>
    <w:rsid w:val="0005787E"/>
    <w:rsid w:val="00057F94"/>
    <w:rsid w:val="00064E67"/>
    <w:rsid w:val="00067BBF"/>
    <w:rsid w:val="0007453A"/>
    <w:rsid w:val="00080E31"/>
    <w:rsid w:val="000864B6"/>
    <w:rsid w:val="000A40A9"/>
    <w:rsid w:val="000B36F3"/>
    <w:rsid w:val="000B5162"/>
    <w:rsid w:val="000B6948"/>
    <w:rsid w:val="000C641B"/>
    <w:rsid w:val="000D1562"/>
    <w:rsid w:val="000E7CC5"/>
    <w:rsid w:val="000F38B3"/>
    <w:rsid w:val="000F574D"/>
    <w:rsid w:val="0010031E"/>
    <w:rsid w:val="00102480"/>
    <w:rsid w:val="0013508E"/>
    <w:rsid w:val="00152C27"/>
    <w:rsid w:val="0016006E"/>
    <w:rsid w:val="00193096"/>
    <w:rsid w:val="00197BEC"/>
    <w:rsid w:val="001A263F"/>
    <w:rsid w:val="001A5957"/>
    <w:rsid w:val="001B6602"/>
    <w:rsid w:val="001E0DE7"/>
    <w:rsid w:val="001F7E34"/>
    <w:rsid w:val="00201EDA"/>
    <w:rsid w:val="00206EB3"/>
    <w:rsid w:val="00211B05"/>
    <w:rsid w:val="00231153"/>
    <w:rsid w:val="0024477E"/>
    <w:rsid w:val="002462F1"/>
    <w:rsid w:val="00251A24"/>
    <w:rsid w:val="002567E7"/>
    <w:rsid w:val="00262C51"/>
    <w:rsid w:val="00272D74"/>
    <w:rsid w:val="0029476F"/>
    <w:rsid w:val="002A21DD"/>
    <w:rsid w:val="002A6F6C"/>
    <w:rsid w:val="002C1E03"/>
    <w:rsid w:val="003020A2"/>
    <w:rsid w:val="00303E81"/>
    <w:rsid w:val="00316112"/>
    <w:rsid w:val="003170AE"/>
    <w:rsid w:val="00321ED7"/>
    <w:rsid w:val="00341053"/>
    <w:rsid w:val="00345BCD"/>
    <w:rsid w:val="00352876"/>
    <w:rsid w:val="003721CD"/>
    <w:rsid w:val="00372819"/>
    <w:rsid w:val="00374D40"/>
    <w:rsid w:val="003822ED"/>
    <w:rsid w:val="00385709"/>
    <w:rsid w:val="00396414"/>
    <w:rsid w:val="003A179F"/>
    <w:rsid w:val="003A4FB8"/>
    <w:rsid w:val="003B6AFA"/>
    <w:rsid w:val="003C5DE0"/>
    <w:rsid w:val="003E057A"/>
    <w:rsid w:val="0040020F"/>
    <w:rsid w:val="00405C37"/>
    <w:rsid w:val="0040766F"/>
    <w:rsid w:val="00450930"/>
    <w:rsid w:val="00452847"/>
    <w:rsid w:val="004700F1"/>
    <w:rsid w:val="0048743A"/>
    <w:rsid w:val="004917A9"/>
    <w:rsid w:val="004939D6"/>
    <w:rsid w:val="004A061E"/>
    <w:rsid w:val="004B0C69"/>
    <w:rsid w:val="004B2606"/>
    <w:rsid w:val="004B58D3"/>
    <w:rsid w:val="004D2A53"/>
    <w:rsid w:val="004D553F"/>
    <w:rsid w:val="004E10CD"/>
    <w:rsid w:val="004E292F"/>
    <w:rsid w:val="004F28B0"/>
    <w:rsid w:val="0050572D"/>
    <w:rsid w:val="00512DE6"/>
    <w:rsid w:val="005409F9"/>
    <w:rsid w:val="005547D9"/>
    <w:rsid w:val="005679B1"/>
    <w:rsid w:val="0058366A"/>
    <w:rsid w:val="0059223C"/>
    <w:rsid w:val="005A0734"/>
    <w:rsid w:val="005A12AD"/>
    <w:rsid w:val="005A2D09"/>
    <w:rsid w:val="005C2175"/>
    <w:rsid w:val="006347EB"/>
    <w:rsid w:val="006359C6"/>
    <w:rsid w:val="006643A8"/>
    <w:rsid w:val="00684B95"/>
    <w:rsid w:val="00690241"/>
    <w:rsid w:val="006B73AF"/>
    <w:rsid w:val="006E1A07"/>
    <w:rsid w:val="006E2F21"/>
    <w:rsid w:val="006E550E"/>
    <w:rsid w:val="006E584F"/>
    <w:rsid w:val="006E77F1"/>
    <w:rsid w:val="006F185C"/>
    <w:rsid w:val="006F3E9F"/>
    <w:rsid w:val="006F4EC8"/>
    <w:rsid w:val="006F7536"/>
    <w:rsid w:val="007012FE"/>
    <w:rsid w:val="007013B8"/>
    <w:rsid w:val="00701458"/>
    <w:rsid w:val="00716DEB"/>
    <w:rsid w:val="00720543"/>
    <w:rsid w:val="007648C1"/>
    <w:rsid w:val="00775EFA"/>
    <w:rsid w:val="007772AB"/>
    <w:rsid w:val="007A62A3"/>
    <w:rsid w:val="007A6CA4"/>
    <w:rsid w:val="007B0403"/>
    <w:rsid w:val="007B3FA9"/>
    <w:rsid w:val="007E047F"/>
    <w:rsid w:val="007E4C32"/>
    <w:rsid w:val="007E5A22"/>
    <w:rsid w:val="007E69AB"/>
    <w:rsid w:val="008107AF"/>
    <w:rsid w:val="00813326"/>
    <w:rsid w:val="00815ED8"/>
    <w:rsid w:val="0082673B"/>
    <w:rsid w:val="0085748B"/>
    <w:rsid w:val="00876CAD"/>
    <w:rsid w:val="00880A95"/>
    <w:rsid w:val="00881515"/>
    <w:rsid w:val="00897DE7"/>
    <w:rsid w:val="008A5A2A"/>
    <w:rsid w:val="008A6049"/>
    <w:rsid w:val="008B4C12"/>
    <w:rsid w:val="008B5E71"/>
    <w:rsid w:val="008C0624"/>
    <w:rsid w:val="008C7CAD"/>
    <w:rsid w:val="008E0F0D"/>
    <w:rsid w:val="008F05C1"/>
    <w:rsid w:val="008F3D8D"/>
    <w:rsid w:val="00907C90"/>
    <w:rsid w:val="00912D62"/>
    <w:rsid w:val="009178D0"/>
    <w:rsid w:val="009224AE"/>
    <w:rsid w:val="00925E99"/>
    <w:rsid w:val="00927F71"/>
    <w:rsid w:val="009316FC"/>
    <w:rsid w:val="00934A18"/>
    <w:rsid w:val="009438B4"/>
    <w:rsid w:val="00950C1A"/>
    <w:rsid w:val="00961FB5"/>
    <w:rsid w:val="00964E9C"/>
    <w:rsid w:val="00984E1E"/>
    <w:rsid w:val="009964EE"/>
    <w:rsid w:val="009A1B43"/>
    <w:rsid w:val="009C5973"/>
    <w:rsid w:val="009E0612"/>
    <w:rsid w:val="009E4423"/>
    <w:rsid w:val="009E54EA"/>
    <w:rsid w:val="009F2C77"/>
    <w:rsid w:val="009F3DBF"/>
    <w:rsid w:val="009F7348"/>
    <w:rsid w:val="00A00214"/>
    <w:rsid w:val="00A25548"/>
    <w:rsid w:val="00A2672E"/>
    <w:rsid w:val="00A33616"/>
    <w:rsid w:val="00A452F2"/>
    <w:rsid w:val="00A46237"/>
    <w:rsid w:val="00A513B7"/>
    <w:rsid w:val="00A6578C"/>
    <w:rsid w:val="00A67A64"/>
    <w:rsid w:val="00A85E8B"/>
    <w:rsid w:val="00A92F85"/>
    <w:rsid w:val="00AA6E20"/>
    <w:rsid w:val="00AB1A2D"/>
    <w:rsid w:val="00AC541C"/>
    <w:rsid w:val="00AE0303"/>
    <w:rsid w:val="00AF49C8"/>
    <w:rsid w:val="00AF68F0"/>
    <w:rsid w:val="00B00517"/>
    <w:rsid w:val="00B01B5D"/>
    <w:rsid w:val="00B04298"/>
    <w:rsid w:val="00B12397"/>
    <w:rsid w:val="00B176A5"/>
    <w:rsid w:val="00B2139C"/>
    <w:rsid w:val="00B32578"/>
    <w:rsid w:val="00B333C5"/>
    <w:rsid w:val="00B35863"/>
    <w:rsid w:val="00B3746D"/>
    <w:rsid w:val="00B46507"/>
    <w:rsid w:val="00B61704"/>
    <w:rsid w:val="00B73AFE"/>
    <w:rsid w:val="00B812AB"/>
    <w:rsid w:val="00B921EF"/>
    <w:rsid w:val="00B96904"/>
    <w:rsid w:val="00BA6492"/>
    <w:rsid w:val="00BC4C6B"/>
    <w:rsid w:val="00BC52EF"/>
    <w:rsid w:val="00BD02A4"/>
    <w:rsid w:val="00C04A75"/>
    <w:rsid w:val="00C26B32"/>
    <w:rsid w:val="00C522F7"/>
    <w:rsid w:val="00C52DB4"/>
    <w:rsid w:val="00C73238"/>
    <w:rsid w:val="00C85A87"/>
    <w:rsid w:val="00CA6DCE"/>
    <w:rsid w:val="00CC106A"/>
    <w:rsid w:val="00CC2E40"/>
    <w:rsid w:val="00CD4526"/>
    <w:rsid w:val="00CD7966"/>
    <w:rsid w:val="00CF42C1"/>
    <w:rsid w:val="00D00A71"/>
    <w:rsid w:val="00D026AC"/>
    <w:rsid w:val="00D16664"/>
    <w:rsid w:val="00D21FC1"/>
    <w:rsid w:val="00D30464"/>
    <w:rsid w:val="00D53063"/>
    <w:rsid w:val="00D57978"/>
    <w:rsid w:val="00D60FEC"/>
    <w:rsid w:val="00D6114E"/>
    <w:rsid w:val="00D624C8"/>
    <w:rsid w:val="00D64764"/>
    <w:rsid w:val="00D71AC0"/>
    <w:rsid w:val="00D77E19"/>
    <w:rsid w:val="00D81FF6"/>
    <w:rsid w:val="00D835C2"/>
    <w:rsid w:val="00D93FC7"/>
    <w:rsid w:val="00DA3AC5"/>
    <w:rsid w:val="00DB10AF"/>
    <w:rsid w:val="00DB667E"/>
    <w:rsid w:val="00DD0EC0"/>
    <w:rsid w:val="00DD17DA"/>
    <w:rsid w:val="00DE1950"/>
    <w:rsid w:val="00DE7671"/>
    <w:rsid w:val="00E06138"/>
    <w:rsid w:val="00E117A0"/>
    <w:rsid w:val="00E14859"/>
    <w:rsid w:val="00E150FD"/>
    <w:rsid w:val="00E30438"/>
    <w:rsid w:val="00E50548"/>
    <w:rsid w:val="00E513B1"/>
    <w:rsid w:val="00E54E13"/>
    <w:rsid w:val="00E61B50"/>
    <w:rsid w:val="00E73CBF"/>
    <w:rsid w:val="00E839F9"/>
    <w:rsid w:val="00E840D0"/>
    <w:rsid w:val="00E90822"/>
    <w:rsid w:val="00E92456"/>
    <w:rsid w:val="00EA26E4"/>
    <w:rsid w:val="00EA2BD0"/>
    <w:rsid w:val="00EB7476"/>
    <w:rsid w:val="00ED6424"/>
    <w:rsid w:val="00EE3F09"/>
    <w:rsid w:val="00F203A1"/>
    <w:rsid w:val="00F27874"/>
    <w:rsid w:val="00F32D2F"/>
    <w:rsid w:val="00F40701"/>
    <w:rsid w:val="00F45A3B"/>
    <w:rsid w:val="00F54C6E"/>
    <w:rsid w:val="00F55EBE"/>
    <w:rsid w:val="00F562CD"/>
    <w:rsid w:val="00F7236B"/>
    <w:rsid w:val="00F80E84"/>
    <w:rsid w:val="00F821CC"/>
    <w:rsid w:val="00F84A52"/>
    <w:rsid w:val="00F920FB"/>
    <w:rsid w:val="00F96C12"/>
    <w:rsid w:val="00FA591C"/>
    <w:rsid w:val="00FB7EEC"/>
    <w:rsid w:val="00FC4791"/>
    <w:rsid w:val="00FC76C9"/>
    <w:rsid w:val="00FD2DD3"/>
    <w:rsid w:val="00FD7535"/>
    <w:rsid w:val="00FE051E"/>
    <w:rsid w:val="00FE36A5"/>
    <w:rsid w:val="00FE36E9"/>
    <w:rsid w:val="00FE3DEE"/>
    <w:rsid w:val="00FE5CA7"/>
    <w:rsid w:val="00FF271C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D77F"/>
  <w15:chartTrackingRefBased/>
  <w15:docId w15:val="{61D7BCA5-67DE-41F6-9A56-FF648B6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32578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32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qFormat/>
    <w:rsid w:val="00876CAD"/>
    <w:pPr>
      <w:keepNext/>
      <w:numPr>
        <w:ilvl w:val="2"/>
        <w:numId w:val="1"/>
      </w:numPr>
      <w:tabs>
        <w:tab w:val="left" w:pos="312"/>
      </w:tabs>
      <w:spacing w:before="240" w:after="60" w:line="240" w:lineRule="auto"/>
      <w:ind w:left="142" w:firstLine="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41">
    <w:name w:val="Заголовок 41"/>
    <w:basedOn w:val="a"/>
    <w:qFormat/>
    <w:rsid w:val="00876CAD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876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B58D3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512DE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512DE6"/>
    <w:rPr>
      <w:rFonts w:ascii="Carlito" w:eastAsia="Carlito" w:hAnsi="Carlito" w:cs="Carlito"/>
      <w:sz w:val="20"/>
      <w:szCs w:val="20"/>
    </w:rPr>
  </w:style>
  <w:style w:type="paragraph" w:styleId="ab">
    <w:name w:val="Title"/>
    <w:basedOn w:val="a"/>
    <w:link w:val="ac"/>
    <w:uiPriority w:val="10"/>
    <w:qFormat/>
    <w:rsid w:val="00512DE6"/>
    <w:pPr>
      <w:widowControl w:val="0"/>
      <w:autoSpaceDE w:val="0"/>
      <w:autoSpaceDN w:val="0"/>
      <w:spacing w:after="0" w:line="240" w:lineRule="auto"/>
      <w:ind w:left="122" w:right="48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rsid w:val="00512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 Spacing"/>
    <w:uiPriority w:val="1"/>
    <w:qFormat/>
    <w:rsid w:val="0024477E"/>
    <w:pPr>
      <w:spacing w:after="0" w:line="240" w:lineRule="auto"/>
    </w:p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5C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a"/>
    <w:rsid w:val="00B00517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F347-FE8E-40EB-AA0F-86A4821D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Шекун Марианна Анатольевна</dc:creator>
  <cp:keywords/>
  <dc:description/>
  <cp:lastModifiedBy>Dmitry</cp:lastModifiedBy>
  <cp:revision>4</cp:revision>
  <cp:lastPrinted>2024-07-19T12:46:00Z</cp:lastPrinted>
  <dcterms:created xsi:type="dcterms:W3CDTF">2026-06-11T13:04:00Z</dcterms:created>
  <dcterms:modified xsi:type="dcterms:W3CDTF">2026-06-16T14:03:00Z</dcterms:modified>
</cp:coreProperties>
</file>