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5F6C89">
        <w:tblPrEx>
          <w:tblCellMar>
            <w:top w:w="0" w:type="dxa"/>
            <w:left w:w="0" w:type="dxa"/>
            <w:bottom w:w="0" w:type="dxa"/>
            <w:right w:w="0" w:type="dxa"/>
          </w:tblCellMar>
        </w:tblPrEx>
        <w:tc>
          <w:tcPr>
            <w:tcW w:w="2834" w:type="dxa"/>
            <w:tcBorders>
              <w:top w:val="nil"/>
              <w:left w:val="nil"/>
              <w:bottom w:val="nil"/>
              <w:right w:val="nil"/>
            </w:tcBorders>
          </w:tcPr>
          <w:p w:rsidR="005F6C89" w:rsidRDefault="005F6C89">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rsidR="005F6C89" w:rsidRDefault="005F6C89">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ДОГОВОР № </w:t>
            </w:r>
          </w:p>
          <w:p w:rsidR="005F6C89" w:rsidRDefault="005F6C8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«Контур.Экстерн» и оказание услуг по сопровождению (технической поддержке)</w:t>
            </w:r>
          </w:p>
        </w:tc>
        <w:tc>
          <w:tcPr>
            <w:tcW w:w="2834" w:type="dxa"/>
            <w:tcBorders>
              <w:top w:val="nil"/>
              <w:left w:val="nil"/>
              <w:bottom w:val="nil"/>
              <w:right w:val="nil"/>
            </w:tcBorders>
          </w:tcPr>
          <w:p w:rsidR="005F6C89" w:rsidRDefault="005F6C89">
            <w:pPr>
              <w:widowControl w:val="0"/>
              <w:autoSpaceDE w:val="0"/>
              <w:autoSpaceDN w:val="0"/>
              <w:adjustRightInd w:val="0"/>
              <w:spacing w:after="0" w:line="240" w:lineRule="auto"/>
              <w:jc w:val="right"/>
              <w:rPr>
                <w:rFonts w:ascii="Times" w:hAnsi="Times" w:cs="Times"/>
                <w:color w:val="000000"/>
                <w:sz w:val="18"/>
                <w:szCs w:val="18"/>
              </w:rPr>
            </w:pPr>
          </w:p>
        </w:tc>
      </w:tr>
      <w:tr w:rsidR="005F6C89" w:rsidTr="00D547FA">
        <w:tblPrEx>
          <w:tblCellMar>
            <w:top w:w="0" w:type="dxa"/>
            <w:left w:w="0" w:type="dxa"/>
            <w:bottom w:w="0" w:type="dxa"/>
            <w:right w:w="0" w:type="dxa"/>
          </w:tblCellMar>
        </w:tblPrEx>
        <w:tc>
          <w:tcPr>
            <w:tcW w:w="5187" w:type="dxa"/>
            <w:gridSpan w:val="2"/>
            <w:tcBorders>
              <w:top w:val="nil"/>
              <w:left w:val="nil"/>
              <w:bottom w:val="nil"/>
              <w:right w:val="nil"/>
            </w:tcBorders>
          </w:tcPr>
          <w:p w:rsidR="005F6C89" w:rsidRDefault="004B5A33">
            <w:pPr>
              <w:widowControl w:val="0"/>
              <w:autoSpaceDE w:val="0"/>
              <w:autoSpaceDN w:val="0"/>
              <w:adjustRightInd w:val="0"/>
              <w:spacing w:after="0" w:line="240" w:lineRule="auto"/>
              <w:rPr>
                <w:rFonts w:ascii="Times" w:hAnsi="Times" w:cs="Times"/>
                <w:color w:val="000000"/>
                <w:sz w:val="18"/>
                <w:szCs w:val="18"/>
              </w:rPr>
            </w:pPr>
            <w:r w:rsidRPr="00D547FA">
              <w:rPr>
                <w:rFonts w:ascii="Times" w:hAnsi="Times" w:cs="Times"/>
                <w:color w:val="000000"/>
                <w:sz w:val="18"/>
                <w:szCs w:val="18"/>
              </w:rPr>
              <w:t>г.</w:t>
            </w:r>
            <w:r w:rsidRPr="00D547FA">
              <w:rPr>
                <w:rFonts w:ascii="Times" w:hAnsi="Times" w:cs="Times"/>
                <w:color w:val="000000"/>
                <w:sz w:val="18"/>
                <w:szCs w:val="18"/>
                <w:shd w:val="clear" w:color="auto" w:fill="FFFFFF" w:themeFill="background1"/>
              </w:rPr>
              <w:t>Нальчик</w:t>
            </w:r>
            <w:r>
              <w:rPr>
                <w:rFonts w:ascii="Times" w:hAnsi="Times" w:cs="Times"/>
                <w:color w:val="000000"/>
                <w:sz w:val="18"/>
                <w:szCs w:val="18"/>
              </w:rPr>
              <w:t xml:space="preserve">                </w:t>
            </w:r>
          </w:p>
        </w:tc>
        <w:tc>
          <w:tcPr>
            <w:tcW w:w="5187" w:type="dxa"/>
            <w:gridSpan w:val="2"/>
            <w:tcBorders>
              <w:top w:val="nil"/>
              <w:left w:val="nil"/>
              <w:bottom w:val="nil"/>
              <w:right w:val="nil"/>
            </w:tcBorders>
          </w:tcPr>
          <w:p w:rsidR="005F6C89" w:rsidRDefault="004B5A33" w:rsidP="004B5A33">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 xml:space="preserve">                             «___» ____________</w:t>
            </w:r>
            <w:r w:rsidR="005F6C89">
              <w:rPr>
                <w:rFonts w:ascii="Times" w:hAnsi="Times" w:cs="Times"/>
                <w:color w:val="000000"/>
                <w:sz w:val="18"/>
                <w:szCs w:val="18"/>
              </w:rPr>
              <w:t>2026</w:t>
            </w:r>
          </w:p>
        </w:tc>
      </w:tr>
      <w:tr w:rsidR="004B5A33">
        <w:tblPrEx>
          <w:tblCellMar>
            <w:top w:w="0" w:type="dxa"/>
            <w:left w:w="0" w:type="dxa"/>
            <w:bottom w:w="0" w:type="dxa"/>
            <w:right w:w="0" w:type="dxa"/>
          </w:tblCellMar>
        </w:tblPrEx>
        <w:tc>
          <w:tcPr>
            <w:tcW w:w="5187" w:type="dxa"/>
            <w:gridSpan w:val="2"/>
            <w:tcBorders>
              <w:top w:val="nil"/>
              <w:left w:val="nil"/>
              <w:bottom w:val="nil"/>
              <w:right w:val="nil"/>
            </w:tcBorders>
          </w:tcPr>
          <w:p w:rsidR="004B5A33" w:rsidRDefault="004B5A33">
            <w:pPr>
              <w:widowControl w:val="0"/>
              <w:autoSpaceDE w:val="0"/>
              <w:autoSpaceDN w:val="0"/>
              <w:adjustRightInd w:val="0"/>
              <w:spacing w:after="0" w:line="240" w:lineRule="auto"/>
              <w:rPr>
                <w:rFonts w:ascii="Times" w:hAnsi="Times" w:cs="Times"/>
                <w:color w:val="000000"/>
                <w:sz w:val="18"/>
                <w:szCs w:val="18"/>
              </w:rPr>
            </w:pPr>
          </w:p>
        </w:tc>
        <w:tc>
          <w:tcPr>
            <w:tcW w:w="5187" w:type="dxa"/>
            <w:gridSpan w:val="2"/>
            <w:tcBorders>
              <w:top w:val="nil"/>
              <w:left w:val="nil"/>
              <w:bottom w:val="nil"/>
              <w:right w:val="nil"/>
            </w:tcBorders>
          </w:tcPr>
          <w:p w:rsidR="004B5A33" w:rsidRDefault="004B5A33" w:rsidP="004B5A33">
            <w:pPr>
              <w:widowControl w:val="0"/>
              <w:autoSpaceDE w:val="0"/>
              <w:autoSpaceDN w:val="0"/>
              <w:adjustRightInd w:val="0"/>
              <w:spacing w:after="0" w:line="240" w:lineRule="auto"/>
              <w:jc w:val="center"/>
              <w:rPr>
                <w:rFonts w:ascii="Times" w:hAnsi="Times" w:cs="Times"/>
                <w:color w:val="000000"/>
                <w:sz w:val="18"/>
                <w:szCs w:val="18"/>
              </w:rPr>
            </w:pPr>
          </w:p>
        </w:tc>
      </w:tr>
    </w:tbl>
    <w:p w:rsidR="005F6C89" w:rsidRDefault="004B5A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______________</w:t>
      </w:r>
      <w:r w:rsidR="00A04906">
        <w:rPr>
          <w:rFonts w:ascii="Times" w:hAnsi="Times" w:cs="Times"/>
          <w:color w:val="000000"/>
          <w:sz w:val="18"/>
          <w:szCs w:val="18"/>
        </w:rPr>
        <w:t xml:space="preserve"> </w:t>
      </w:r>
      <w:r w:rsidR="005F6C89">
        <w:rPr>
          <w:rFonts w:ascii="Times" w:hAnsi="Times" w:cs="Times"/>
          <w:color w:val="000000"/>
          <w:sz w:val="18"/>
          <w:szCs w:val="18"/>
        </w:rPr>
        <w:t>, именуемо</w:t>
      </w:r>
      <w:r>
        <w:rPr>
          <w:rFonts w:ascii="Times" w:hAnsi="Times" w:cs="Times"/>
          <w:color w:val="000000"/>
          <w:sz w:val="18"/>
          <w:szCs w:val="18"/>
        </w:rPr>
        <w:t>е в дальнейшем ОПЕРАТОР, в лице</w:t>
      </w:r>
      <w:r w:rsidR="005F6C89">
        <w:rPr>
          <w:rFonts w:ascii="Times" w:hAnsi="Times" w:cs="Times"/>
          <w:color w:val="000000"/>
          <w:sz w:val="18"/>
          <w:szCs w:val="18"/>
        </w:rPr>
        <w:t>⁠, действующ</w:t>
      </w:r>
      <w:r>
        <w:rPr>
          <w:rFonts w:ascii="Times" w:hAnsi="Times" w:cs="Times"/>
          <w:color w:val="000000"/>
          <w:sz w:val="18"/>
          <w:szCs w:val="18"/>
        </w:rPr>
        <w:t>ий</w:t>
      </w:r>
      <w:r w:rsidR="005F6C89">
        <w:rPr>
          <w:rFonts w:ascii="Times" w:hAnsi="Times" w:cs="Times"/>
          <w:color w:val="000000"/>
          <w:sz w:val="18"/>
          <w:szCs w:val="18"/>
        </w:rPr>
        <w:t>⁠      ⁠ на основании ⁠  </w:t>
      </w:r>
      <w:r>
        <w:rPr>
          <w:rFonts w:ascii="Times" w:hAnsi="Times" w:cs="Times"/>
          <w:color w:val="000000"/>
          <w:sz w:val="18"/>
          <w:szCs w:val="18"/>
        </w:rPr>
        <w:t>_______</w:t>
      </w:r>
      <w:r w:rsidR="005F6C89">
        <w:rPr>
          <w:rFonts w:ascii="Times" w:hAnsi="Times" w:cs="Times"/>
          <w:color w:val="000000"/>
          <w:sz w:val="18"/>
          <w:szCs w:val="18"/>
        </w:rPr>
        <w:t xml:space="preserve">    ⁠, с одной стороны, и </w:t>
      </w:r>
      <w:r>
        <w:rPr>
          <w:rFonts w:ascii="Times" w:hAnsi="Times" w:cs="Times"/>
          <w:color w:val="000000"/>
          <w:sz w:val="18"/>
          <w:szCs w:val="18"/>
        </w:rPr>
        <w:t xml:space="preserve"> ___________,</w:t>
      </w:r>
      <w:r w:rsidR="005F6C89">
        <w:rPr>
          <w:rFonts w:ascii="Times" w:hAnsi="Times" w:cs="Times"/>
          <w:color w:val="000000"/>
          <w:sz w:val="18"/>
          <w:szCs w:val="18"/>
        </w:rPr>
        <w:t xml:space="preserve"> именуем в дальнейшем АБОНЕНТ, в лице , действующ</w:t>
      </w:r>
      <w:r>
        <w:rPr>
          <w:rFonts w:ascii="Times" w:hAnsi="Times" w:cs="Times"/>
          <w:color w:val="000000"/>
          <w:sz w:val="18"/>
          <w:szCs w:val="18"/>
        </w:rPr>
        <w:t>ий</w:t>
      </w:r>
      <w:r w:rsidR="005F6C89">
        <w:rPr>
          <w:rFonts w:ascii="Times" w:hAnsi="Times" w:cs="Times"/>
          <w:color w:val="000000"/>
          <w:sz w:val="18"/>
          <w:szCs w:val="18"/>
        </w:rPr>
        <w:t xml:space="preserve"> на основании , с другой стороны, совместно именуемые в дальнейшем Стороны, заключили Договор о нижеследующем.</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Абоненту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Договору)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Лицензионный договор (Приложение № 2 к Договору)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Договора.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Сублицензионный договор на использование программы для ЭВМ СКЗИ «КриптоПро CSP» (Приложение № 3 к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Договора, если приобретаются лицензии на право использования СКЗИ.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 Прайс-лист − документ (неотъемлемая часть Договора), отражающий ценовую политику Оператора и состав Тарифных планов. Действующая редакция основного Прайс-листа публикуется по адресу </w:t>
      </w:r>
      <w:hyperlink r:id="rId4" w:history="1">
        <w:r>
          <w:rPr>
            <w:rFonts w:ascii="Times" w:hAnsi="Times" w:cs="Times"/>
            <w:color w:val="0000CD"/>
            <w:sz w:val="18"/>
            <w:szCs w:val="18"/>
          </w:rPr>
          <w:t>https://www.kontur-extern.ru</w:t>
        </w:r>
      </w:hyperlink>
      <w:r>
        <w:rPr>
          <w:rFonts w:ascii="Times" w:hAnsi="Times" w:cs="Times"/>
          <w:color w:val="000000"/>
          <w:sz w:val="18"/>
          <w:szCs w:val="18"/>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hyperlink r:id="rId5" w:history="1">
        <w:r>
          <w:rPr>
            <w:rFonts w:ascii="Times" w:hAnsi="Times" w:cs="Times"/>
            <w:color w:val="0000CD"/>
            <w:sz w:val="18"/>
            <w:szCs w:val="18"/>
          </w:rPr>
          <w:t>https://ca.kontur.ru</w:t>
        </w:r>
      </w:hyperlink>
      <w:r>
        <w:rPr>
          <w:rFonts w:ascii="Times" w:hAnsi="Times" w:cs="Times"/>
          <w:color w:val="000000"/>
          <w:sz w:val="18"/>
          <w:szCs w:val="18"/>
        </w:rPr>
        <w:t>. Заключением Договора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Пользовательская документация – справочный текст, размещенный по адресу </w:t>
      </w:r>
      <w:hyperlink r:id="rId6" w:history="1">
        <w:r>
          <w:rPr>
            <w:rFonts w:ascii="Times" w:hAnsi="Times" w:cs="Times"/>
            <w:color w:val="0000CD"/>
            <w:sz w:val="18"/>
            <w:szCs w:val="18"/>
          </w:rPr>
          <w:t>https://support.kontur.ru/extern</w:t>
        </w:r>
      </w:hyperlink>
      <w:r>
        <w:rPr>
          <w:rFonts w:ascii="Times" w:hAnsi="Times" w:cs="Times"/>
          <w:color w:val="000000"/>
          <w:sz w:val="18"/>
          <w:szCs w:val="18"/>
        </w:rPr>
        <w:t xml:space="preserve"> и описывающий порядок работы с Продуктом.</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Программный интерфейс API (Application Programming Interface) – интерфейс прикладного программирования Продукта, позволяющий провести интеграцию Продукта с информационной системой Абонента.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во взаимоотношениях с Абонентом. Список Сервисных центров публикуется на сайте </w:t>
      </w:r>
      <w:hyperlink r:id="rId7" w:history="1">
        <w:r>
          <w:rPr>
            <w:rFonts w:ascii="Times" w:hAnsi="Times" w:cs="Times"/>
            <w:color w:val="0000CD"/>
            <w:sz w:val="18"/>
            <w:szCs w:val="18"/>
          </w:rPr>
          <w:t>https://kontur.ru/contacts/all</w:t>
        </w:r>
      </w:hyperlink>
      <w:r>
        <w:rPr>
          <w:rFonts w:ascii="Times" w:hAnsi="Times" w:cs="Times"/>
          <w:color w:val="000000"/>
          <w:sz w:val="18"/>
          <w:szCs w:val="18"/>
        </w:rPr>
        <w:t>.</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ДОГОВОРА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Договором,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Договором.</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2.3. Если Абоненту требуется СКЗИ, то Оператор обязуется возмездно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При необходимости Абоненту могут быть возмездно предоставлены лицензии на иное программное обеспечение, оказаны иные услуги, выполнены работы, предусмотренные Прайс-листом Оператора.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2.5. Оператор либо Сервисный центр могут дополнительно возмездно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ОПЕРАТОРОМ</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Оператор предоставляет Абоненту право использования Продукта</w:t>
      </w:r>
      <w:r w:rsidR="00236A8C">
        <w:rPr>
          <w:rFonts w:ascii="Times" w:hAnsi="Times" w:cs="Times"/>
          <w:color w:val="000000"/>
          <w:sz w:val="18"/>
          <w:szCs w:val="18"/>
        </w:rPr>
        <w:t xml:space="preserve"> </w:t>
      </w:r>
      <w:r w:rsidR="00D547FA">
        <w:rPr>
          <w:rFonts w:ascii="Times" w:hAnsi="Times" w:cs="Times"/>
          <w:color w:val="000000"/>
          <w:sz w:val="18"/>
          <w:szCs w:val="18"/>
        </w:rPr>
        <w:t xml:space="preserve">с </w:t>
      </w:r>
      <w:r w:rsidR="00236A8C" w:rsidRPr="00D547FA">
        <w:rPr>
          <w:rFonts w:ascii="Times" w:hAnsi="Times" w:cs="Times"/>
          <w:color w:val="000000"/>
          <w:sz w:val="18"/>
          <w:szCs w:val="18"/>
        </w:rPr>
        <w:t>11.09.2026</w:t>
      </w:r>
      <w:r>
        <w:rPr>
          <w:rFonts w:ascii="Times" w:hAnsi="Times" w:cs="Times"/>
          <w:color w:val="000000"/>
          <w:sz w:val="18"/>
          <w:szCs w:val="18"/>
        </w:rPr>
        <w:t xml:space="preserve"> путем:</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открытия доступа к веб-версии Продукта. Реализация Абонентом доступа к Продукту осуществляется путем установки и </w:t>
      </w:r>
      <w:r>
        <w:rPr>
          <w:rFonts w:ascii="Times" w:hAnsi="Times" w:cs="Times"/>
          <w:color w:val="000000"/>
          <w:sz w:val="18"/>
          <w:szCs w:val="18"/>
        </w:rPr>
        <w:lastRenderedPageBreak/>
        <w:t xml:space="preserve">настройки необходимых для функционирования Продукта дистрибутивов программных компонентов согласно инструкции на сайте </w:t>
      </w:r>
      <w:hyperlink r:id="rId8" w:history="1">
        <w:r>
          <w:rPr>
            <w:rFonts w:ascii="Times" w:hAnsi="Times" w:cs="Times"/>
            <w:color w:val="0000CD"/>
            <w:sz w:val="18"/>
            <w:szCs w:val="18"/>
          </w:rPr>
          <w:t>https://www.kontur-extern.ru/support/start</w:t>
        </w:r>
      </w:hyperlink>
      <w:r>
        <w:rPr>
          <w:rFonts w:ascii="Times" w:hAnsi="Times" w:cs="Times"/>
          <w:color w:val="000000"/>
          <w:sz w:val="18"/>
          <w:szCs w:val="18"/>
        </w:rPr>
        <w:t>;</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9" w:history="1">
        <w:r>
          <w:rPr>
            <w:rFonts w:ascii="Times" w:hAnsi="Times" w:cs="Times"/>
            <w:color w:val="0000CD"/>
            <w:sz w:val="18"/>
            <w:szCs w:val="18"/>
          </w:rPr>
          <w:t>https://www.kontur.ru/extern</w:t>
        </w:r>
      </w:hyperlink>
      <w:r>
        <w:rPr>
          <w:rFonts w:ascii="Times" w:hAnsi="Times" w:cs="Times"/>
          <w:color w:val="000000"/>
          <w:sz w:val="18"/>
          <w:szCs w:val="18"/>
        </w:rPr>
        <w:t>;</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Абоненту Ключа разработчика для интеграции Продукта с информационными системами при помощи API.</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Необходимым условием использования Продукта является наличие у Абонента: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3.2.1. подключения к сети Интернет;</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3.2.2. учетной записи на сервере Оператора;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3.2.3. действующего Сертификата;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3.2.4. СКЗИ.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Передача права использования Продукта осуществляется в момент открытия доступа Абоненту к серверу Продукта.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8-800-500-50-80 без ограничения по времени и количеству обращений.</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Оператора: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заявленной функциональности, описанной в Пользовательской документации;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Абонентом Продукта;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Оператора, от несанкционированного доступа;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4.1.6. наличие всех необходимых лицензий для исполнения обязательств по Договору. Место публикации лицензий Оператора </w:t>
      </w:r>
      <w:hyperlink r:id="rId10" w:history="1">
        <w:r>
          <w:rPr>
            <w:rFonts w:ascii="Times" w:hAnsi="Times" w:cs="Times"/>
            <w:color w:val="0000CD"/>
            <w:sz w:val="18"/>
            <w:szCs w:val="18"/>
          </w:rPr>
          <w:t>https://kontur.ru/about/licences</w:t>
        </w:r>
      </w:hyperlink>
      <w:r>
        <w:rPr>
          <w:rFonts w:ascii="Times" w:hAnsi="Times" w:cs="Times"/>
          <w:color w:val="000000"/>
          <w:sz w:val="18"/>
          <w:szCs w:val="18"/>
        </w:rPr>
        <w:t>;</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4.1.7. обеспечение конфиденциальности данных, размещенных Абонентом в Продукте, на весь период их нахождения на сервере;</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осуществление обязанностей Оператора электронного документооборота.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Абонента: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Оператора в порядке и сроки, установленные Договором;</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Оператору всех сведений и документов, необходимых для исполнения Оператором обязательств по Договору;</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4.2.5. самостоятельное подключение компьютера к сети Интернет;</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4.2.6. самостоятельная комплектация рабочего места в соответствии с требованиями, размещенными на сайте </w:t>
      </w:r>
      <w:hyperlink r:id="rId11" w:history="1">
        <w:r>
          <w:rPr>
            <w:rFonts w:ascii="Times" w:hAnsi="Times" w:cs="Times"/>
            <w:color w:val="0000CD"/>
            <w:sz w:val="18"/>
            <w:szCs w:val="18"/>
          </w:rPr>
          <w:t>https://support.kontur.ru/extern</w:t>
        </w:r>
      </w:hyperlink>
      <w:r>
        <w:rPr>
          <w:rFonts w:ascii="Times" w:hAnsi="Times" w:cs="Times"/>
          <w:color w:val="000000"/>
          <w:sz w:val="18"/>
          <w:szCs w:val="18"/>
        </w:rPr>
        <w:t>;</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отказ от попыток копировать, модифицировать, декомпилировать, деассемблировать Продукт;</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4.2.8. отказ от попыток получения доступа к информации третьих лиц, хранящейся в Продукте;</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4.2.11. самостоятельное осуществление интеграции информационных систем Абонента с Продуктом с использованием API.</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Оператора: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Договора.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Абонента: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Оператору.</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Лицензионное вознаграждение за право использования программы для ЭВМ определяется Прайс-листом Оператора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Цена услуг/работ/ТМЦ Оператора определяется Прайс-листом Оператора и устанавливается в Спецификации без учета НДС. НДС начисляется и предъявляется Абоненту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5.3. Абонент оплачивает выставленный Оператором счет </w:t>
      </w:r>
      <w:r w:rsidRPr="00D547FA">
        <w:rPr>
          <w:rFonts w:ascii="Times" w:hAnsi="Times" w:cs="Times"/>
          <w:color w:val="000000"/>
          <w:sz w:val="18"/>
          <w:szCs w:val="18"/>
        </w:rPr>
        <w:t>в течение 10 (десяти) рабочих дней с момента подписания Сторонами УПД</w:t>
      </w:r>
      <w:r>
        <w:rPr>
          <w:rFonts w:ascii="Times" w:hAnsi="Times" w:cs="Times"/>
          <w:color w:val="000000"/>
          <w:sz w:val="18"/>
          <w:szCs w:val="18"/>
        </w:rPr>
        <w:t>.</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Договору осуществляются в российских рублях путем безналичного перечисления денежных средств на расчетный счет Оператора.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Абонента по оплате счета считается исполненным с момента поступления денежных средств на расчетный счет Оператора.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5.7. Общая цена Договора определяется Спецификацией, является твердой и не может изменяться в ходе его исполнения, за </w:t>
      </w:r>
      <w:r>
        <w:rPr>
          <w:rFonts w:ascii="Times" w:hAnsi="Times" w:cs="Times"/>
          <w:color w:val="000000"/>
          <w:sz w:val="18"/>
          <w:szCs w:val="18"/>
        </w:rPr>
        <w:lastRenderedPageBreak/>
        <w:t>исключением случаев, установленных законодательством Российской Федерации.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5.8. Стороны подтверждают исполнение обязательств по Договору путем подписания УПД. Абонент обязан вернуть Оператору подписанный экземпляр УПД до момента окончания срока, установленного пп. 5.9-5.10 Договора.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 В случае отсутствия в течение 10 (десяти) рабочих дней с момента получения Абонентом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Договором, в части их соответствия его условиям, Абонент по собственной инициативе и за свой счет может провести экспертизу.</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ДОГОВОРА. ПОРЯДОК ИЗМЕНЕНИЯ, ДОПОЛНЕНИЯ И РАСТОРЖЕНИЯ. ПОРЯДОК РАЗРЕШЕНИЯ СПОРОВ</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6.1. Договор вступает в </w:t>
      </w:r>
      <w:r w:rsidRPr="00D547FA">
        <w:rPr>
          <w:rFonts w:ascii="Times" w:hAnsi="Times" w:cs="Times"/>
          <w:color w:val="000000"/>
          <w:sz w:val="18"/>
          <w:szCs w:val="18"/>
        </w:rPr>
        <w:t xml:space="preserve">силу </w:t>
      </w:r>
      <w:r w:rsidRPr="00D547FA">
        <w:rPr>
          <w:rFonts w:ascii="Times" w:hAnsi="Times" w:cs="Times"/>
          <w:sz w:val="18"/>
          <w:szCs w:val="18"/>
        </w:rPr>
        <w:t xml:space="preserve">с </w:t>
      </w:r>
      <w:r w:rsidR="00AA1C60" w:rsidRPr="00D547FA">
        <w:rPr>
          <w:rFonts w:ascii="Times" w:hAnsi="Times" w:cs="Times"/>
          <w:sz w:val="18"/>
          <w:szCs w:val="18"/>
        </w:rPr>
        <w:t>1</w:t>
      </w:r>
      <w:r w:rsidR="00236A8C" w:rsidRPr="00D547FA">
        <w:rPr>
          <w:rFonts w:ascii="Times" w:hAnsi="Times" w:cs="Times"/>
          <w:sz w:val="18"/>
          <w:szCs w:val="18"/>
        </w:rPr>
        <w:t>1</w:t>
      </w:r>
      <w:r w:rsidR="00AA1C60" w:rsidRPr="00D547FA">
        <w:rPr>
          <w:rFonts w:ascii="Times" w:hAnsi="Times" w:cs="Times"/>
          <w:sz w:val="18"/>
          <w:szCs w:val="18"/>
        </w:rPr>
        <w:t>.09.2026</w:t>
      </w:r>
      <w:r w:rsidRPr="00D547FA">
        <w:rPr>
          <w:rFonts w:ascii="Times" w:hAnsi="Times" w:cs="Times"/>
          <w:sz w:val="18"/>
          <w:szCs w:val="18"/>
        </w:rPr>
        <w:t xml:space="preserve"> и действует до </w:t>
      </w:r>
      <w:r w:rsidR="004C5F9E" w:rsidRPr="00D547FA">
        <w:rPr>
          <w:rFonts w:ascii="Times" w:hAnsi="Times" w:cs="Times"/>
          <w:sz w:val="18"/>
          <w:szCs w:val="18"/>
        </w:rPr>
        <w:t>11.09.2027</w:t>
      </w:r>
      <w:r w:rsidRPr="00D547FA">
        <w:rPr>
          <w:rFonts w:ascii="Times" w:hAnsi="Times" w:cs="Times"/>
          <w:color w:val="000000"/>
          <w:sz w:val="18"/>
          <w:szCs w:val="18"/>
        </w:rPr>
        <w:t>,</w:t>
      </w:r>
      <w:r>
        <w:rPr>
          <w:rFonts w:ascii="Times" w:hAnsi="Times" w:cs="Times"/>
          <w:color w:val="000000"/>
          <w:sz w:val="18"/>
          <w:szCs w:val="18"/>
        </w:rPr>
        <w:t xml:space="preserve"> а в части исполнения обязательств - до их полного исполнения Сторонами. Под принятием условий Договора Стороны понимают: подписание Абонентом Договора, фактическое начало использования Абонентом Продукта, оплату Абонентом выставленного Оператором счета, в зависимости от того, какое из этих </w:t>
      </w:r>
      <w:bookmarkStart w:id="0" w:name="_GoBack"/>
      <w:bookmarkEnd w:id="0"/>
      <w:r>
        <w:rPr>
          <w:rFonts w:ascii="Times" w:hAnsi="Times" w:cs="Times"/>
          <w:color w:val="000000"/>
          <w:sz w:val="18"/>
          <w:szCs w:val="18"/>
        </w:rPr>
        <w:t>событий наступит раньше.</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Договору оформляются дополнительным соглашением, которое подписывается обеими Сторонами в том же порядке, что и Договор.</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В случае нарушения Абонентом условий Договора Оператор вправе незамедлительно блокировать доступ к Продукту без предварительного уведомления Абонента, а также досрочно расторгнуть Договор.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Договор расторгается в случаях, предусмотренных законодательством Российской Федерации и Договором.</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Все споры и разногласия, возникающие в связи с исполнением и (или) толкованием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Договору Стороны будут нести ответственность в соответствии с законодательством Российской Федерации и условиями Договора.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Договору в течение одного года, предшествующего моменту возникновения убытков.</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Оператор не будет нести ответственность за содержание и достоверность информации, циркулирующей в Продукте.</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Договором.</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Оператор не будет нести ответственность за действия, совершаемые пользователями Абонента в Продукте.</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Договора.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Факт заключения Договора не является конфиденциальной информацией.</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7.16.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w:t>
      </w:r>
      <w:r>
        <w:rPr>
          <w:rFonts w:ascii="Times" w:hAnsi="Times" w:cs="Times"/>
          <w:color w:val="000000"/>
          <w:sz w:val="18"/>
          <w:szCs w:val="18"/>
        </w:rPr>
        <w:lastRenderedPageBreak/>
        <w:t>иные действия, нарушающие требования законодательства Российской Федерации.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Договора и/или неполучения другой Стороной информации об итогах рассмотрения уведомления о нарушении другая Сторона имеет право отказаться от Договора, направив письменное уведомление.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Договора и применение эффективных мер по предотвращению возможных конфликтных ситуаций.</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Стороны освобождаются от ответственности за неисполнение или ненадлежащее исполнение условий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Договор действует в обычном порядке.</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Договора: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Договора и исполнения обязательств по нему;</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не нарушает каких-либо прав на объекты интеллектуальной собственности или иных имущественных прав какого-либо третьего лица;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Договора и блокированию Абоненту доступа к Продукту.</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ОБЯЗАТЕЛЬСТВА СТОРОН В ОБЛАСТИ ОБРАБОТКИ ПЕРСОНАЛЬНЫХ ДАННЫХ</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Заключение Договора рассматривается Сторонами как поручение Оператора персональных данных (Абонента по Договору)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Договором.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Абонент гарантирует:</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Оператор гарантирует:</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9.3.1. соблюдение конфиденциальности и обеспечение безопасности обрабатываемых персональных данных;</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9.3.2. обработку персональных данных на территории Российской Федерации;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определение угроз безопасности персональных данных при их обработке;</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установление правил доступа к обрабатываемым персональным данным;</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обнаружение фактов несанкционированного доступа к персональным данным и принятие мер по их пресечению;</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проведение оценки эффективности принимаемых мер по обеспечению безопасности персональных данных и контроля за </w:t>
      </w:r>
      <w:r>
        <w:rPr>
          <w:rFonts w:ascii="Times" w:hAnsi="Times" w:cs="Times"/>
          <w:color w:val="000000"/>
          <w:sz w:val="18"/>
          <w:szCs w:val="18"/>
        </w:rPr>
        <w:lastRenderedPageBreak/>
        <w:t>принимаемыми мерами.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hyperlink r:id="rId12" w:history="1">
        <w:r>
          <w:rPr>
            <w:rFonts w:ascii="Times" w:hAnsi="Times" w:cs="Times"/>
            <w:color w:val="0000CD"/>
            <w:sz w:val="18"/>
            <w:szCs w:val="18"/>
          </w:rPr>
          <w:t>https://kontur.ru</w:t>
        </w:r>
      </w:hyperlink>
      <w:r>
        <w:rPr>
          <w:rFonts w:ascii="Times" w:hAnsi="Times" w:cs="Times"/>
          <w:color w:val="000000"/>
          <w:sz w:val="18"/>
          <w:szCs w:val="18"/>
        </w:rPr>
        <w:t>.</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В случае прекращения действия Договора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Оператор обязуется:</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9.8. Принимая условия Договора, Абонент заверяет (по смыслу ст. 431.2 Гражданского кодекса Российской Федерации) о наличии согласий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на обработку принадлежащих им персональных данных, в том числе на передачу персональных данных Оператору и Сервисным центрам в целях исполнения Договора, включая совершение массовых и (или) автоматических вызовов (все вызовы Оператора, совершаемые с его АТС).</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ДОПОЛНИТЕЛЬНЫЕ УСЛОВИЯ</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Приложениями к Договору являются:</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Сублицензионный договор.</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Стороны договорились о возможности использования факсимиле подписи уполномоченного лица Оператора для подписания Договора и документов, необходимых для заключения и исполнения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«Контур.Диадок», правообладателем которой является Оператор и использование которой для целей обмена электронными документами с Оператором в рамках Договора не будет тарифицироваться для Абонента.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10.4. Принимая условия Договора,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Договора адресу электронной почты и телефону.</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Принимая условия Договора, Абонент подтверждает наличие у него законных оснований для обработки с использованием Продукта принадлежащей ему информации.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Договора, Абонент соглашается на массовые и (или) автоматические телефонные вызовы (все вызовы Оператора,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Оператора на номер подвижной мобильной связи или адрес электронной почты, с которых произведено обращение, либо указанные уполномоченным лицом Абонента. Согласие распространяется в том числе, но не ограничиваясь на информирование о результатах обращения в Федеральный контакт-центр Оператора, о результатах выполнения работ, оказания услуг, о необходимости обновления/проведения необходимых доработок интеграционных модулей.</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 Абонент подтверждает, что по смыслу п. 4 ст. 185 Гражданского кодекса Российской Федерации все действия, совершаемые пользователями Абонента в Продукте, признаются Сторонами совершаемыми от имени и в интересах Абонента.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 Оператор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Абонента.</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СВЕДЕНИЯ ОБ ОПЕРАТОРЕ</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5F6C89">
        <w:tblPrEx>
          <w:tblCellMar>
            <w:top w:w="0" w:type="dxa"/>
            <w:left w:w="0" w:type="dxa"/>
            <w:bottom w:w="0" w:type="dxa"/>
            <w:right w:w="0" w:type="dxa"/>
          </w:tblCellMar>
        </w:tblPrEx>
        <w:tc>
          <w:tcPr>
            <w:tcW w:w="10372" w:type="dxa"/>
            <w:gridSpan w:val="4"/>
            <w:tcBorders>
              <w:top w:val="nil"/>
              <w:left w:val="nil"/>
              <w:bottom w:val="nil"/>
              <w:right w:val="nil"/>
            </w:tcBorders>
          </w:tcPr>
          <w:p w:rsidR="005F6C89" w:rsidRDefault="005F6C89">
            <w:pPr>
              <w:widowControl w:val="0"/>
              <w:autoSpaceDE w:val="0"/>
              <w:autoSpaceDN w:val="0"/>
              <w:adjustRightInd w:val="0"/>
              <w:spacing w:after="0" w:line="240" w:lineRule="auto"/>
              <w:rPr>
                <w:rFonts w:ascii="Times" w:hAnsi="Times" w:cs="Times"/>
                <w:color w:val="000000"/>
                <w:sz w:val="18"/>
                <w:szCs w:val="18"/>
              </w:rPr>
            </w:pPr>
          </w:p>
        </w:tc>
      </w:tr>
      <w:tr w:rsidR="005F6C89">
        <w:tblPrEx>
          <w:tblCellMar>
            <w:top w:w="0" w:type="dxa"/>
            <w:left w:w="0" w:type="dxa"/>
            <w:bottom w:w="0" w:type="dxa"/>
            <w:right w:w="0" w:type="dxa"/>
          </w:tblCellMar>
        </w:tblPrEx>
        <w:tc>
          <w:tcPr>
            <w:tcW w:w="10372" w:type="dxa"/>
            <w:gridSpan w:val="4"/>
            <w:tcBorders>
              <w:top w:val="nil"/>
              <w:left w:val="nil"/>
              <w:bottom w:val="nil"/>
              <w:right w:val="nil"/>
            </w:tcBorders>
          </w:tcPr>
          <w:p w:rsidR="005F6C89" w:rsidRDefault="005F6C89">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12. СВЕДЕНИЯ ОБ АБОНЕНТЕ</w:t>
            </w:r>
          </w:p>
          <w:p w:rsidR="005F6C89" w:rsidRDefault="005F6C89">
            <w:pPr>
              <w:widowControl w:val="0"/>
              <w:autoSpaceDE w:val="0"/>
              <w:autoSpaceDN w:val="0"/>
              <w:adjustRightInd w:val="0"/>
              <w:spacing w:after="0" w:line="240" w:lineRule="auto"/>
              <w:rPr>
                <w:rFonts w:ascii="Times" w:hAnsi="Times" w:cs="Times"/>
                <w:color w:val="000000"/>
                <w:sz w:val="18"/>
                <w:szCs w:val="18"/>
              </w:rPr>
            </w:pPr>
          </w:p>
          <w:p w:rsidR="005F6C89" w:rsidRDefault="005F6C89">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5F6C89">
        <w:tblPrEx>
          <w:tblCellMar>
            <w:top w:w="0" w:type="dxa"/>
            <w:left w:w="0" w:type="dxa"/>
            <w:bottom w:w="0" w:type="dxa"/>
            <w:right w:w="0" w:type="dxa"/>
          </w:tblCellMar>
        </w:tblPrEx>
        <w:trPr>
          <w:gridAfter w:val="3"/>
          <w:wAfter w:w="7779" w:type="dxa"/>
        </w:trPr>
        <w:tc>
          <w:tcPr>
            <w:tcW w:w="2593" w:type="dxa"/>
            <w:tcBorders>
              <w:top w:val="nil"/>
              <w:left w:val="nil"/>
              <w:bottom w:val="nil"/>
              <w:right w:val="nil"/>
            </w:tcBorders>
          </w:tcPr>
          <w:p w:rsidR="005F6C89" w:rsidRDefault="005F6C89">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13. ПОДПИСИ СТОРОН</w:t>
            </w:r>
          </w:p>
        </w:tc>
      </w:tr>
      <w:tr w:rsidR="005F6C89">
        <w:tblPrEx>
          <w:tblCellMar>
            <w:top w:w="0" w:type="dxa"/>
            <w:left w:w="0" w:type="dxa"/>
            <w:bottom w:w="0" w:type="dxa"/>
            <w:right w:w="0" w:type="dxa"/>
          </w:tblCellMar>
        </w:tblPrEx>
        <w:tc>
          <w:tcPr>
            <w:tcW w:w="5186" w:type="dxa"/>
            <w:gridSpan w:val="2"/>
            <w:tcBorders>
              <w:top w:val="nil"/>
              <w:left w:val="nil"/>
              <w:bottom w:val="nil"/>
              <w:right w:val="nil"/>
            </w:tcBorders>
          </w:tcPr>
          <w:p w:rsidR="005F6C89" w:rsidRDefault="005F6C89">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ОПЕРАТОР</w:t>
            </w:r>
          </w:p>
        </w:tc>
        <w:tc>
          <w:tcPr>
            <w:tcW w:w="5186" w:type="dxa"/>
            <w:gridSpan w:val="2"/>
            <w:tcBorders>
              <w:top w:val="nil"/>
              <w:left w:val="nil"/>
              <w:bottom w:val="nil"/>
              <w:right w:val="nil"/>
            </w:tcBorders>
          </w:tcPr>
          <w:p w:rsidR="005F6C89" w:rsidRDefault="005F6C89">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АБОНЕНТ</w:t>
            </w:r>
          </w:p>
        </w:tc>
      </w:tr>
      <w:tr w:rsidR="005F6C89">
        <w:tblPrEx>
          <w:tblCellMar>
            <w:top w:w="0" w:type="dxa"/>
            <w:left w:w="0" w:type="dxa"/>
            <w:bottom w:w="0" w:type="dxa"/>
            <w:right w:w="0" w:type="dxa"/>
          </w:tblCellMar>
        </w:tblPrEx>
        <w:trPr>
          <w:trHeight w:val="170"/>
        </w:trPr>
        <w:tc>
          <w:tcPr>
            <w:tcW w:w="2593" w:type="dxa"/>
            <w:tcBorders>
              <w:top w:val="nil"/>
              <w:left w:val="nil"/>
              <w:bottom w:val="single" w:sz="6" w:space="0" w:color="000000"/>
              <w:right w:val="nil"/>
            </w:tcBorders>
          </w:tcPr>
          <w:p w:rsidR="005F6C89" w:rsidRDefault="005F6C89">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5F6C89" w:rsidRDefault="005F6C89">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c>
          <w:tcPr>
            <w:tcW w:w="2593" w:type="dxa"/>
            <w:tcBorders>
              <w:top w:val="nil"/>
              <w:left w:val="nil"/>
              <w:bottom w:val="single" w:sz="6" w:space="0" w:color="000000"/>
              <w:right w:val="nil"/>
            </w:tcBorders>
          </w:tcPr>
          <w:p w:rsidR="005F6C89" w:rsidRDefault="005F6C89">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5F6C89" w:rsidRDefault="005F6C89">
            <w:pPr>
              <w:widowControl w:val="0"/>
              <w:autoSpaceDE w:val="0"/>
              <w:autoSpaceDN w:val="0"/>
              <w:adjustRightInd w:val="0"/>
              <w:spacing w:after="0" w:line="240" w:lineRule="auto"/>
              <w:rPr>
                <w:rFonts w:ascii="Times" w:hAnsi="Times" w:cs="Times"/>
                <w:color w:val="000000"/>
                <w:sz w:val="18"/>
                <w:szCs w:val="18"/>
              </w:rPr>
            </w:pPr>
          </w:p>
        </w:tc>
      </w:tr>
      <w:tr w:rsidR="005F6C89">
        <w:tblPrEx>
          <w:tblCellMar>
            <w:top w:w="0" w:type="dxa"/>
            <w:left w:w="0" w:type="dxa"/>
            <w:bottom w:w="0" w:type="dxa"/>
            <w:right w:w="0" w:type="dxa"/>
          </w:tblCellMar>
        </w:tblPrEx>
        <w:trPr>
          <w:trHeight w:val="170"/>
        </w:trPr>
        <w:tc>
          <w:tcPr>
            <w:tcW w:w="5186" w:type="dxa"/>
            <w:gridSpan w:val="2"/>
            <w:tcBorders>
              <w:top w:val="nil"/>
              <w:left w:val="nil"/>
              <w:bottom w:val="nil"/>
              <w:right w:val="nil"/>
            </w:tcBorders>
          </w:tcPr>
          <w:p w:rsidR="005F6C89" w:rsidRDefault="005F6C89">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c>
          <w:tcPr>
            <w:tcW w:w="5186" w:type="dxa"/>
            <w:gridSpan w:val="2"/>
            <w:tcBorders>
              <w:top w:val="nil"/>
              <w:left w:val="nil"/>
              <w:bottom w:val="nil"/>
              <w:right w:val="nil"/>
            </w:tcBorders>
          </w:tcPr>
          <w:p w:rsidR="005F6C89" w:rsidRDefault="005F6C89">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rsidR="005F6C89" w:rsidRDefault="005F6C89">
      <w:pPr>
        <w:widowControl w:val="0"/>
        <w:autoSpaceDE w:val="0"/>
        <w:autoSpaceDN w:val="0"/>
        <w:adjustRightInd w:val="0"/>
        <w:spacing w:after="0" w:line="240" w:lineRule="auto"/>
        <w:rPr>
          <w:rFonts w:ascii="Arial" w:hAnsi="Arial" w:cs="Arial"/>
          <w:sz w:val="24"/>
          <w:szCs w:val="24"/>
        </w:rPr>
        <w:sectPr w:rsidR="005F6C89">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5F6C89">
        <w:tblPrEx>
          <w:tblCellMar>
            <w:top w:w="0" w:type="dxa"/>
            <w:left w:w="0" w:type="dxa"/>
            <w:bottom w:w="0" w:type="dxa"/>
            <w:right w:w="0" w:type="dxa"/>
          </w:tblCellMar>
        </w:tblPrEx>
        <w:tc>
          <w:tcPr>
            <w:tcW w:w="1133" w:type="dxa"/>
            <w:tcBorders>
              <w:top w:val="nil"/>
              <w:left w:val="nil"/>
              <w:bottom w:val="nil"/>
              <w:right w:val="nil"/>
            </w:tcBorders>
          </w:tcPr>
          <w:p w:rsidR="005F6C89" w:rsidRDefault="005F6C89">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rsidR="005F6C89" w:rsidRDefault="005F6C89">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rsidR="005F6C89" w:rsidRDefault="005F6C89" w:rsidP="00AA1C60">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к Договору № </w:t>
            </w:r>
            <w:r w:rsidR="00A04906">
              <w:rPr>
                <w:rFonts w:ascii="Times" w:hAnsi="Times" w:cs="Times"/>
                <w:color w:val="000000"/>
                <w:sz w:val="17"/>
                <w:szCs w:val="17"/>
              </w:rPr>
              <w:t xml:space="preserve">      </w:t>
            </w:r>
            <w:r>
              <w:rPr>
                <w:rFonts w:ascii="Times" w:hAnsi="Times" w:cs="Times"/>
                <w:color w:val="000000"/>
                <w:sz w:val="17"/>
                <w:szCs w:val="17"/>
              </w:rPr>
              <w:t> от </w:t>
            </w:r>
            <w:r w:rsidR="00A04906">
              <w:rPr>
                <w:rFonts w:ascii="Times" w:hAnsi="Times" w:cs="Times"/>
                <w:color w:val="000000"/>
                <w:sz w:val="17"/>
                <w:szCs w:val="17"/>
              </w:rPr>
              <w:t xml:space="preserve">     </w:t>
            </w:r>
          </w:p>
        </w:tc>
      </w:tr>
      <w:tr w:rsidR="005F6C89">
        <w:tblPrEx>
          <w:tblCellMar>
            <w:top w:w="0" w:type="dxa"/>
            <w:left w:w="0" w:type="dxa"/>
            <w:bottom w:w="0" w:type="dxa"/>
            <w:right w:w="0" w:type="dxa"/>
          </w:tblCellMar>
        </w:tblPrEx>
        <w:tc>
          <w:tcPr>
            <w:tcW w:w="10600" w:type="dxa"/>
            <w:gridSpan w:val="2"/>
            <w:tcBorders>
              <w:top w:val="nil"/>
              <w:left w:val="nil"/>
              <w:bottom w:val="nil"/>
              <w:right w:val="nil"/>
            </w:tcBorders>
          </w:tcPr>
          <w:p w:rsidR="005F6C89" w:rsidRDefault="005F6C89">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 xml:space="preserve">Спецификация №1 от </w:t>
            </w:r>
            <w:r w:rsidR="00A04906">
              <w:rPr>
                <w:rFonts w:ascii="Times" w:hAnsi="Times" w:cs="Times"/>
                <w:b/>
                <w:bCs/>
                <w:color w:val="000000"/>
                <w:sz w:val="17"/>
                <w:szCs w:val="17"/>
              </w:rPr>
              <w:t xml:space="preserve">     </w:t>
            </w:r>
          </w:p>
          <w:p w:rsidR="005F6C89" w:rsidRDefault="005F6C89">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 xml:space="preserve"> </w:t>
            </w:r>
            <w:r w:rsidR="00A04906">
              <w:rPr>
                <w:rFonts w:ascii="Times" w:hAnsi="Times" w:cs="Times"/>
                <w:color w:val="000000"/>
                <w:sz w:val="17"/>
                <w:szCs w:val="17"/>
              </w:rPr>
              <w:t xml:space="preserve">     </w:t>
            </w:r>
            <w:r>
              <w:rPr>
                <w:rFonts w:ascii="Times" w:hAnsi="Times" w:cs="Times"/>
                <w:color w:val="000000"/>
                <w:sz w:val="17"/>
                <w:szCs w:val="17"/>
              </w:rPr>
              <w:t xml:space="preserve"> (ИНН </w:t>
            </w:r>
            <w:r w:rsidR="00A04906">
              <w:rPr>
                <w:rFonts w:ascii="Times" w:hAnsi="Times" w:cs="Times"/>
                <w:color w:val="000000"/>
                <w:sz w:val="17"/>
                <w:szCs w:val="17"/>
              </w:rPr>
              <w:t xml:space="preserve">      </w:t>
            </w:r>
            <w:r>
              <w:rPr>
                <w:rFonts w:ascii="Times" w:hAnsi="Times" w:cs="Times"/>
                <w:color w:val="000000"/>
                <w:sz w:val="17"/>
                <w:szCs w:val="17"/>
              </w:rPr>
              <w:t xml:space="preserve">; КПП </w:t>
            </w:r>
            <w:r w:rsidR="00A04906">
              <w:rPr>
                <w:rFonts w:ascii="Times" w:hAnsi="Times" w:cs="Times"/>
                <w:color w:val="000000"/>
                <w:sz w:val="17"/>
                <w:szCs w:val="17"/>
              </w:rPr>
              <w:t xml:space="preserve">         </w:t>
            </w:r>
            <w:r>
              <w:rPr>
                <w:rFonts w:ascii="Times" w:hAnsi="Times" w:cs="Times"/>
                <w:color w:val="000000"/>
                <w:sz w:val="17"/>
                <w:szCs w:val="17"/>
              </w:rPr>
              <w:t>)</w:t>
            </w:r>
          </w:p>
        </w:tc>
      </w:tr>
    </w:tbl>
    <w:p w:rsidR="005F6C89" w:rsidRDefault="005F6C89">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5F6C89">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5F6C89">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“Контур.Экстерн” по тарифному плану “Бюджетник плюс” на 1 год, с применением встроенных в сертификат/ключевой контейнер СКЗИ “КриптоПро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right"/>
              <w:rPr>
                <w:rFonts w:ascii="Times" w:hAnsi="Times" w:cs="Times"/>
                <w:color w:val="000000"/>
                <w:sz w:val="16"/>
                <w:szCs w:val="16"/>
              </w:rPr>
            </w:pPr>
          </w:p>
        </w:tc>
      </w:tr>
      <w:tr w:rsidR="005F6C89">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right"/>
              <w:rPr>
                <w:rFonts w:ascii="Times" w:hAnsi="Times" w:cs="Times"/>
                <w:b/>
                <w:bC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right"/>
              <w:rPr>
                <w:rFonts w:ascii="Times" w:hAnsi="Times" w:cs="Times"/>
                <w:b/>
                <w:bCs/>
                <w:color w:val="000000"/>
                <w:sz w:val="16"/>
                <w:szCs w:val="16"/>
              </w:rPr>
            </w:pPr>
          </w:p>
        </w:tc>
      </w:tr>
    </w:tbl>
    <w:p w:rsidR="005F6C89" w:rsidRDefault="005F6C89">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5F6C89">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5F6C89">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Услуги по сопровождению программы для ЭВМ “Контур.Экстерн” (техническая поддержка в виде абонентского обслуживания) по тарифному плану “Бюджетник плюс” на 1 год</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center"/>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right"/>
              <w:rPr>
                <w:rFonts w:ascii="Times" w:hAnsi="Times" w:cs="Times"/>
                <w:color w:val="000000"/>
                <w:sz w:val="16"/>
                <w:szCs w:val="16"/>
              </w:rPr>
            </w:pPr>
          </w:p>
        </w:tc>
      </w:tr>
      <w:tr w:rsidR="005F6C89">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right"/>
              <w:rPr>
                <w:rFonts w:ascii="Times" w:hAnsi="Times" w:cs="Times"/>
                <w:b/>
                <w:bC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5F6C89" w:rsidRDefault="005F6C89">
            <w:pPr>
              <w:widowControl w:val="0"/>
              <w:autoSpaceDE w:val="0"/>
              <w:autoSpaceDN w:val="0"/>
              <w:adjustRightInd w:val="0"/>
              <w:spacing w:after="0" w:line="240" w:lineRule="auto"/>
              <w:jc w:val="right"/>
              <w:rPr>
                <w:rFonts w:ascii="Times" w:hAnsi="Times" w:cs="Times"/>
                <w:b/>
                <w:bCs/>
                <w:color w:val="000000"/>
                <w:sz w:val="16"/>
                <w:szCs w:val="16"/>
              </w:rPr>
            </w:pPr>
          </w:p>
        </w:tc>
      </w:tr>
    </w:tbl>
    <w:p w:rsidR="005F6C89" w:rsidRDefault="005F6C89">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00900E57">
        <w:rPr>
          <w:rFonts w:ascii="Times" w:hAnsi="Times" w:cs="Times"/>
          <w:color w:val="000000"/>
          <w:sz w:val="17"/>
          <w:szCs w:val="17"/>
        </w:rPr>
        <w:t xml:space="preserve">          </w:t>
      </w:r>
      <w:r>
        <w:rPr>
          <w:rFonts w:ascii="Times" w:hAnsi="Times" w:cs="Times"/>
          <w:color w:val="000000"/>
          <w:sz w:val="17"/>
          <w:szCs w:val="17"/>
        </w:rPr>
        <w:t> руб. (</w:t>
      </w:r>
      <w:r w:rsidR="00900E57">
        <w:rPr>
          <w:rFonts w:ascii="Times" w:hAnsi="Times" w:cs="Times"/>
          <w:color w:val="000000"/>
          <w:sz w:val="17"/>
          <w:szCs w:val="17"/>
        </w:rPr>
        <w:t xml:space="preserve">           </w:t>
      </w:r>
      <w:r>
        <w:rPr>
          <w:rFonts w:ascii="Times" w:hAnsi="Times" w:cs="Times"/>
          <w:color w:val="000000"/>
          <w:sz w:val="17"/>
          <w:szCs w:val="17"/>
        </w:rPr>
        <w:t>), НДС</w:t>
      </w:r>
    </w:p>
    <w:p w:rsidR="005F6C89" w:rsidRDefault="005F6C89">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rsidR="005F6C89" w:rsidRDefault="005F6C89">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rsidR="005F6C89" w:rsidRDefault="005F6C89">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5F6C89">
        <w:tblPrEx>
          <w:tblCellMar>
            <w:top w:w="0" w:type="dxa"/>
            <w:left w:w="0" w:type="dxa"/>
            <w:bottom w:w="0" w:type="dxa"/>
            <w:right w:w="0" w:type="dxa"/>
          </w:tblCellMar>
        </w:tblPrEx>
        <w:tc>
          <w:tcPr>
            <w:tcW w:w="5300" w:type="dxa"/>
            <w:gridSpan w:val="2"/>
            <w:tcBorders>
              <w:top w:val="nil"/>
              <w:left w:val="nil"/>
              <w:bottom w:val="nil"/>
              <w:right w:val="nil"/>
            </w:tcBorders>
          </w:tcPr>
          <w:p w:rsidR="005F6C89" w:rsidRDefault="005F6C89">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ОПЕРАТОР</w:t>
            </w:r>
          </w:p>
        </w:tc>
        <w:tc>
          <w:tcPr>
            <w:tcW w:w="5300" w:type="dxa"/>
            <w:gridSpan w:val="2"/>
            <w:tcBorders>
              <w:top w:val="nil"/>
              <w:left w:val="nil"/>
              <w:bottom w:val="nil"/>
              <w:right w:val="nil"/>
            </w:tcBorders>
          </w:tcPr>
          <w:p w:rsidR="005F6C89" w:rsidRDefault="005F6C89">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АБОНЕНТ</w:t>
            </w:r>
          </w:p>
        </w:tc>
      </w:tr>
      <w:tr w:rsidR="005F6C89">
        <w:tblPrEx>
          <w:tblCellMar>
            <w:top w:w="0" w:type="dxa"/>
            <w:left w:w="0" w:type="dxa"/>
            <w:bottom w:w="0" w:type="dxa"/>
            <w:right w:w="0" w:type="dxa"/>
          </w:tblCellMar>
        </w:tblPrEx>
        <w:tc>
          <w:tcPr>
            <w:tcW w:w="5300" w:type="dxa"/>
            <w:gridSpan w:val="2"/>
            <w:tcBorders>
              <w:top w:val="nil"/>
              <w:left w:val="nil"/>
              <w:bottom w:val="nil"/>
              <w:right w:val="nil"/>
            </w:tcBorders>
          </w:tcPr>
          <w:p w:rsidR="005F6C89" w:rsidRDefault="005F6C89">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5F6C89" w:rsidRDefault="005F6C89">
            <w:pPr>
              <w:widowControl w:val="0"/>
              <w:autoSpaceDE w:val="0"/>
              <w:autoSpaceDN w:val="0"/>
              <w:adjustRightInd w:val="0"/>
              <w:spacing w:after="0" w:line="240" w:lineRule="auto"/>
              <w:rPr>
                <w:rFonts w:ascii="Times" w:hAnsi="Times" w:cs="Times"/>
                <w:color w:val="000000"/>
                <w:sz w:val="17"/>
                <w:szCs w:val="17"/>
              </w:rPr>
            </w:pPr>
          </w:p>
        </w:tc>
      </w:tr>
      <w:tr w:rsidR="005F6C89">
        <w:tblPrEx>
          <w:tblCellMar>
            <w:top w:w="0" w:type="dxa"/>
            <w:left w:w="0" w:type="dxa"/>
            <w:bottom w:w="0" w:type="dxa"/>
            <w:right w:w="0" w:type="dxa"/>
          </w:tblCellMar>
        </w:tblPrEx>
        <w:tc>
          <w:tcPr>
            <w:tcW w:w="5300" w:type="dxa"/>
            <w:gridSpan w:val="2"/>
            <w:tcBorders>
              <w:top w:val="nil"/>
              <w:left w:val="nil"/>
              <w:bottom w:val="nil"/>
              <w:right w:val="nil"/>
            </w:tcBorders>
          </w:tcPr>
          <w:p w:rsidR="005F6C89" w:rsidRDefault="005F6C89">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c>
        <w:tc>
          <w:tcPr>
            <w:tcW w:w="5300" w:type="dxa"/>
            <w:gridSpan w:val="2"/>
            <w:tcBorders>
              <w:top w:val="nil"/>
              <w:left w:val="nil"/>
              <w:bottom w:val="nil"/>
              <w:right w:val="nil"/>
            </w:tcBorders>
          </w:tcPr>
          <w:p w:rsidR="005F6C89" w:rsidRDefault="005F6C89">
            <w:pPr>
              <w:widowControl w:val="0"/>
              <w:autoSpaceDE w:val="0"/>
              <w:autoSpaceDN w:val="0"/>
              <w:adjustRightInd w:val="0"/>
              <w:spacing w:after="0" w:line="240" w:lineRule="auto"/>
              <w:rPr>
                <w:rFonts w:ascii="Times" w:hAnsi="Times" w:cs="Times"/>
                <w:color w:val="000000"/>
                <w:sz w:val="17"/>
                <w:szCs w:val="17"/>
              </w:rPr>
            </w:pPr>
          </w:p>
        </w:tc>
      </w:tr>
      <w:tr w:rsidR="005F6C89">
        <w:tblPrEx>
          <w:tblCellMar>
            <w:top w:w="0" w:type="dxa"/>
            <w:left w:w="0" w:type="dxa"/>
            <w:bottom w:w="0" w:type="dxa"/>
            <w:right w:w="0" w:type="dxa"/>
          </w:tblCellMar>
        </w:tblPrEx>
        <w:tc>
          <w:tcPr>
            <w:tcW w:w="2650" w:type="dxa"/>
            <w:tcBorders>
              <w:top w:val="nil"/>
              <w:left w:val="nil"/>
              <w:bottom w:val="single" w:sz="6" w:space="0" w:color="000000"/>
              <w:right w:val="nil"/>
            </w:tcBorders>
          </w:tcPr>
          <w:p w:rsidR="005F6C89" w:rsidRDefault="005F6C89">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5F6C89" w:rsidRDefault="005F6C89">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c>
        <w:tc>
          <w:tcPr>
            <w:tcW w:w="2650" w:type="dxa"/>
            <w:tcBorders>
              <w:top w:val="nil"/>
              <w:left w:val="nil"/>
              <w:bottom w:val="single" w:sz="6" w:space="0" w:color="000000"/>
              <w:right w:val="nil"/>
            </w:tcBorders>
          </w:tcPr>
          <w:p w:rsidR="005F6C89" w:rsidRDefault="005F6C89">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5F6C89" w:rsidRDefault="005F6C89">
            <w:pPr>
              <w:widowControl w:val="0"/>
              <w:autoSpaceDE w:val="0"/>
              <w:autoSpaceDN w:val="0"/>
              <w:adjustRightInd w:val="0"/>
              <w:spacing w:after="0" w:line="240" w:lineRule="auto"/>
              <w:rPr>
                <w:rFonts w:ascii="Times" w:hAnsi="Times" w:cs="Times"/>
                <w:color w:val="000000"/>
                <w:sz w:val="17"/>
                <w:szCs w:val="17"/>
              </w:rPr>
            </w:pPr>
          </w:p>
        </w:tc>
      </w:tr>
      <w:tr w:rsidR="005F6C89">
        <w:tblPrEx>
          <w:tblCellMar>
            <w:top w:w="0" w:type="dxa"/>
            <w:left w:w="0" w:type="dxa"/>
            <w:bottom w:w="0" w:type="dxa"/>
            <w:right w:w="0" w:type="dxa"/>
          </w:tblCellMar>
        </w:tblPrEx>
        <w:tc>
          <w:tcPr>
            <w:tcW w:w="2650" w:type="dxa"/>
            <w:tcBorders>
              <w:top w:val="nil"/>
              <w:left w:val="nil"/>
              <w:bottom w:val="nil"/>
              <w:right w:val="nil"/>
            </w:tcBorders>
          </w:tcPr>
          <w:p w:rsidR="005F6C89" w:rsidRDefault="005F6C89">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5F6C89" w:rsidRDefault="005F6C89">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5F6C89" w:rsidRDefault="005F6C89">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5F6C89" w:rsidRDefault="005F6C89">
            <w:pPr>
              <w:widowControl w:val="0"/>
              <w:autoSpaceDE w:val="0"/>
              <w:autoSpaceDN w:val="0"/>
              <w:adjustRightInd w:val="0"/>
              <w:spacing w:after="0" w:line="240" w:lineRule="auto"/>
              <w:rPr>
                <w:rFonts w:ascii="Times" w:hAnsi="Times" w:cs="Times"/>
                <w:color w:val="000000"/>
                <w:sz w:val="17"/>
                <w:szCs w:val="17"/>
              </w:rPr>
            </w:pPr>
          </w:p>
        </w:tc>
      </w:tr>
    </w:tbl>
    <w:p w:rsidR="005F6C89" w:rsidRDefault="005F6C89">
      <w:pPr>
        <w:widowControl w:val="0"/>
        <w:autoSpaceDE w:val="0"/>
        <w:autoSpaceDN w:val="0"/>
        <w:adjustRightInd w:val="0"/>
        <w:spacing w:after="0" w:line="240" w:lineRule="auto"/>
        <w:rPr>
          <w:rFonts w:ascii="Arial" w:hAnsi="Arial" w:cs="Arial"/>
          <w:sz w:val="24"/>
          <w:szCs w:val="24"/>
        </w:rPr>
        <w:sectPr w:rsidR="005F6C89">
          <w:pgSz w:w="11905" w:h="16837"/>
          <w:pgMar w:top="623" w:right="623" w:bottom="623" w:left="907" w:header="720" w:footer="720" w:gutter="0"/>
          <w:cols w:space="720"/>
          <w:noEndnote/>
        </w:sectPr>
      </w:pPr>
    </w:p>
    <w:p w:rsidR="005F6C89" w:rsidRDefault="005F6C89">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2</w:t>
      </w:r>
    </w:p>
    <w:p w:rsidR="005F6C89" w:rsidRDefault="005F6C8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ЛИЦЕНЗИОННЫЙ ДОГОВОР № </w:t>
      </w:r>
      <w:r w:rsidR="00CD54B1">
        <w:rPr>
          <w:rFonts w:ascii="Times" w:hAnsi="Times" w:cs="Times"/>
          <w:b/>
          <w:bCs/>
          <w:color w:val="000000"/>
          <w:sz w:val="18"/>
          <w:szCs w:val="18"/>
        </w:rPr>
        <w:t xml:space="preserve"> </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5F6C89">
        <w:tblPrEx>
          <w:tblCellMar>
            <w:top w:w="0" w:type="dxa"/>
            <w:left w:w="0" w:type="dxa"/>
            <w:bottom w:w="0" w:type="dxa"/>
            <w:right w:w="0" w:type="dxa"/>
          </w:tblCellMar>
        </w:tblPrEx>
        <w:tc>
          <w:tcPr>
            <w:tcW w:w="8277" w:type="dxa"/>
            <w:tcBorders>
              <w:top w:val="nil"/>
              <w:left w:val="nil"/>
              <w:bottom w:val="nil"/>
              <w:right w:val="nil"/>
            </w:tcBorders>
          </w:tcPr>
          <w:p w:rsidR="005F6C89" w:rsidRDefault="005F6C89">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Екатеринбург</w:t>
            </w:r>
          </w:p>
        </w:tc>
        <w:tc>
          <w:tcPr>
            <w:tcW w:w="2097" w:type="dxa"/>
            <w:tcBorders>
              <w:top w:val="nil"/>
              <w:left w:val="nil"/>
              <w:bottom w:val="nil"/>
              <w:right w:val="nil"/>
            </w:tcBorders>
          </w:tcPr>
          <w:p w:rsidR="005F6C89" w:rsidRDefault="00CD54B1">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 xml:space="preserve"> </w:t>
            </w:r>
            <w:r w:rsidR="005F6C89">
              <w:rPr>
                <w:rFonts w:ascii="Times" w:hAnsi="Times" w:cs="Times"/>
                <w:color w:val="000000"/>
                <w:sz w:val="16"/>
                <w:szCs w:val="16"/>
              </w:rPr>
              <w:t>.2026</w:t>
            </w:r>
          </w:p>
        </w:tc>
      </w:tr>
    </w:tbl>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Лицензионный договор является офертой АО «ПФ «СКБ Контур», именуемого в дальнейшем Лицензиар, Пользователю − юридическому лицу, именуемому в дальнейшем Лицензиат, заключающему с АО «ПФ «СКБ Контур» Договор на право использования программы для ЭВМ «Контур.Экстерн» и оказание услуг по сопровождению (технической поддержке) (далее – Договор).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Договору, в зависимости от того, какое событие наступит раньше.</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Лицензиату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предоставляет Лицензиату право использования Продукта на условиях простой (неисключительной) лицензии.</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Исключительные права на Продукт принадлежат Лицензиару и охраняются как объект интеллектуальной собственности.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Свидетельство о государственной регистрации прав на Продукт официально публикуется на сайте Лицензиара </w:t>
      </w:r>
      <w:hyperlink r:id="rId13" w:history="1">
        <w:r>
          <w:rPr>
            <w:rFonts w:ascii="Times" w:hAnsi="Times" w:cs="Times"/>
            <w:color w:val="0000CD"/>
            <w:sz w:val="18"/>
            <w:szCs w:val="18"/>
          </w:rPr>
          <w:t>https://kontur.ru/about/licences</w:t>
        </w:r>
      </w:hyperlink>
      <w:r>
        <w:rPr>
          <w:rFonts w:ascii="Times" w:hAnsi="Times" w:cs="Times"/>
          <w:color w:val="000000"/>
          <w:sz w:val="18"/>
          <w:szCs w:val="18"/>
        </w:rPr>
        <w:t>.</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Продукт внесен в единый реестр российских программ для электронных вычислительных машин и баз данных 29.04.2016, регистрационный номер 523.</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Гарантии Лицензиара. Условия использования (объем предоставляемых прав)</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Лицензиар гарантирует:</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4.1.2. что Продукт сертифицирован в соответствии с законодательством Российской Федерации. Данные по сертификации расположены на сайте по адресу </w:t>
      </w:r>
      <w:hyperlink r:id="rId14" w:history="1">
        <w:r>
          <w:rPr>
            <w:rFonts w:ascii="Times" w:hAnsi="Times" w:cs="Times"/>
            <w:color w:val="0000CD"/>
            <w:sz w:val="18"/>
            <w:szCs w:val="18"/>
          </w:rPr>
          <w:t>https://kontur.ru</w:t>
        </w:r>
      </w:hyperlink>
      <w:r>
        <w:rPr>
          <w:rFonts w:ascii="Times" w:hAnsi="Times" w:cs="Times"/>
          <w:color w:val="000000"/>
          <w:sz w:val="18"/>
          <w:szCs w:val="18"/>
        </w:rPr>
        <w:t>;</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4.1.3. что Продукт будет соответствовать функциональности, описанной в Пользовательской документации, публикуемой на сайте </w:t>
      </w:r>
      <w:hyperlink r:id="rId15" w:history="1">
        <w:r>
          <w:rPr>
            <w:rFonts w:ascii="Times" w:hAnsi="Times" w:cs="Times"/>
            <w:color w:val="0000CD"/>
            <w:sz w:val="18"/>
            <w:szCs w:val="18"/>
          </w:rPr>
          <w:t>https://support.kontur.ru/extern</w:t>
        </w:r>
      </w:hyperlink>
      <w:r>
        <w:rPr>
          <w:rFonts w:ascii="Times" w:hAnsi="Times" w:cs="Times"/>
          <w:color w:val="000000"/>
          <w:sz w:val="18"/>
          <w:szCs w:val="18"/>
        </w:rPr>
        <w:t>;</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защиту информации, обрабатываемой на сервере Лицензиара, от несанкционированного доступа;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своевременное обновление вспомогательного программного обеспечения на сервере Лицензиара;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круглосуточную доступность сервера Лицензиара, за исключением времени проведения профилактических работ.</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Лицензиату предоставляется право не отправлять отчеты об использовании Продукта Лицензиару.</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Порядок предоставления доступа и способы использования</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При этом Лицензиат может использовать Продукт следующими способами: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самостоятельно осуществлять интеграцию информационных систем Лицензиата с Продуктом с использованием API;</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все функциональные возможности Продукта, описанные Тарифным планом в Прайс-листе Лицензиара;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размножать Пользовательскую документацию Продукта для личного использования;</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Лицензиат не вправе:</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законодательства;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копировать, модифицировать, декомпилировать, деассемблировать Продукт;</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Пользовательской документации;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Территория действия Лицензионного договора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действует на всей территории Российской Федерации.</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Срок действия Лицензионного договора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Лицензионный договор действует с момента его акцепта Лицензиатом в течение срока действия Договора на право использования программы для ЭВМ «Контур.Экстерн» и оказание услуг по сопровождению (технической поддержке).</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Вознаграждение</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Лицензиат уплачивает по Лицензионному договору вознаграждение Лицензиару в размере и на условиях согласно Договору на право использования программы для ЭВМ «Контур.Экстерн» и оказание услуг по сопровождению (технической поддержке).</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Прочие условия</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Все иные условия, не урегулированные Лицензионным договором, регулируются Договором на право использования программы для ЭВМ «Контур.Экстерн» и оказание услуг по сопровождению (технической поддержке).</w:t>
      </w:r>
    </w:p>
    <w:p w:rsidR="005F6C89" w:rsidRDefault="005F6C89">
      <w:pPr>
        <w:widowControl w:val="0"/>
        <w:autoSpaceDE w:val="0"/>
        <w:autoSpaceDN w:val="0"/>
        <w:adjustRightInd w:val="0"/>
        <w:spacing w:after="0" w:line="240" w:lineRule="auto"/>
        <w:rPr>
          <w:rFonts w:ascii="Arial" w:hAnsi="Arial" w:cs="Arial"/>
          <w:sz w:val="24"/>
          <w:szCs w:val="24"/>
        </w:rPr>
        <w:sectPr w:rsidR="005F6C89">
          <w:pgSz w:w="11905" w:h="16837"/>
          <w:pgMar w:top="623" w:right="623" w:bottom="623" w:left="907" w:header="720" w:footer="720" w:gutter="0"/>
          <w:cols w:space="720"/>
          <w:noEndnote/>
        </w:sectPr>
      </w:pPr>
    </w:p>
    <w:p w:rsidR="005F6C89" w:rsidRDefault="005F6C89">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3</w:t>
      </w:r>
    </w:p>
    <w:p w:rsidR="005F6C89" w:rsidRDefault="005F6C8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СУБЛИЦЕНЗИОННЫЙ ДОГОВОР № </w:t>
      </w:r>
      <w:r w:rsidR="00CD54B1">
        <w:rPr>
          <w:rFonts w:ascii="Times" w:hAnsi="Times" w:cs="Times"/>
          <w:b/>
          <w:bCs/>
          <w:color w:val="000000"/>
          <w:sz w:val="18"/>
          <w:szCs w:val="18"/>
        </w:rPr>
        <w:t xml:space="preserve"> </w:t>
      </w:r>
    </w:p>
    <w:p w:rsidR="005F6C89" w:rsidRDefault="005F6C8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использование программы для ЭВМ СКЗИ «КриптоПро»</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5F6C89">
        <w:tblPrEx>
          <w:tblCellMar>
            <w:top w:w="0" w:type="dxa"/>
            <w:left w:w="0" w:type="dxa"/>
            <w:bottom w:w="0" w:type="dxa"/>
            <w:right w:w="0" w:type="dxa"/>
          </w:tblCellMar>
        </w:tblPrEx>
        <w:tc>
          <w:tcPr>
            <w:tcW w:w="8277" w:type="dxa"/>
            <w:tcBorders>
              <w:top w:val="nil"/>
              <w:left w:val="nil"/>
              <w:bottom w:val="nil"/>
              <w:right w:val="nil"/>
            </w:tcBorders>
          </w:tcPr>
          <w:p w:rsidR="005F6C89" w:rsidRDefault="005F6C89">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Екатеринбург</w:t>
            </w:r>
          </w:p>
        </w:tc>
        <w:tc>
          <w:tcPr>
            <w:tcW w:w="2097" w:type="dxa"/>
            <w:tcBorders>
              <w:top w:val="nil"/>
              <w:left w:val="nil"/>
              <w:bottom w:val="nil"/>
              <w:right w:val="nil"/>
            </w:tcBorders>
          </w:tcPr>
          <w:p w:rsidR="005F6C89" w:rsidRDefault="00CD54B1">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 xml:space="preserve"> </w:t>
            </w:r>
            <w:r w:rsidR="005F6C89">
              <w:rPr>
                <w:rFonts w:ascii="Times" w:hAnsi="Times" w:cs="Times"/>
                <w:color w:val="000000"/>
                <w:sz w:val="16"/>
                <w:szCs w:val="16"/>
              </w:rPr>
              <w:t>.2026</w:t>
            </w:r>
          </w:p>
        </w:tc>
      </w:tr>
    </w:tbl>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Сублицензионный договор является офертой АО «ПФ «СКБ Контур» именуемого в дальнейшем Лицензиат, Пользователю − физическому или юридическому лицу, именуемому в дальнейшем Сублицензиат, заключающему с АО «ПФ «СКБ Контур» Договор на право использования программы для ЭВМ «Контур.Экстерн» и оказание услуг по сопровождению (технической поддержке) (далее – Договор). Сублицензионный договор признается заключенным с момента его акцепта Сублицензиатом. Под акцептом в целях Сублицензионного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Сертификат ключа – сертификат ключа проверки электронной подписи.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Сублицензионного договора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5.0, установленное на рабочем месте Сублицензиата.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Условия использования СКЗИ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Сублицензиат не имеет права осуществлять следующую деятельность:</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допускать использование СКЗИ лицами, не имеющими прав на такое использование;</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дизассемблировать (анализировать и исследовать объектный код), декомпилировать (преобразовывать объектный код в исходный текст), адаптировать и модифицировать СКЗИ;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Территория действия Сублицензионного договора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Сублицензионный договор действует на территории всего мира.</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Сублицензионного договора и передаваемых прав использования (лицензии)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Договором и автоматически пролонгируется на срок и по условиям пролонгации Договора.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6.7.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Вознаграждение</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Договору.</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Количество лицензий и общий размер лицензионного вознаграждения устанавливаются Лицензиатом в Договоре.</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rsidR="005F6C89" w:rsidRDefault="005F6C8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Гарантии изготовителя (Правообладателя)</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rsidR="005F6C89" w:rsidRDefault="005F6C8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5F6C89">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906"/>
    <w:rsid w:val="00236A8C"/>
    <w:rsid w:val="004B5A33"/>
    <w:rsid w:val="004C5F9E"/>
    <w:rsid w:val="005F6C89"/>
    <w:rsid w:val="00827F0D"/>
    <w:rsid w:val="00900E57"/>
    <w:rsid w:val="00A04906"/>
    <w:rsid w:val="00AA1C60"/>
    <w:rsid w:val="00B830CF"/>
    <w:rsid w:val="00CD54B1"/>
    <w:rsid w:val="00D547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5FEBAB5-1FD3-4DA6-9D01-1AB90E0B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ntur-extern.ru/support/start" TargetMode="External"/><Relationship Id="rId13" Type="http://schemas.openxmlformats.org/officeDocument/2006/relationships/hyperlink" Target="https://kontur.ru/about/licences" TargetMode="External"/><Relationship Id="rId3" Type="http://schemas.openxmlformats.org/officeDocument/2006/relationships/webSettings" Target="webSettings.xml"/><Relationship Id="rId7" Type="http://schemas.openxmlformats.org/officeDocument/2006/relationships/hyperlink" Target="https://kontur.ru/contacts/all" TargetMode="External"/><Relationship Id="rId12" Type="http://schemas.openxmlformats.org/officeDocument/2006/relationships/hyperlink" Target="https://kontur.ru"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support.kontur.ru/extern" TargetMode="External"/><Relationship Id="rId11" Type="http://schemas.openxmlformats.org/officeDocument/2006/relationships/hyperlink" Target="https://support.kontur.ru/extern" TargetMode="External"/><Relationship Id="rId5" Type="http://schemas.openxmlformats.org/officeDocument/2006/relationships/hyperlink" Target="https://ca.kontur.ru" TargetMode="External"/><Relationship Id="rId15" Type="http://schemas.openxmlformats.org/officeDocument/2006/relationships/hyperlink" Target="https://support.kontur.ru/extern" TargetMode="External"/><Relationship Id="rId10" Type="http://schemas.openxmlformats.org/officeDocument/2006/relationships/hyperlink" Target="https://kontur.ru/about/licences" TargetMode="External"/><Relationship Id="rId4" Type="http://schemas.openxmlformats.org/officeDocument/2006/relationships/hyperlink" Target="https://www.kontur-extern.ru" TargetMode="External"/><Relationship Id="rId9" Type="http://schemas.openxmlformats.org/officeDocument/2006/relationships/hyperlink" Target="https://www.kontur.ru/extern" TargetMode="External"/><Relationship Id="rId14" Type="http://schemas.openxmlformats.org/officeDocument/2006/relationships/hyperlink" Target="https://kontu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7390</Words>
  <Characters>42123</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Аслан Керефов</dc:creator>
  <cp:keywords/>
  <dc:description/>
  <cp:lastModifiedBy>Аслан Керефов</cp:lastModifiedBy>
  <cp:revision>2</cp:revision>
  <dcterms:created xsi:type="dcterms:W3CDTF">2026-08-26T08:10:00Z</dcterms:created>
  <dcterms:modified xsi:type="dcterms:W3CDTF">2026-08-26T08:10:00Z</dcterms:modified>
</cp:coreProperties>
</file>