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pPr>
        <w:pStyle w:val="2"/>
        <w:spacing w:before="0" w:after="0" w:line="240" w:lineRule="atLeast"/>
        <w:ind w:firstLine="567"/>
        <w:rPr>
          <w:b w:val="0"/>
          <w:sz w:val="22"/>
          <w:szCs w:val="22"/>
        </w:rPr>
      </w:pPr>
      <w:r>
        <w:rPr>
          <w:b w:val="0"/>
          <w:sz w:val="22"/>
          <w:szCs w:val="22"/>
        </w:rPr>
        <w:t>КОНТРАКТ ПОСТАВКИ   №</w:t>
      </w:r>
    </w:p>
    <w:p>
      <w:pPr>
        <w:pStyle w:val="2"/>
        <w:spacing w:before="0" w:after="0" w:line="240" w:lineRule="atLeast"/>
        <w:ind w:firstLine="567"/>
        <w:rPr>
          <w:b w:val="0"/>
          <w:sz w:val="22"/>
          <w:szCs w:val="22"/>
        </w:rPr>
      </w:pPr>
      <w:r>
        <w:rPr>
          <w:b w:val="0"/>
          <w:sz w:val="22"/>
          <w:szCs w:val="22"/>
        </w:rPr>
        <w:t xml:space="preserve"> </w:t>
      </w:r>
    </w:p>
    <w:p>
      <w:pPr>
        <w:jc w:val="center"/>
        <w:rPr>
          <w:sz w:val="22"/>
          <w:szCs w:val="22"/>
        </w:rPr>
      </w:pPr>
      <w:r>
        <w:t>ИКЗ: 261616500933461650100100060000000244</w:t>
      </w:r>
      <w:bookmarkStart w:id="0" w:name="_GoBack"/>
      <w:bookmarkEnd w:id="0"/>
    </w:p>
    <w:p>
      <w:pPr>
        <w:jc w:val="center"/>
        <w:rPr>
          <w:sz w:val="22"/>
          <w:szCs w:val="22"/>
        </w:rPr>
      </w:pPr>
    </w:p>
    <w:p>
      <w:pPr>
        <w:jc w:val="center"/>
      </w:pPr>
    </w:p>
    <w:p>
      <w:pPr>
        <w:pStyle w:val="2"/>
        <w:spacing w:before="0" w:after="0" w:line="240" w:lineRule="atLeast"/>
        <w:ind w:firstLine="567"/>
        <w:jc w:val="left"/>
        <w:rPr>
          <w:b w:val="0"/>
          <w:sz w:val="22"/>
          <w:szCs w:val="22"/>
        </w:rPr>
      </w:pPr>
      <w:r>
        <w:rPr>
          <w:b w:val="0"/>
          <w:sz w:val="22"/>
          <w:szCs w:val="22"/>
        </w:rPr>
        <w:t xml:space="preserve"> </w:t>
      </w:r>
    </w:p>
    <w:p>
      <w:pPr>
        <w:spacing w:line="240" w:lineRule="atLeast"/>
        <w:ind w:firstLine="567"/>
        <w:rPr>
          <w:sz w:val="22"/>
          <w:szCs w:val="22"/>
        </w:rPr>
      </w:pPr>
      <w:r>
        <w:rPr>
          <w:sz w:val="22"/>
          <w:szCs w:val="22"/>
        </w:rPr>
        <w:t>г. Ростов-на-Дону</w:t>
      </w:r>
      <w:r>
        <w:rPr>
          <w:sz w:val="22"/>
          <w:szCs w:val="22"/>
        </w:rPr>
        <w:tab/>
      </w:r>
      <w:r>
        <w:rPr>
          <w:sz w:val="22"/>
          <w:szCs w:val="22"/>
        </w:rPr>
        <w:tab/>
      </w:r>
      <w:r>
        <w:rPr>
          <w:sz w:val="22"/>
          <w:szCs w:val="22"/>
        </w:rPr>
        <w:tab/>
        <w:t xml:space="preserve">                        </w:t>
      </w:r>
      <w:r>
        <w:rPr>
          <w:sz w:val="22"/>
          <w:szCs w:val="22"/>
        </w:rPr>
        <w:tab/>
      </w:r>
    </w:p>
    <w:p>
      <w:pPr>
        <w:spacing w:line="240" w:lineRule="atLeast"/>
        <w:ind w:firstLine="567"/>
        <w:jc w:val="both"/>
        <w:rPr>
          <w:sz w:val="22"/>
          <w:szCs w:val="22"/>
        </w:rPr>
      </w:pPr>
    </w:p>
    <w:p>
      <w:pPr>
        <w:pStyle w:val="Default"/>
        <w:jc w:val="both"/>
        <w:rPr>
          <w:rFonts w:ascii="Times New Roman" w:hAnsi="Times New Roman" w:cs="Times New Roman"/>
          <w:sz w:val="22"/>
          <w:szCs w:val="22"/>
        </w:rPr>
      </w:pPr>
      <w:r>
        <w:rPr>
          <w:rFonts w:ascii="Times New Roman" w:hAnsi="Times New Roman" w:cs="Times New Roman"/>
          <w:sz w:val="22"/>
          <w:szCs w:val="22"/>
        </w:rPr>
        <w:t>Федеральное государственное бюджетное образовательное учреждение высшего образования «Ростовский государственный университет путей сообщения», именуемое в дальнейшем «Заказчик», в лице____________, действующего на основании _______________ с одной стороны, и______________,</w:t>
      </w:r>
      <w:r>
        <w:rPr>
          <w:rFonts w:ascii="Times New Roman" w:hAnsi="Times New Roman" w:cs="Times New Roman"/>
          <w:sz w:val="22"/>
          <w:szCs w:val="22"/>
          <w:shd w:val="clear" w:color="auto" w:fill="FFFFFF"/>
        </w:rPr>
        <w:t xml:space="preserve"> именуемый в дальнейшем «Поставщик»,</w:t>
      </w:r>
      <w:r>
        <w:rPr>
          <w:rFonts w:ascii="Times New Roman" w:hAnsi="Times New Roman" w:cs="Times New Roman"/>
          <w:sz w:val="22"/>
          <w:szCs w:val="22"/>
        </w:rPr>
        <w:t xml:space="preserve">  в лице _______________, </w:t>
      </w:r>
      <w:r>
        <w:rPr>
          <w:rFonts w:ascii="Times New Roman" w:hAnsi="Times New Roman" w:cs="Times New Roman"/>
          <w:sz w:val="22"/>
          <w:szCs w:val="22"/>
          <w:lang w:bidi="en-US"/>
        </w:rPr>
        <w:t>действующего на основании ___________</w:t>
      </w:r>
      <w:r>
        <w:rPr>
          <w:rFonts w:ascii="Times New Roman" w:hAnsi="Times New Roman" w:cs="Times New Roman"/>
          <w:sz w:val="22"/>
          <w:szCs w:val="22"/>
        </w:rPr>
        <w:t>, с другой стороны, (вместе далее именуемые «Стороны»), на основании</w:t>
      </w:r>
      <w:bookmarkStart w:id="1" w:name="_Hlk211529958"/>
      <w:r>
        <w:rPr>
          <w:rFonts w:ascii="Times New Roman" w:hAnsi="Times New Roman" w:cs="Times New Roman"/>
          <w:sz w:val="22"/>
          <w:szCs w:val="22"/>
        </w:rPr>
        <w:t xml:space="preserve"> п. 5, ч. 1, ст. 93 </w:t>
      </w:r>
      <w:bookmarkEnd w:id="1"/>
      <w:r>
        <w:rPr>
          <w:rFonts w:ascii="Times New Roman" w:hAnsi="Times New Roman" w:cs="Times New Roman"/>
          <w:sz w:val="22"/>
          <w:szCs w:val="22"/>
        </w:rPr>
        <w:t>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pPr>
        <w:pStyle w:val="4"/>
        <w:spacing w:line="240" w:lineRule="atLeast"/>
        <w:ind w:firstLine="567"/>
        <w:jc w:val="center"/>
        <w:rPr>
          <w:sz w:val="22"/>
          <w:szCs w:val="22"/>
        </w:rPr>
      </w:pPr>
      <w:r>
        <w:rPr>
          <w:sz w:val="22"/>
          <w:szCs w:val="22"/>
        </w:rPr>
        <w:t>1. ПРЕДМЕТ КОНТРАКТА</w:t>
      </w:r>
    </w:p>
    <w:p>
      <w:pPr>
        <w:spacing w:line="240" w:lineRule="atLeast"/>
        <w:ind w:firstLine="567"/>
        <w:jc w:val="both"/>
        <w:rPr>
          <w:sz w:val="22"/>
          <w:szCs w:val="22"/>
        </w:rPr>
      </w:pPr>
      <w:r>
        <w:rPr>
          <w:sz w:val="22"/>
          <w:szCs w:val="22"/>
        </w:rPr>
        <w:t xml:space="preserve">1.1. Поставщик обязуется передать Товар, </w:t>
      </w:r>
      <w:proofErr w:type="gramStart"/>
      <w:r>
        <w:rPr>
          <w:sz w:val="22"/>
          <w:szCs w:val="22"/>
        </w:rPr>
        <w:t>печатной  продукции</w:t>
      </w:r>
      <w:proofErr w:type="gramEnd"/>
      <w:r>
        <w:rPr>
          <w:sz w:val="22"/>
          <w:szCs w:val="22"/>
        </w:rPr>
        <w:t xml:space="preserve"> . согласно прилагаемой спецификации (Приложение № 1), являющейся неотъемлемой частью контракта, а Заказчик – принять и обеспечить его оплату на условиях, предусмотренных контрактом.</w:t>
      </w:r>
    </w:p>
    <w:p>
      <w:pPr>
        <w:pStyle w:val="211"/>
        <w:spacing w:line="240" w:lineRule="atLeast"/>
        <w:ind w:firstLine="567"/>
        <w:rPr>
          <w:sz w:val="22"/>
          <w:szCs w:val="22"/>
        </w:rPr>
      </w:pPr>
      <w:r>
        <w:rPr>
          <w:sz w:val="22"/>
          <w:szCs w:val="22"/>
        </w:rPr>
        <w:t>1.2.  Поставка товара производится в течение 14(четырнадцать) рабочих дней с момента подписания контракта, Товар поставляется одной партией; силами, транспортом и за счет Поставщика.</w:t>
      </w:r>
    </w:p>
    <w:p>
      <w:pPr>
        <w:widowControl w:val="0"/>
        <w:suppressAutoHyphens w:val="0"/>
        <w:spacing w:line="240" w:lineRule="atLeast"/>
        <w:ind w:firstLine="567"/>
        <w:jc w:val="center"/>
        <w:rPr>
          <w:sz w:val="22"/>
          <w:szCs w:val="22"/>
        </w:rPr>
      </w:pPr>
      <w:r>
        <w:rPr>
          <w:sz w:val="22"/>
          <w:szCs w:val="22"/>
        </w:rPr>
        <w:t>2. ОБЯЗАННОСТИ СТОРОН</w:t>
      </w:r>
    </w:p>
    <w:p>
      <w:pPr>
        <w:spacing w:line="240" w:lineRule="atLeast"/>
        <w:ind w:firstLine="567"/>
        <w:rPr>
          <w:sz w:val="22"/>
          <w:szCs w:val="22"/>
        </w:rPr>
      </w:pPr>
      <w:r>
        <w:rPr>
          <w:sz w:val="22"/>
          <w:szCs w:val="22"/>
        </w:rPr>
        <w:t>2.1. Поставщик обязуется:</w:t>
      </w:r>
    </w:p>
    <w:p>
      <w:pPr>
        <w:spacing w:line="240" w:lineRule="atLeast"/>
        <w:ind w:firstLine="567"/>
        <w:jc w:val="both"/>
        <w:rPr>
          <w:sz w:val="22"/>
          <w:szCs w:val="22"/>
        </w:rPr>
      </w:pPr>
      <w:r>
        <w:rPr>
          <w:sz w:val="22"/>
          <w:szCs w:val="22"/>
        </w:rPr>
        <w:t xml:space="preserve">2.1.1. Передать Товар и относящиеся к нему принадлежности и документы Заказчику по адресу: 344038, Ростовская область, городской округ город Ростов-на-Дону, Ростов-на-Дону площадь Ростовского Стрелкового Полка Народного Ополчения, </w:t>
      </w:r>
      <w:proofErr w:type="spellStart"/>
      <w:r>
        <w:rPr>
          <w:sz w:val="22"/>
          <w:szCs w:val="22"/>
        </w:rPr>
        <w:t>зд</w:t>
      </w:r>
      <w:proofErr w:type="spellEnd"/>
      <w:r>
        <w:rPr>
          <w:sz w:val="22"/>
          <w:szCs w:val="22"/>
        </w:rPr>
        <w:t>. 2.ФГБОУ ВО РГУПС, центральный склад ОМО.</w:t>
      </w:r>
    </w:p>
    <w:p>
      <w:pPr>
        <w:pStyle w:val="211"/>
        <w:spacing w:line="240" w:lineRule="atLeast"/>
        <w:ind w:firstLine="567"/>
        <w:rPr>
          <w:sz w:val="22"/>
          <w:szCs w:val="22"/>
        </w:rPr>
      </w:pPr>
      <w:r>
        <w:rPr>
          <w:sz w:val="22"/>
          <w:szCs w:val="22"/>
        </w:rPr>
        <w:t xml:space="preserve">2.1.2. Осуществить погрузку, перевозку, разгрузку Товара за свой счет, на территории Заказчика, указанной в пункте 2.1.1 настоящего контракта, в сроки, предусмотренные пунктом 1.2. настоящего контракта.    </w:t>
      </w:r>
    </w:p>
    <w:p>
      <w:pPr>
        <w:spacing w:line="240" w:lineRule="atLeast"/>
        <w:ind w:firstLine="567"/>
        <w:jc w:val="both"/>
        <w:rPr>
          <w:sz w:val="22"/>
          <w:szCs w:val="22"/>
        </w:rPr>
      </w:pPr>
      <w:r>
        <w:rPr>
          <w:sz w:val="22"/>
          <w:szCs w:val="22"/>
        </w:rPr>
        <w:t>2.1.3. Передать Товар по качеству и количеству, соответствующим условиям контракта, в упаковке, исключающей возможность порчи Товара при его транспортировке и хранении.</w:t>
      </w:r>
    </w:p>
    <w:p>
      <w:pPr>
        <w:spacing w:line="240" w:lineRule="atLeast"/>
        <w:ind w:firstLine="567"/>
        <w:jc w:val="both"/>
        <w:rPr>
          <w:sz w:val="22"/>
          <w:szCs w:val="22"/>
        </w:rPr>
      </w:pPr>
      <w:r>
        <w:rPr>
          <w:sz w:val="22"/>
          <w:szCs w:val="22"/>
        </w:rPr>
        <w:t xml:space="preserve">2.1.4. Передать Товар свободным от любых прав и притязаний третьих лиц, в сроки, предусмотренные пунктом 1.2. настоящего контракта. </w:t>
      </w:r>
    </w:p>
    <w:p>
      <w:pPr>
        <w:widowControl w:val="0"/>
        <w:autoSpaceDE w:val="0"/>
        <w:spacing w:line="240" w:lineRule="atLeast"/>
        <w:ind w:firstLine="567"/>
        <w:jc w:val="both"/>
        <w:rPr>
          <w:sz w:val="22"/>
          <w:szCs w:val="22"/>
        </w:rPr>
      </w:pPr>
      <w:r>
        <w:rPr>
          <w:sz w:val="22"/>
          <w:szCs w:val="22"/>
        </w:rPr>
        <w:t xml:space="preserve">  </w:t>
      </w:r>
      <w:r>
        <w:rPr>
          <w:sz w:val="22"/>
          <w:szCs w:val="22"/>
        </w:rPr>
        <w:tab/>
        <w:t xml:space="preserve">2.1.5. Предоставить Заказчику, товарную накладную и ТТН на поставленный Товар с указанием наименования Товара на русском языке. </w:t>
      </w:r>
    </w:p>
    <w:p>
      <w:pPr>
        <w:spacing w:line="240" w:lineRule="atLeast"/>
        <w:ind w:firstLine="567"/>
        <w:jc w:val="both"/>
        <w:rPr>
          <w:sz w:val="22"/>
          <w:szCs w:val="22"/>
        </w:rPr>
      </w:pPr>
      <w:r>
        <w:rPr>
          <w:sz w:val="22"/>
          <w:szCs w:val="22"/>
        </w:rPr>
        <w:t>2.2. Заказчик обязуется:</w:t>
      </w:r>
    </w:p>
    <w:p>
      <w:pPr>
        <w:spacing w:line="240" w:lineRule="atLeast"/>
        <w:ind w:firstLine="567"/>
        <w:jc w:val="both"/>
        <w:rPr>
          <w:sz w:val="22"/>
          <w:szCs w:val="22"/>
        </w:rPr>
      </w:pPr>
      <w:r>
        <w:rPr>
          <w:sz w:val="22"/>
          <w:szCs w:val="22"/>
        </w:rPr>
        <w:t>2.2.1. Принять Товар в порядке, установленном контрактом.</w:t>
      </w:r>
    </w:p>
    <w:p>
      <w:pPr>
        <w:spacing w:line="240" w:lineRule="atLeast"/>
        <w:ind w:firstLine="567"/>
        <w:jc w:val="both"/>
        <w:rPr>
          <w:sz w:val="22"/>
          <w:szCs w:val="22"/>
        </w:rPr>
      </w:pPr>
      <w:r>
        <w:rPr>
          <w:sz w:val="22"/>
          <w:szCs w:val="22"/>
        </w:rPr>
        <w:t>2.2.2. Обеспечить оплату принятого Товара в порядке, установленном контрактом.</w:t>
      </w:r>
    </w:p>
    <w:p>
      <w:pPr>
        <w:spacing w:line="240" w:lineRule="atLeast"/>
        <w:ind w:firstLine="567"/>
        <w:jc w:val="center"/>
        <w:rPr>
          <w:sz w:val="22"/>
          <w:szCs w:val="22"/>
          <w:lang w:eastAsia="ar-SA"/>
        </w:rPr>
      </w:pPr>
      <w:r>
        <w:rPr>
          <w:sz w:val="22"/>
          <w:szCs w:val="22"/>
          <w:lang w:eastAsia="ar-SA"/>
        </w:rPr>
        <w:t>3. ПОРЯДОК ПРИЕМА-ПЕРЕДАЧИ ТОВАРА</w:t>
      </w:r>
    </w:p>
    <w:p>
      <w:pPr>
        <w:keepNext/>
        <w:spacing w:line="240" w:lineRule="atLeast"/>
        <w:ind w:firstLine="567"/>
        <w:jc w:val="both"/>
        <w:rPr>
          <w:sz w:val="22"/>
          <w:szCs w:val="22"/>
        </w:rPr>
      </w:pPr>
      <w:r>
        <w:rPr>
          <w:bCs/>
          <w:sz w:val="22"/>
          <w:szCs w:val="22"/>
          <w:lang w:eastAsia="ar-SA"/>
        </w:rPr>
        <w:t xml:space="preserve">3.1. Поставка Товара осуществляется Поставщиком в соответствие с пунктом 1.2. настоящего контракта. </w:t>
      </w:r>
    </w:p>
    <w:p>
      <w:pPr>
        <w:spacing w:line="240" w:lineRule="atLeast"/>
        <w:ind w:firstLine="567"/>
        <w:jc w:val="both"/>
        <w:rPr>
          <w:sz w:val="22"/>
          <w:szCs w:val="22"/>
        </w:rPr>
      </w:pPr>
      <w:r>
        <w:rPr>
          <w:sz w:val="22"/>
          <w:szCs w:val="22"/>
          <w:lang w:eastAsia="ar-SA"/>
        </w:rPr>
        <w:t>3.2. В целях фиксации фактов исполнения Поставщиком его обязательств по поставке Товара в сроки, установленные настоящим контрактом, Поставщик и Заказчик подписывают товарную накладную, отражающую количество единиц Товара, переданных Поставщиком Заказчику.  В случае несоответствия количества или ассортимента Товара спецификации в накладной должна быть сделана отметка о фактически принятом количестве и ассортименте Товара.</w:t>
      </w:r>
    </w:p>
    <w:p>
      <w:pPr>
        <w:shd w:val="clear" w:color="auto" w:fill="FFFFFF"/>
        <w:spacing w:line="240" w:lineRule="atLeast"/>
        <w:ind w:firstLine="567"/>
        <w:jc w:val="both"/>
        <w:rPr>
          <w:sz w:val="22"/>
          <w:szCs w:val="22"/>
        </w:rPr>
      </w:pPr>
      <w:r>
        <w:rPr>
          <w:sz w:val="22"/>
          <w:szCs w:val="22"/>
          <w:lang w:eastAsia="ar-SA"/>
        </w:rPr>
        <w:t>3.3. В течение 3 (трех) рабочих дней п</w:t>
      </w:r>
      <w:r>
        <w:rPr>
          <w:color w:val="000000"/>
          <w:sz w:val="22"/>
          <w:szCs w:val="22"/>
          <w:lang w:eastAsia="ar-SA"/>
        </w:rPr>
        <w:t>осле приемки Товара Заказчик проводит проверку Товара на предмет его соответствия сведениям, указанным в настоящем контракте и Спецификации</w:t>
      </w:r>
      <w:r>
        <w:rPr>
          <w:sz w:val="22"/>
          <w:szCs w:val="22"/>
          <w:lang w:eastAsia="ar-SA"/>
        </w:rPr>
        <w:t>. Если в результате проведенной проверки будет обнаружено несоответствие поставленного Товара указанным документам, Заказчик в течение 2 (двух) дней с момента обнаружения несоответствия информирует об этом Поставщика в письменном виде</w:t>
      </w:r>
    </w:p>
    <w:p>
      <w:pPr>
        <w:widowControl w:val="0"/>
        <w:autoSpaceDE w:val="0"/>
        <w:spacing w:line="240" w:lineRule="atLeast"/>
        <w:ind w:firstLine="567"/>
        <w:jc w:val="both"/>
        <w:rPr>
          <w:sz w:val="22"/>
          <w:szCs w:val="22"/>
        </w:rPr>
      </w:pPr>
      <w:r>
        <w:rPr>
          <w:sz w:val="22"/>
          <w:szCs w:val="22"/>
          <w:lang w:eastAsia="ar-SA"/>
        </w:rPr>
        <w:t xml:space="preserve">3.4. </w:t>
      </w:r>
      <w:r>
        <w:rPr>
          <w:spacing w:val="-3"/>
          <w:sz w:val="22"/>
          <w:szCs w:val="22"/>
          <w:lang w:eastAsia="ar-SA"/>
        </w:rPr>
        <w:t xml:space="preserve">Доставка Товара Заказчику должна осуществляться в рабочие дни, в рабочее время </w:t>
      </w:r>
      <w:r>
        <w:rPr>
          <w:sz w:val="22"/>
          <w:szCs w:val="22"/>
          <w:lang w:eastAsia="ar-SA"/>
        </w:rPr>
        <w:t xml:space="preserve">Заказчика. </w:t>
      </w:r>
    </w:p>
    <w:p>
      <w:pPr>
        <w:spacing w:line="240" w:lineRule="atLeast"/>
        <w:ind w:firstLine="567"/>
        <w:jc w:val="both"/>
        <w:rPr>
          <w:sz w:val="22"/>
          <w:szCs w:val="22"/>
          <w:lang w:eastAsia="ar-SA"/>
        </w:rPr>
      </w:pPr>
      <w:r>
        <w:rPr>
          <w:sz w:val="22"/>
          <w:szCs w:val="22"/>
          <w:lang w:eastAsia="ar-SA"/>
        </w:rPr>
        <w:t>3.5. Риск случайной гибели или случайного повреждения Товара переходит от Поставщика к Заказчику с момента подписания товарной накладной Товара обеими сторонами.</w:t>
      </w:r>
    </w:p>
    <w:p>
      <w:pPr>
        <w:spacing w:line="240" w:lineRule="atLeast"/>
        <w:ind w:firstLine="567"/>
        <w:jc w:val="center"/>
        <w:rPr>
          <w:sz w:val="22"/>
          <w:szCs w:val="22"/>
        </w:rPr>
      </w:pPr>
      <w:r>
        <w:rPr>
          <w:sz w:val="22"/>
          <w:szCs w:val="22"/>
        </w:rPr>
        <w:t>4. ЦЕНА И ПОРЯДОК РАСЧЕТОВ</w:t>
      </w:r>
    </w:p>
    <w:p>
      <w:pPr>
        <w:spacing w:line="240" w:lineRule="atLeast"/>
        <w:ind w:firstLine="567"/>
        <w:jc w:val="both"/>
        <w:rPr>
          <w:sz w:val="22"/>
          <w:szCs w:val="22"/>
        </w:rPr>
      </w:pPr>
      <w:r>
        <w:rPr>
          <w:sz w:val="22"/>
          <w:szCs w:val="22"/>
          <w:lang w:eastAsia="ru-RU"/>
        </w:rPr>
        <w:t>4.1.</w:t>
      </w:r>
      <w:r>
        <w:rPr>
          <w:sz w:val="22"/>
          <w:szCs w:val="22"/>
        </w:rPr>
        <w:t xml:space="preserve"> Стоимость поставляемого по настоящему контракту Товара (далее – сумма контракта) составляет: ______________ (_________________) рублей 00 копеек, НДС ___________.</w:t>
      </w:r>
    </w:p>
    <w:p>
      <w:pPr>
        <w:spacing w:line="240" w:lineRule="atLeast"/>
        <w:ind w:firstLine="567"/>
        <w:jc w:val="both"/>
        <w:rPr>
          <w:sz w:val="22"/>
          <w:szCs w:val="22"/>
        </w:rPr>
      </w:pPr>
      <w:r>
        <w:rPr>
          <w:sz w:val="22"/>
          <w:szCs w:val="22"/>
        </w:rPr>
        <w:t>4.2. Безналичный расчет в рублях. Аванс не предусмотрен. Оплата производится по факту поставки Товара в течение 10 (десяти) рабочих дней с момента получения счета от Поставщика и подписания товарных накладных    и счет фактуры.</w:t>
      </w:r>
    </w:p>
    <w:p>
      <w:pPr>
        <w:spacing w:line="240" w:lineRule="atLeast"/>
        <w:ind w:firstLine="567"/>
        <w:jc w:val="both"/>
        <w:rPr>
          <w:sz w:val="22"/>
          <w:szCs w:val="22"/>
        </w:rPr>
      </w:pPr>
      <w:r>
        <w:rPr>
          <w:sz w:val="22"/>
          <w:szCs w:val="22"/>
        </w:rPr>
        <w:t>4.3. Расчеты за поставленный Товар производятся в безналичной форме путем перечисления денежных средств на расчетный счет Поставщика.</w:t>
      </w:r>
    </w:p>
    <w:p>
      <w:pPr>
        <w:spacing w:line="240" w:lineRule="atLeast"/>
        <w:ind w:firstLine="567"/>
        <w:jc w:val="both"/>
        <w:rPr>
          <w:color w:val="000000"/>
          <w:lang w:eastAsia="ru-RU"/>
        </w:rPr>
      </w:pPr>
      <w:r>
        <w:rPr>
          <w:sz w:val="22"/>
          <w:szCs w:val="22"/>
        </w:rPr>
        <w:lastRenderedPageBreak/>
        <w:t xml:space="preserve">4.4. Поставщик не вправе в одностороннем порядке увеличивать цену Товара в течение срока действия настоящего Контракта. </w:t>
      </w:r>
      <w:r>
        <w:rPr>
          <w:lang w:eastAsia="ru-RU"/>
        </w:rPr>
        <w:t>Цена Контракта включает в себя стоимость Товара, все расходы по доставке Товара Заказчику, погрузке, разгрузке, в том числе расходы по страхованию, уплате таможенных пошлин, налогов, сборов, и другие обязательные платежи, которые Поставщик должен выплатить в связи с надлежащим выполнением обязательств по контракту</w:t>
      </w:r>
      <w:r>
        <w:rPr>
          <w:color w:val="000000"/>
          <w:lang w:eastAsia="ru-RU"/>
        </w:rPr>
        <w:t>, в соответствии с законодательством Российской Федерации.</w:t>
      </w:r>
    </w:p>
    <w:p>
      <w:pPr>
        <w:spacing w:line="240" w:lineRule="atLeast"/>
        <w:ind w:firstLine="567"/>
        <w:jc w:val="both"/>
        <w:rPr>
          <w:color w:val="000000"/>
        </w:rPr>
      </w:pPr>
      <w:r>
        <w:rPr>
          <w:sz w:val="22"/>
          <w:szCs w:val="22"/>
        </w:rPr>
        <w:t>4.5.</w:t>
      </w:r>
      <w:r>
        <w:rPr>
          <w:color w:val="000000"/>
          <w:lang w:eastAsia="ru-RU"/>
        </w:rPr>
        <w:t xml:space="preserve"> Источник финансирования приобретаемого товара по данному контракту осуществляется за счет субсидий федерального бюджета.</w:t>
      </w:r>
    </w:p>
    <w:p>
      <w:pPr>
        <w:spacing w:line="240" w:lineRule="atLeast"/>
        <w:ind w:firstLine="567"/>
        <w:jc w:val="center"/>
        <w:rPr>
          <w:sz w:val="22"/>
          <w:szCs w:val="22"/>
        </w:rPr>
      </w:pPr>
      <w:r>
        <w:rPr>
          <w:sz w:val="22"/>
          <w:szCs w:val="22"/>
        </w:rPr>
        <w:t>5. ГАРАНТИЙНЫЕ ОБЯЗАТЕЛЬСТВА</w:t>
      </w:r>
    </w:p>
    <w:p>
      <w:pPr>
        <w:pStyle w:val="32"/>
        <w:spacing w:after="0" w:line="240" w:lineRule="atLeast"/>
        <w:ind w:left="0" w:firstLine="567"/>
        <w:rPr>
          <w:sz w:val="22"/>
          <w:szCs w:val="22"/>
        </w:rPr>
      </w:pPr>
      <w:r>
        <w:rPr>
          <w:sz w:val="22"/>
          <w:szCs w:val="22"/>
        </w:rPr>
        <w:t xml:space="preserve">5.1. Поставщик гарантирует, что Товар, поставляемый по контракту, не имеет недостатков, связанных с качеством изготовления. </w:t>
      </w:r>
    </w:p>
    <w:p>
      <w:pPr>
        <w:pStyle w:val="32"/>
        <w:spacing w:after="0" w:line="240" w:lineRule="atLeast"/>
        <w:ind w:left="0" w:firstLine="567"/>
        <w:rPr>
          <w:sz w:val="22"/>
          <w:szCs w:val="22"/>
        </w:rPr>
      </w:pPr>
      <w:r>
        <w:rPr>
          <w:sz w:val="22"/>
          <w:szCs w:val="22"/>
        </w:rPr>
        <w:t>5.2. Поставщик гарантирует комплектность Товара и качество в соответствии с государственными стандартами и техническими условиями, которые подтверждаются соответствующей документацией (сертификат качества).</w:t>
      </w:r>
    </w:p>
    <w:p>
      <w:pPr>
        <w:spacing w:line="240" w:lineRule="atLeast"/>
        <w:ind w:firstLine="567"/>
        <w:jc w:val="both"/>
        <w:rPr>
          <w:sz w:val="22"/>
          <w:szCs w:val="22"/>
        </w:rPr>
      </w:pPr>
      <w:r>
        <w:rPr>
          <w:sz w:val="22"/>
          <w:szCs w:val="22"/>
        </w:rPr>
        <w:t xml:space="preserve">5.3. Гарантийный срок на Товар, включая все комплектующие, составные части и принадлежности, составляет 12 месяцев со дня подписания товарной накладной или устанавливается заводом изготовителем. </w:t>
      </w:r>
    </w:p>
    <w:p>
      <w:pPr>
        <w:spacing w:line="240" w:lineRule="atLeast"/>
        <w:ind w:firstLine="567"/>
        <w:jc w:val="both"/>
        <w:rPr>
          <w:sz w:val="22"/>
          <w:szCs w:val="22"/>
        </w:rPr>
      </w:pPr>
      <w:r>
        <w:rPr>
          <w:sz w:val="22"/>
          <w:szCs w:val="22"/>
        </w:rPr>
        <w:t xml:space="preserve">5.4. В течение гарантийного срока Заказчик вправе по своему усмотрению требовать: </w:t>
      </w:r>
    </w:p>
    <w:p>
      <w:pPr>
        <w:pStyle w:val="aa"/>
        <w:spacing w:line="240" w:lineRule="atLeast"/>
        <w:ind w:firstLine="567"/>
        <w:rPr>
          <w:sz w:val="22"/>
          <w:szCs w:val="22"/>
        </w:rPr>
      </w:pPr>
      <w:r>
        <w:rPr>
          <w:sz w:val="22"/>
          <w:szCs w:val="22"/>
        </w:rPr>
        <w:t>- безвозмездного устранения недостатков Товара или возмещения расходов на их исправление Заказчиком или третьим лицом;</w:t>
      </w:r>
    </w:p>
    <w:p>
      <w:pPr>
        <w:pStyle w:val="aa"/>
        <w:spacing w:line="240" w:lineRule="atLeast"/>
        <w:ind w:firstLine="567"/>
        <w:rPr>
          <w:sz w:val="22"/>
          <w:szCs w:val="22"/>
        </w:rPr>
      </w:pPr>
      <w:r>
        <w:rPr>
          <w:sz w:val="22"/>
          <w:szCs w:val="22"/>
        </w:rPr>
        <w:t>- замены на аналогичный Товар.</w:t>
      </w:r>
    </w:p>
    <w:p>
      <w:pPr>
        <w:shd w:val="clear" w:color="auto" w:fill="FFFFFF"/>
        <w:spacing w:line="240" w:lineRule="atLeast"/>
        <w:ind w:firstLine="567"/>
        <w:jc w:val="both"/>
        <w:rPr>
          <w:sz w:val="22"/>
          <w:szCs w:val="22"/>
        </w:rPr>
      </w:pPr>
      <w:r>
        <w:rPr>
          <w:sz w:val="22"/>
          <w:szCs w:val="22"/>
        </w:rPr>
        <w:t>5.5. Заказчик вправе требовать полного возмещения убытков, причиненных ему вследствие поставки Товара ненадлежащего качества.</w:t>
      </w:r>
    </w:p>
    <w:p>
      <w:pPr>
        <w:shd w:val="clear" w:color="auto" w:fill="FFFFFF"/>
        <w:spacing w:line="240" w:lineRule="atLeast"/>
        <w:ind w:firstLine="567"/>
        <w:jc w:val="both"/>
        <w:rPr>
          <w:sz w:val="22"/>
          <w:szCs w:val="22"/>
        </w:rPr>
      </w:pPr>
      <w:r>
        <w:rPr>
          <w:sz w:val="22"/>
          <w:szCs w:val="22"/>
        </w:rPr>
        <w:t xml:space="preserve">5.6. </w:t>
      </w:r>
      <w:r>
        <w:rPr>
          <w:color w:val="000000"/>
          <w:sz w:val="22"/>
          <w:szCs w:val="22"/>
        </w:rPr>
        <w:t>Если в период гарантийного срока обнаружатся недостатки, Поставщик обязан исполнить требования Заказчика, предусмотренные пунктом 5.4. настоящего контракта, в установленные Заказчиком сроки. Для участия в составлении акта, фиксирующего недостатки, согласования порядка и сроков их устранения Поставщик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pPr>
        <w:shd w:val="clear" w:color="auto" w:fill="FFFFFF"/>
        <w:spacing w:line="240" w:lineRule="atLeast"/>
        <w:ind w:firstLine="567"/>
        <w:jc w:val="both"/>
        <w:rPr>
          <w:color w:val="000000"/>
          <w:sz w:val="22"/>
          <w:szCs w:val="22"/>
        </w:rPr>
      </w:pPr>
      <w:r>
        <w:rPr>
          <w:color w:val="000000"/>
          <w:sz w:val="22"/>
          <w:szCs w:val="22"/>
        </w:rPr>
        <w:t>5.7. При неявке представителя Поставщика в течение 2 (двух) дней с момента получения письменного извещения от Заказчика или отказе Поставщика от составления или подписания акта обнаруженных недостатков, Заказчик составляет односторонний акт на основании проведения независимой экспертизы. В случае если экспертизой установлено, что недостаток Товара возник по вине Поставщика, расходы на проведение независимой экспертизы относятся на его счет.</w:t>
      </w:r>
    </w:p>
    <w:p>
      <w:pPr>
        <w:spacing w:line="240" w:lineRule="atLeast"/>
        <w:ind w:firstLine="567"/>
        <w:jc w:val="center"/>
        <w:rPr>
          <w:sz w:val="22"/>
          <w:szCs w:val="22"/>
        </w:rPr>
      </w:pPr>
      <w:r>
        <w:rPr>
          <w:sz w:val="22"/>
          <w:szCs w:val="22"/>
        </w:rPr>
        <w:t>6. ОТВЕТСТВЕННОСТЬ СТОРОН</w:t>
      </w:r>
    </w:p>
    <w:p>
      <w:pPr>
        <w:pStyle w:val="aa"/>
        <w:spacing w:line="240" w:lineRule="atLeast"/>
        <w:ind w:firstLine="567"/>
        <w:rPr>
          <w:sz w:val="22"/>
          <w:szCs w:val="22"/>
        </w:rPr>
      </w:pPr>
      <w:r>
        <w:rPr>
          <w:sz w:val="22"/>
          <w:szCs w:val="22"/>
        </w:rPr>
        <w:t>6.1. За неисполнение или ненадлежащее исполнение условий настоящего контракта Стороны несут ответственность в соответствии с действующим законодательством Российской Федерации.</w:t>
      </w:r>
    </w:p>
    <w:p>
      <w:pPr>
        <w:pStyle w:val="aa"/>
        <w:spacing w:line="240" w:lineRule="atLeast"/>
        <w:ind w:firstLine="567"/>
        <w:rPr>
          <w:sz w:val="22"/>
          <w:szCs w:val="22"/>
          <w:shd w:val="clear" w:color="auto" w:fill="FFFFFF"/>
        </w:rPr>
      </w:pPr>
      <w:r>
        <w:rPr>
          <w:sz w:val="22"/>
          <w:szCs w:val="22"/>
        </w:rPr>
        <w:t xml:space="preserve">6.2. </w:t>
      </w:r>
      <w:r>
        <w:rPr>
          <w:color w:val="000000"/>
          <w:sz w:val="22"/>
          <w:szCs w:val="22"/>
          <w:shd w:val="clear" w:color="auto" w:fill="FFFFFF"/>
        </w:rPr>
        <w:t xml:space="preserve">В случае просрочки исполнения заказчиком обязательств, предусмотренных </w:t>
      </w:r>
      <w:proofErr w:type="gramStart"/>
      <w:r>
        <w:rPr>
          <w:color w:val="000000"/>
          <w:sz w:val="22"/>
          <w:szCs w:val="22"/>
          <w:shd w:val="clear" w:color="auto" w:fill="FFFFFF"/>
        </w:rPr>
        <w:t>контрактом</w:t>
      </w:r>
      <w:proofErr w:type="gramEnd"/>
      <w:r>
        <w:rPr>
          <w:color w:val="000000"/>
          <w:sz w:val="22"/>
          <w:szCs w:val="22"/>
          <w:shd w:val="clear" w:color="auto" w:fill="FFFFFF"/>
        </w:rPr>
        <w:t xml:space="preserve"> а также в иных случаях неисполнения или ненадлежащего исполнения заказчиком обязательств, предусмотренных контрактом, поставщик вправе </w:t>
      </w:r>
      <w:r>
        <w:rPr>
          <w:sz w:val="22"/>
          <w:szCs w:val="22"/>
          <w:shd w:val="clear" w:color="auto" w:fill="FFFFFF"/>
        </w:rPr>
        <w:t>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контракта срока исполнения обязательства. Такая пеня устанавливается контрактом в размере 1/300 действующей на дату уплаты пеней </w:t>
      </w:r>
      <w:hyperlink r:id="rId8" w:anchor="dst100163" w:history="1">
        <w:r>
          <w:rPr>
            <w:rStyle w:val="a5"/>
            <w:color w:val="auto"/>
            <w:sz w:val="22"/>
            <w:szCs w:val="22"/>
            <w:u w:val="none"/>
            <w:shd w:val="clear" w:color="auto" w:fill="FFFFFF"/>
          </w:rPr>
          <w:t>ключевой ставки</w:t>
        </w:r>
      </w:hyperlink>
      <w:r>
        <w:rPr>
          <w:sz w:val="22"/>
          <w:szCs w:val="22"/>
          <w:shd w:val="clear" w:color="auto" w:fill="FFFFFF"/>
        </w:rPr>
        <w:t>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9" w:anchor="dst100012" w:history="1">
        <w:r>
          <w:rPr>
            <w:rStyle w:val="a5"/>
            <w:color w:val="auto"/>
            <w:sz w:val="22"/>
            <w:szCs w:val="22"/>
            <w:u w:val="none"/>
            <w:shd w:val="clear" w:color="auto" w:fill="FFFFFF"/>
          </w:rPr>
          <w:t>порядке</w:t>
        </w:r>
      </w:hyperlink>
      <w:r>
        <w:rPr>
          <w:sz w:val="22"/>
          <w:szCs w:val="22"/>
          <w:shd w:val="clear" w:color="auto" w:fill="FFFFFF"/>
        </w:rPr>
        <w:t>, установленном Правительством Российской Федерации.</w:t>
      </w:r>
    </w:p>
    <w:p>
      <w:pPr>
        <w:pStyle w:val="aa"/>
        <w:spacing w:line="240" w:lineRule="atLeast"/>
        <w:ind w:firstLine="567"/>
        <w:rPr>
          <w:sz w:val="22"/>
          <w:szCs w:val="22"/>
          <w:shd w:val="clear" w:color="auto" w:fill="FFFFFF"/>
        </w:rPr>
      </w:pPr>
      <w:r>
        <w:rPr>
          <w:sz w:val="22"/>
          <w:szCs w:val="22"/>
        </w:rPr>
        <w:t xml:space="preserve">6.3. </w:t>
      </w:r>
      <w:r>
        <w:rPr>
          <w:sz w:val="22"/>
          <w:szCs w:val="22"/>
          <w:shd w:val="clear" w:color="auto" w:fill="FFFFFF"/>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pPr>
        <w:pStyle w:val="aa"/>
        <w:spacing w:line="240" w:lineRule="atLeast"/>
        <w:ind w:firstLine="567"/>
        <w:rPr>
          <w:sz w:val="22"/>
          <w:szCs w:val="22"/>
          <w:shd w:val="clear" w:color="auto" w:fill="FFFFFF"/>
        </w:rPr>
      </w:pPr>
      <w:r>
        <w:rPr>
          <w:sz w:val="22"/>
          <w:szCs w:val="22"/>
        </w:rPr>
        <w:t xml:space="preserve">6.4. </w:t>
      </w:r>
      <w:r>
        <w:rPr>
          <w:sz w:val="22"/>
          <w:szCs w:val="22"/>
          <w:shd w:val="clear" w:color="auto" w:fill="FFFFFF"/>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1/300 действующей на дату уплаты пени ключевой ставки Центрального банка Российской Федерации от цены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pPr>
        <w:pStyle w:val="aa"/>
        <w:spacing w:line="240" w:lineRule="atLeast"/>
        <w:ind w:firstLine="567"/>
        <w:rPr>
          <w:sz w:val="22"/>
          <w:szCs w:val="22"/>
          <w:shd w:val="clear" w:color="auto" w:fill="FFFFFF"/>
        </w:rPr>
      </w:pPr>
      <w:r>
        <w:rPr>
          <w:sz w:val="22"/>
          <w:szCs w:val="22"/>
        </w:rPr>
        <w:t xml:space="preserve">6.5. </w:t>
      </w:r>
      <w:r>
        <w:rPr>
          <w:sz w:val="22"/>
          <w:szCs w:val="22"/>
          <w:shd w:val="clear" w:color="auto" w:fill="FFFFFF"/>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w:t>
      </w:r>
      <w:r>
        <w:rPr>
          <w:sz w:val="22"/>
          <w:szCs w:val="22"/>
          <w:shd w:val="clear" w:color="auto" w:fill="FFFFFF"/>
        </w:rPr>
        <w:lastRenderedPageBreak/>
        <w:t>в </w:t>
      </w:r>
      <w:hyperlink r:id="rId10" w:anchor="dst100018" w:history="1">
        <w:r>
          <w:rPr>
            <w:rStyle w:val="a5"/>
            <w:color w:val="auto"/>
            <w:sz w:val="22"/>
            <w:szCs w:val="22"/>
            <w:u w:val="none"/>
            <w:shd w:val="clear" w:color="auto" w:fill="FFFFFF"/>
          </w:rPr>
          <w:t>порядке</w:t>
        </w:r>
      </w:hyperlink>
      <w:r>
        <w:rPr>
          <w:sz w:val="22"/>
          <w:szCs w:val="22"/>
          <w:shd w:val="clear" w:color="auto" w:fill="FFFFFF"/>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pPr>
        <w:pStyle w:val="32"/>
        <w:spacing w:line="240" w:lineRule="atLeast"/>
        <w:ind w:left="0" w:firstLine="567"/>
        <w:rPr>
          <w:sz w:val="22"/>
          <w:szCs w:val="22"/>
        </w:rPr>
      </w:pPr>
      <w:r>
        <w:rPr>
          <w:sz w:val="22"/>
          <w:szCs w:val="22"/>
        </w:rPr>
        <w:t>6.</w:t>
      </w:r>
      <w:r>
        <w:rPr>
          <w:sz w:val="22"/>
          <w:szCs w:val="22"/>
          <w:shd w:val="clear" w:color="auto" w:fill="FFFFFF"/>
        </w:rPr>
        <w:t xml:space="preserve">6. </w:t>
      </w:r>
      <w:r>
        <w:rPr>
          <w:sz w:val="22"/>
          <w:szCs w:val="22"/>
        </w:rPr>
        <w:t>Уплата штрафных санкций и возмещение убытков не освобождает Поставщика от исполнения обязательств по Контракту и устранения нарушений.</w:t>
      </w:r>
    </w:p>
    <w:p>
      <w:pPr>
        <w:spacing w:line="240" w:lineRule="atLeast"/>
        <w:ind w:firstLine="567"/>
        <w:jc w:val="center"/>
        <w:rPr>
          <w:sz w:val="22"/>
          <w:szCs w:val="22"/>
        </w:rPr>
      </w:pPr>
      <w:r>
        <w:rPr>
          <w:sz w:val="22"/>
          <w:szCs w:val="22"/>
        </w:rPr>
        <w:t>7. ПОРЯДОК УРЕГУЛИРОВАНИЯ СПОРОВ</w:t>
      </w:r>
    </w:p>
    <w:p>
      <w:pPr>
        <w:spacing w:line="240" w:lineRule="atLeast"/>
        <w:ind w:firstLine="567"/>
        <w:jc w:val="both"/>
        <w:rPr>
          <w:sz w:val="22"/>
          <w:szCs w:val="22"/>
        </w:rPr>
      </w:pPr>
      <w:r>
        <w:rPr>
          <w:sz w:val="22"/>
          <w:szCs w:val="22"/>
        </w:rPr>
        <w:t>7.1. Споры и разногласия по контракту Стороны будут пытаться разрешить путем переговоров. В случае невозможности разрешения спора путем переговоров, он рассматривается в претензионном порядке. Срок ответа на претензию 21 (двадцать один) день с момента ее получения.</w:t>
      </w:r>
    </w:p>
    <w:p>
      <w:pPr>
        <w:spacing w:line="240" w:lineRule="atLeast"/>
        <w:ind w:firstLine="567"/>
        <w:jc w:val="both"/>
        <w:rPr>
          <w:sz w:val="22"/>
          <w:szCs w:val="22"/>
        </w:rPr>
      </w:pPr>
      <w:r>
        <w:rPr>
          <w:sz w:val="22"/>
          <w:szCs w:val="22"/>
        </w:rPr>
        <w:t>7.2. При не достижении Сторонами согласия спор подлежит передаче на рассмотрение в Арбитражный суд Ростовской области.</w:t>
      </w:r>
    </w:p>
    <w:p>
      <w:pPr>
        <w:spacing w:line="240" w:lineRule="atLeast"/>
        <w:ind w:firstLine="567"/>
        <w:jc w:val="center"/>
        <w:rPr>
          <w:color w:val="000000"/>
          <w:sz w:val="22"/>
          <w:szCs w:val="22"/>
          <w:lang w:eastAsia="ar-SA"/>
        </w:rPr>
      </w:pPr>
      <w:r>
        <w:rPr>
          <w:color w:val="000000"/>
          <w:sz w:val="22"/>
          <w:szCs w:val="22"/>
          <w:lang w:eastAsia="ar-SA"/>
        </w:rPr>
        <w:t>8. АНТИКОРРУПЦИОННАЯ ОГОВОРКА</w:t>
      </w:r>
    </w:p>
    <w:p>
      <w:pPr>
        <w:tabs>
          <w:tab w:val="left" w:pos="567"/>
        </w:tabs>
        <w:spacing w:line="240" w:lineRule="atLeast"/>
        <w:ind w:firstLine="567"/>
        <w:jc w:val="both"/>
        <w:rPr>
          <w:sz w:val="22"/>
          <w:szCs w:val="22"/>
        </w:rPr>
      </w:pPr>
      <w:r>
        <w:rPr>
          <w:color w:val="000000"/>
          <w:sz w:val="22"/>
          <w:szCs w:val="22"/>
          <w:lang w:eastAsia="ar-SA"/>
        </w:rPr>
        <w:t xml:space="preserve"> 8.1.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pPr>
        <w:tabs>
          <w:tab w:val="left" w:pos="567"/>
        </w:tabs>
        <w:spacing w:line="240" w:lineRule="atLeast"/>
        <w:ind w:firstLine="567"/>
        <w:jc w:val="both"/>
        <w:rPr>
          <w:sz w:val="22"/>
          <w:szCs w:val="22"/>
        </w:rPr>
      </w:pPr>
      <w:r>
        <w:rPr>
          <w:color w:val="000000"/>
          <w:sz w:val="22"/>
          <w:szCs w:val="22"/>
          <w:lang w:eastAsia="ar-SA"/>
        </w:rPr>
        <w:t xml:space="preserve">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w:t>
      </w:r>
    </w:p>
    <w:p>
      <w:pPr>
        <w:tabs>
          <w:tab w:val="left" w:pos="567"/>
        </w:tabs>
        <w:spacing w:line="240" w:lineRule="atLeast"/>
        <w:ind w:firstLine="567"/>
        <w:jc w:val="both"/>
        <w:rPr>
          <w:color w:val="000000"/>
          <w:lang w:eastAsia="ar-SA"/>
        </w:rPr>
      </w:pPr>
      <w:r>
        <w:rPr>
          <w:color w:val="000000"/>
          <w:lang w:eastAsia="ar-SA"/>
        </w:rPr>
        <w:t xml:space="preserve">8.2. В случае возникновения у Стороны подозрений, что произошло или может произойти нарушение каких-либо положений пункта 8.1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раздела другой Стороной, ее аффилированными лицами, работниками или посредниками.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Данное подтверждение должно быть направлено в течение десяти рабочих дней с даты направления письменного уведомления. </w:t>
      </w:r>
    </w:p>
    <w:p>
      <w:pPr>
        <w:tabs>
          <w:tab w:val="left" w:pos="567"/>
        </w:tabs>
        <w:spacing w:line="240" w:lineRule="atLeast"/>
        <w:jc w:val="both"/>
        <w:rPr>
          <w:color w:val="000000"/>
          <w:lang w:eastAsia="ar-SA"/>
        </w:rPr>
      </w:pPr>
      <w:r>
        <w:rPr>
          <w:color w:val="000000"/>
          <w:lang w:eastAsia="ar-SA"/>
        </w:rPr>
        <w:t xml:space="preserve">Каналы уведомления ФГБОУ ВО РГУПС о нарушениях каких-либо положений пункта 8.1 настоящего раздела: (863) 255-32-83, официальный адрес электронной почты </w:t>
      </w:r>
      <w:hyperlink r:id="rId11" w:history="1">
        <w:r>
          <w:rPr>
            <w:rStyle w:val="a5"/>
            <w:lang w:eastAsia="ar-SA"/>
          </w:rPr>
          <w:t>up_del@rgups.ru</w:t>
        </w:r>
      </w:hyperlink>
      <w:r>
        <w:rPr>
          <w:color w:val="000000"/>
          <w:lang w:eastAsia="ar-SA"/>
        </w:rPr>
        <w:t>.</w:t>
      </w:r>
    </w:p>
    <w:p>
      <w:pPr>
        <w:tabs>
          <w:tab w:val="left" w:pos="567"/>
        </w:tabs>
        <w:spacing w:line="240" w:lineRule="atLeast"/>
        <w:jc w:val="both"/>
        <w:rPr>
          <w:color w:val="000000"/>
          <w:lang w:eastAsia="ar-SA"/>
        </w:rPr>
      </w:pPr>
      <w:r>
        <w:t>Каналы    уведомления _______________о нарушениях каких-либо положений пункта 8.1 настоящего раздела: __________________.</w:t>
      </w:r>
      <w:r>
        <w:rPr>
          <w:color w:val="000000"/>
          <w:lang w:eastAsia="ar-SA"/>
        </w:rPr>
        <w:t xml:space="preserve">     </w:t>
      </w:r>
    </w:p>
    <w:p>
      <w:pPr>
        <w:pStyle w:val="Default"/>
        <w:jc w:val="both"/>
        <w:rPr>
          <w:rFonts w:ascii="Times New Roman" w:hAnsi="Times New Roman" w:cs="Times New Roman"/>
          <w:sz w:val="22"/>
          <w:szCs w:val="22"/>
        </w:rPr>
      </w:pPr>
      <w:r>
        <w:rPr>
          <w:rFonts w:ascii="Times New Roman" w:hAnsi="Times New Roman" w:cs="Times New Roman"/>
          <w:sz w:val="22"/>
          <w:szCs w:val="22"/>
          <w:lang w:eastAsia="ar-SA"/>
        </w:rPr>
        <w:t xml:space="preserve">          8.3. Стороны гарантируют осуществление надлежащего разбирательства по фактам нарушения положений пункта 8.1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tabs>
          <w:tab w:val="left" w:pos="567"/>
        </w:tabs>
        <w:spacing w:line="240" w:lineRule="atLeast"/>
        <w:ind w:firstLine="567"/>
        <w:jc w:val="both"/>
        <w:rPr>
          <w:color w:val="000000"/>
          <w:sz w:val="22"/>
          <w:szCs w:val="22"/>
          <w:lang w:eastAsia="ar-SA"/>
        </w:rPr>
      </w:pPr>
      <w:r>
        <w:rPr>
          <w:color w:val="000000"/>
          <w:sz w:val="22"/>
          <w:szCs w:val="22"/>
          <w:lang w:eastAsia="ar-SA"/>
        </w:rPr>
        <w:t>8.4. В случае подтверждения факта нарушения одной Стороной положений пункта 8.1 настоящего раздела и/или неполучения другой Стороной информации об итогах рассмотрения уведомления о нарушении в соответствии с пунктом 8.2 настоящего раздела, другая Сторона имеет право расторгнуть настоящий   Контракт   в одностороннем внесудебном порядке путем направления письменного уведомления не позднее чем за 14 (четырнадцать) календарных дней до даты прекращения действия настоящего Контракта.</w:t>
      </w:r>
    </w:p>
    <w:p>
      <w:pPr>
        <w:spacing w:line="240" w:lineRule="atLeast"/>
        <w:ind w:firstLine="567"/>
        <w:jc w:val="center"/>
        <w:rPr>
          <w:sz w:val="22"/>
          <w:szCs w:val="22"/>
        </w:rPr>
      </w:pPr>
      <w:r>
        <w:rPr>
          <w:sz w:val="22"/>
          <w:szCs w:val="22"/>
        </w:rPr>
        <w:t>9. ПРОЧИЕ УСЛОВИЯ</w:t>
      </w:r>
    </w:p>
    <w:p>
      <w:pPr>
        <w:pStyle w:val="210"/>
        <w:tabs>
          <w:tab w:val="left" w:pos="567"/>
        </w:tabs>
        <w:spacing w:after="0" w:line="240" w:lineRule="atLeast"/>
        <w:ind w:firstLine="567"/>
        <w:jc w:val="both"/>
        <w:rPr>
          <w:sz w:val="22"/>
          <w:szCs w:val="22"/>
        </w:rPr>
      </w:pPr>
      <w:r>
        <w:rPr>
          <w:sz w:val="22"/>
          <w:szCs w:val="22"/>
        </w:rPr>
        <w:t>9.1. Любые Приложения и Дополнения к настоящему контракту являются неотъемлемыми его частями и имеют юридическую силу, если совершены в письменной форме в виде дополнительного соглашения и подписаны Сторонами.</w:t>
      </w:r>
    </w:p>
    <w:p>
      <w:pPr>
        <w:shd w:val="clear" w:color="auto" w:fill="FFFFFF"/>
        <w:autoSpaceDE w:val="0"/>
        <w:spacing w:line="240" w:lineRule="atLeast"/>
        <w:ind w:firstLine="567"/>
        <w:jc w:val="both"/>
        <w:rPr>
          <w:sz w:val="22"/>
          <w:szCs w:val="22"/>
        </w:rPr>
      </w:pPr>
      <w:r>
        <w:rPr>
          <w:sz w:val="22"/>
          <w:szCs w:val="22"/>
        </w:rPr>
        <w:t>9.2. В случае изменения у любой из Сторон во время действия настоящего контракта   юридического   статуса, адреса, наименования, банковских реквизитов она обязана в течение 5 (пяти) дней письменно известить другую Сторону о таких изменениях.</w:t>
      </w:r>
    </w:p>
    <w:p>
      <w:pPr>
        <w:widowControl w:val="0"/>
        <w:shd w:val="clear" w:color="auto" w:fill="FFFFFF"/>
        <w:tabs>
          <w:tab w:val="left" w:pos="360"/>
        </w:tabs>
        <w:autoSpaceDE w:val="0"/>
        <w:spacing w:line="240" w:lineRule="atLeast"/>
        <w:ind w:firstLine="567"/>
        <w:jc w:val="both"/>
        <w:rPr>
          <w:sz w:val="22"/>
          <w:szCs w:val="22"/>
        </w:rPr>
      </w:pPr>
      <w:r>
        <w:rPr>
          <w:sz w:val="22"/>
          <w:szCs w:val="22"/>
        </w:rPr>
        <w:t xml:space="preserve">9.3. Расторжение контракта допускается по соглашению Сторон или по решению суда по основаниям, предусмотренным гражданским законодательством РФ. </w:t>
      </w:r>
    </w:p>
    <w:p>
      <w:pPr>
        <w:widowControl w:val="0"/>
        <w:shd w:val="clear" w:color="auto" w:fill="FFFFFF"/>
        <w:tabs>
          <w:tab w:val="left" w:pos="360"/>
        </w:tabs>
        <w:autoSpaceDE w:val="0"/>
        <w:spacing w:line="240" w:lineRule="atLeast"/>
        <w:ind w:firstLine="567"/>
        <w:jc w:val="both"/>
        <w:rPr>
          <w:sz w:val="22"/>
          <w:szCs w:val="22"/>
        </w:rPr>
      </w:pPr>
      <w:r>
        <w:rPr>
          <w:sz w:val="22"/>
          <w:szCs w:val="22"/>
        </w:rPr>
        <w:t>Сторона, которой направлено предложение о расторжении Контракта по соглашению Сторон, должна дать письменный ответ, по существу, в срок не позднее 5 (пяти) рабочих дней с даты его получения.</w:t>
      </w:r>
    </w:p>
    <w:p>
      <w:pPr>
        <w:widowControl w:val="0"/>
        <w:shd w:val="clear" w:color="auto" w:fill="FFFFFF"/>
        <w:tabs>
          <w:tab w:val="left" w:pos="360"/>
        </w:tabs>
        <w:autoSpaceDE w:val="0"/>
        <w:spacing w:line="240" w:lineRule="atLeast"/>
        <w:ind w:firstLine="567"/>
        <w:jc w:val="both"/>
        <w:rPr>
          <w:sz w:val="22"/>
          <w:szCs w:val="22"/>
        </w:rPr>
      </w:pPr>
      <w:r>
        <w:rPr>
          <w:sz w:val="22"/>
          <w:szCs w:val="22"/>
        </w:rPr>
        <w:t xml:space="preserve">9.4. Заказчик по согласованию с поставщиком в ходе исполнения контракта вправе изменить не более чем на 10 процентов количество всех предусмотренных контрактом товаров (работ, услуг) при изменении </w:t>
      </w:r>
      <w:r>
        <w:rPr>
          <w:sz w:val="22"/>
          <w:szCs w:val="22"/>
        </w:rPr>
        <w:lastRenderedPageBreak/>
        <w:t>потребности в товарах, на поставку которых заключен контракт.</w:t>
      </w:r>
    </w:p>
    <w:p>
      <w:pPr>
        <w:widowControl w:val="0"/>
        <w:shd w:val="clear" w:color="auto" w:fill="FFFFFF"/>
        <w:tabs>
          <w:tab w:val="left" w:pos="360"/>
        </w:tabs>
        <w:autoSpaceDE w:val="0"/>
        <w:spacing w:line="240" w:lineRule="atLeast"/>
        <w:ind w:firstLine="567"/>
        <w:jc w:val="both"/>
        <w:rPr>
          <w:sz w:val="22"/>
          <w:szCs w:val="22"/>
        </w:rPr>
      </w:pPr>
      <w:r>
        <w:rPr>
          <w:sz w:val="22"/>
          <w:szCs w:val="22"/>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поставщиком (исполнителем, подрядчиком), вправе увеличить первоначальную цену контракта пропорционально количеству таких товаров, объему таких работ, услуг, но не более чем на 10 процентов такой цены контракта, а при внесении соответствующих изменений в контракт в связи с сокращением потребности в поставке таких товаров, выполнении таких работ, оказании таких услуг Заказчик обязан уменьшить цену контракта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первоначальное количество такого товара.</w:t>
      </w:r>
    </w:p>
    <w:p>
      <w:pPr>
        <w:spacing w:line="240" w:lineRule="atLeast"/>
        <w:ind w:firstLine="567"/>
        <w:jc w:val="both"/>
        <w:rPr>
          <w:sz w:val="22"/>
          <w:szCs w:val="22"/>
        </w:rPr>
      </w:pPr>
      <w:r>
        <w:rPr>
          <w:sz w:val="22"/>
          <w:szCs w:val="22"/>
        </w:rPr>
        <w:t>9.5. Настоящий контракт вступает в силу с момента его подписания Сторонами и действует до 30.06.2026г.</w:t>
      </w:r>
    </w:p>
    <w:p>
      <w:pPr>
        <w:tabs>
          <w:tab w:val="left" w:pos="676"/>
          <w:tab w:val="left" w:pos="1440"/>
        </w:tabs>
        <w:spacing w:line="240" w:lineRule="atLeast"/>
        <w:ind w:firstLine="567"/>
        <w:jc w:val="both"/>
        <w:rPr>
          <w:sz w:val="22"/>
          <w:szCs w:val="22"/>
        </w:rPr>
      </w:pPr>
      <w:r>
        <w:rPr>
          <w:spacing w:val="-3"/>
          <w:sz w:val="22"/>
          <w:szCs w:val="22"/>
        </w:rPr>
        <w:t>9.6. Перечисленные ниже документы являются неотъемлемой частью настоящего контракта:</w:t>
      </w:r>
    </w:p>
    <w:p>
      <w:pPr>
        <w:tabs>
          <w:tab w:val="left" w:pos="676"/>
          <w:tab w:val="left" w:pos="1440"/>
          <w:tab w:val="left" w:pos="2877"/>
        </w:tabs>
        <w:spacing w:line="240" w:lineRule="atLeast"/>
        <w:ind w:firstLine="567"/>
        <w:jc w:val="both"/>
        <w:rPr>
          <w:sz w:val="22"/>
          <w:szCs w:val="22"/>
        </w:rPr>
      </w:pPr>
      <w:r>
        <w:rPr>
          <w:spacing w:val="-3"/>
          <w:sz w:val="22"/>
          <w:szCs w:val="22"/>
        </w:rPr>
        <w:t>Приложение №1 – Спецификация.</w:t>
      </w:r>
    </w:p>
    <w:p>
      <w:pPr>
        <w:shd w:val="clear" w:color="auto" w:fill="FFFFFF"/>
        <w:ind w:firstLine="567"/>
        <w:jc w:val="center"/>
        <w:rPr>
          <w:sz w:val="22"/>
          <w:szCs w:val="22"/>
        </w:rPr>
      </w:pPr>
      <w:r>
        <w:rPr>
          <w:bCs/>
          <w:sz w:val="22"/>
          <w:szCs w:val="22"/>
        </w:rPr>
        <w:t xml:space="preserve">10. </w:t>
      </w:r>
      <w:r>
        <w:rPr>
          <w:bCs/>
          <w:caps/>
          <w:sz w:val="22"/>
          <w:szCs w:val="22"/>
        </w:rPr>
        <w:t>Реквизиты и подписи сторон</w:t>
      </w:r>
    </w:p>
    <w:p>
      <w:pPr>
        <w:ind w:firstLine="567"/>
        <w:jc w:val="both"/>
        <w:rPr>
          <w:bCs/>
          <w:sz w:val="22"/>
          <w:szCs w:val="22"/>
        </w:rPr>
      </w:pPr>
    </w:p>
    <w:tbl>
      <w:tblPr>
        <w:tblW w:w="0" w:type="auto"/>
        <w:tblInd w:w="102" w:type="dxa"/>
        <w:tblLayout w:type="fixed"/>
        <w:tblCellMar>
          <w:left w:w="102" w:type="dxa"/>
          <w:right w:w="102" w:type="dxa"/>
        </w:tblCellMar>
        <w:tblLook w:val="0000" w:firstRow="0" w:lastRow="0" w:firstColumn="0" w:lastColumn="0" w:noHBand="0" w:noVBand="0"/>
      </w:tblPr>
      <w:tblGrid>
        <w:gridCol w:w="4962"/>
        <w:gridCol w:w="5670"/>
      </w:tblGrid>
      <w:tr>
        <w:trPr>
          <w:trHeight w:val="5304"/>
        </w:trPr>
        <w:tc>
          <w:tcPr>
            <w:tcW w:w="4962" w:type="dxa"/>
            <w:shd w:val="clear" w:color="auto" w:fill="auto"/>
          </w:tcPr>
          <w:p>
            <w:pPr>
              <w:pStyle w:val="3"/>
              <w:numPr>
                <w:ilvl w:val="2"/>
                <w:numId w:val="4"/>
              </w:numPr>
              <w:jc w:val="both"/>
              <w:rPr>
                <w:bCs/>
                <w:sz w:val="22"/>
                <w:szCs w:val="22"/>
              </w:rPr>
            </w:pPr>
            <w:r>
              <w:rPr>
                <w:bCs/>
                <w:sz w:val="22"/>
                <w:szCs w:val="22"/>
              </w:rPr>
              <w:t>ЗАКАЗЧИК</w:t>
            </w:r>
          </w:p>
          <w:p>
            <w:pPr>
              <w:shd w:val="clear" w:color="auto" w:fill="FFFFFF"/>
              <w:spacing w:line="264" w:lineRule="auto"/>
              <w:rPr>
                <w:b/>
                <w:color w:val="000000"/>
                <w:sz w:val="20"/>
                <w:szCs w:val="20"/>
              </w:rPr>
            </w:pPr>
            <w:r>
              <w:rPr>
                <w:b/>
                <w:color w:val="000000"/>
                <w:sz w:val="20"/>
                <w:szCs w:val="20"/>
              </w:rPr>
              <w:t>Федеральное государственное бюджетное образовательное учреждение высшего образования «Ростовский государственный университет путей сообщения» (</w:t>
            </w:r>
            <w:r>
              <w:rPr>
                <w:bCs/>
                <w:sz w:val="20"/>
                <w:szCs w:val="20"/>
              </w:rPr>
              <w:t>ФГБОУ ВО РГУПС, РГУПС</w:t>
            </w:r>
            <w:r>
              <w:rPr>
                <w:b/>
                <w:color w:val="000000"/>
                <w:sz w:val="20"/>
                <w:szCs w:val="20"/>
              </w:rPr>
              <w:t>)</w:t>
            </w:r>
          </w:p>
          <w:p>
            <w:pPr>
              <w:shd w:val="clear" w:color="auto" w:fill="FFFFFF"/>
              <w:spacing w:line="264" w:lineRule="auto"/>
              <w:rPr>
                <w:bCs/>
                <w:sz w:val="20"/>
                <w:szCs w:val="20"/>
              </w:rPr>
            </w:pPr>
            <w:r>
              <w:rPr>
                <w:bCs/>
                <w:sz w:val="20"/>
                <w:szCs w:val="20"/>
              </w:rPr>
              <w:t xml:space="preserve">Юридический/почтовый адрес: 344038, Ростовская область, городской округ город Ростов-на-Дону, город Ростов-на-Дону, площадь Ростовского Стрелкового Полка Народного Ополчения, </w:t>
            </w:r>
            <w:proofErr w:type="spellStart"/>
            <w:r>
              <w:rPr>
                <w:bCs/>
                <w:sz w:val="20"/>
                <w:szCs w:val="20"/>
              </w:rPr>
              <w:t>зд</w:t>
            </w:r>
            <w:proofErr w:type="spellEnd"/>
            <w:r>
              <w:rPr>
                <w:bCs/>
                <w:sz w:val="20"/>
                <w:szCs w:val="20"/>
              </w:rPr>
              <w:t>. 2.</w:t>
            </w:r>
          </w:p>
          <w:p>
            <w:pPr>
              <w:shd w:val="clear" w:color="auto" w:fill="FFFFFF"/>
              <w:spacing w:line="264" w:lineRule="auto"/>
              <w:rPr>
                <w:color w:val="000000"/>
                <w:sz w:val="20"/>
                <w:szCs w:val="20"/>
              </w:rPr>
            </w:pPr>
            <w:r>
              <w:rPr>
                <w:color w:val="000000"/>
                <w:sz w:val="20"/>
                <w:szCs w:val="20"/>
              </w:rPr>
              <w:t>Платежные реквизиты:</w:t>
            </w:r>
          </w:p>
          <w:p>
            <w:pPr>
              <w:spacing w:line="276" w:lineRule="auto"/>
              <w:rPr>
                <w:bCs/>
                <w:sz w:val="20"/>
                <w:szCs w:val="20"/>
              </w:rPr>
            </w:pPr>
            <w:r>
              <w:rPr>
                <w:bCs/>
                <w:sz w:val="20"/>
                <w:szCs w:val="20"/>
              </w:rPr>
              <w:t>ИНН 6165009334, КПП 616501001, ОГРН 1026103709499</w:t>
            </w:r>
          </w:p>
          <w:p>
            <w:pPr>
              <w:spacing w:line="276" w:lineRule="auto"/>
              <w:rPr>
                <w:bCs/>
                <w:sz w:val="20"/>
                <w:szCs w:val="20"/>
              </w:rPr>
            </w:pPr>
            <w:r>
              <w:rPr>
                <w:bCs/>
                <w:sz w:val="20"/>
                <w:szCs w:val="20"/>
              </w:rPr>
              <w:t>ОКПО 01116006, ОКТМО 60701000</w:t>
            </w:r>
          </w:p>
          <w:p>
            <w:pPr>
              <w:spacing w:line="276" w:lineRule="auto"/>
              <w:rPr>
                <w:bCs/>
                <w:sz w:val="20"/>
                <w:szCs w:val="20"/>
              </w:rPr>
            </w:pPr>
            <w:r>
              <w:rPr>
                <w:bCs/>
                <w:sz w:val="20"/>
                <w:szCs w:val="20"/>
              </w:rPr>
              <w:t xml:space="preserve">Наименование получателя: УФК по Нижегородской области </w:t>
            </w:r>
          </w:p>
          <w:p>
            <w:pPr>
              <w:spacing w:line="276" w:lineRule="auto"/>
              <w:rPr>
                <w:bCs/>
                <w:sz w:val="20"/>
                <w:szCs w:val="20"/>
              </w:rPr>
            </w:pPr>
            <w:r>
              <w:rPr>
                <w:bCs/>
                <w:sz w:val="20"/>
                <w:szCs w:val="20"/>
              </w:rPr>
              <w:t xml:space="preserve">(ФГБОУ ВО РГУПС, л/с 20586Х38340), </w:t>
            </w:r>
          </w:p>
          <w:p>
            <w:pPr>
              <w:spacing w:line="276" w:lineRule="auto"/>
              <w:rPr>
                <w:bCs/>
                <w:sz w:val="20"/>
                <w:szCs w:val="20"/>
              </w:rPr>
            </w:pPr>
            <w:r>
              <w:rPr>
                <w:bCs/>
                <w:sz w:val="20"/>
                <w:szCs w:val="20"/>
              </w:rPr>
              <w:t>Р/С 03214643000000013230, БИК 012202102,</w:t>
            </w:r>
          </w:p>
          <w:p>
            <w:pPr>
              <w:spacing w:line="276" w:lineRule="auto"/>
              <w:rPr>
                <w:bCs/>
                <w:sz w:val="20"/>
                <w:szCs w:val="20"/>
              </w:rPr>
            </w:pPr>
            <w:r>
              <w:rPr>
                <w:bCs/>
                <w:sz w:val="20"/>
                <w:szCs w:val="20"/>
              </w:rPr>
              <w:t xml:space="preserve">Банк получателя: ОКЦ № 1 ВВГУ Банка России//УФК по Нижегородской области, </w:t>
            </w:r>
          </w:p>
          <w:p>
            <w:pPr>
              <w:spacing w:line="276" w:lineRule="auto"/>
              <w:rPr>
                <w:bCs/>
                <w:sz w:val="20"/>
                <w:szCs w:val="20"/>
              </w:rPr>
            </w:pPr>
            <w:r>
              <w:rPr>
                <w:bCs/>
                <w:sz w:val="20"/>
                <w:szCs w:val="20"/>
              </w:rPr>
              <w:t>г. Нижний Новгород,</w:t>
            </w:r>
          </w:p>
          <w:p>
            <w:pPr>
              <w:spacing w:line="276" w:lineRule="auto"/>
              <w:rPr>
                <w:bCs/>
                <w:sz w:val="20"/>
                <w:szCs w:val="20"/>
              </w:rPr>
            </w:pPr>
            <w:r>
              <w:rPr>
                <w:bCs/>
                <w:sz w:val="20"/>
                <w:szCs w:val="20"/>
              </w:rPr>
              <w:t>К/С 40102810745370000024, КБК 00000000000000000130</w:t>
            </w:r>
          </w:p>
          <w:p>
            <w:pPr>
              <w:shd w:val="clear" w:color="auto" w:fill="FFFFFF"/>
              <w:spacing w:line="264" w:lineRule="auto"/>
              <w:rPr>
                <w:color w:val="000000"/>
                <w:sz w:val="20"/>
                <w:szCs w:val="20"/>
              </w:rPr>
            </w:pPr>
          </w:p>
          <w:p>
            <w:pPr>
              <w:jc w:val="both"/>
              <w:rPr>
                <w:bCs/>
                <w:sz w:val="22"/>
                <w:szCs w:val="22"/>
              </w:rPr>
            </w:pPr>
          </w:p>
        </w:tc>
        <w:tc>
          <w:tcPr>
            <w:tcW w:w="5670" w:type="dxa"/>
            <w:shd w:val="clear" w:color="auto" w:fill="auto"/>
          </w:tcPr>
          <w:p>
            <w:pPr>
              <w:rPr>
                <w:sz w:val="22"/>
                <w:szCs w:val="22"/>
              </w:rPr>
            </w:pPr>
            <w:r>
              <w:rPr>
                <w:sz w:val="22"/>
                <w:szCs w:val="22"/>
              </w:rPr>
              <w:t>ПОСТАВЩИК</w:t>
            </w:r>
          </w:p>
          <w:p>
            <w:pPr>
              <w:pStyle w:val="af3"/>
              <w:spacing w:before="0" w:beforeAutospacing="0" w:after="0" w:afterAutospacing="0" w:line="240" w:lineRule="atLeast"/>
              <w:rPr>
                <w:sz w:val="22"/>
                <w:szCs w:val="22"/>
              </w:rPr>
            </w:pPr>
          </w:p>
        </w:tc>
      </w:tr>
      <w:tr>
        <w:trPr>
          <w:trHeight w:val="65"/>
        </w:trPr>
        <w:tc>
          <w:tcPr>
            <w:tcW w:w="4962" w:type="dxa"/>
            <w:shd w:val="clear" w:color="auto" w:fill="auto"/>
          </w:tcPr>
          <w:p>
            <w:pPr>
              <w:rPr>
                <w:sz w:val="22"/>
                <w:szCs w:val="22"/>
              </w:rPr>
            </w:pPr>
          </w:p>
          <w:p>
            <w:pPr>
              <w:rPr>
                <w:sz w:val="22"/>
                <w:szCs w:val="22"/>
              </w:rPr>
            </w:pPr>
          </w:p>
          <w:p>
            <w:pPr>
              <w:rPr>
                <w:sz w:val="22"/>
                <w:szCs w:val="22"/>
              </w:rPr>
            </w:pPr>
          </w:p>
          <w:p>
            <w:pPr>
              <w:rPr>
                <w:sz w:val="22"/>
                <w:szCs w:val="22"/>
              </w:rPr>
            </w:pPr>
            <w:r>
              <w:rPr>
                <w:sz w:val="22"/>
                <w:szCs w:val="22"/>
              </w:rPr>
              <w:t xml:space="preserve"> _________________</w:t>
            </w:r>
          </w:p>
          <w:p>
            <w:pPr>
              <w:rPr>
                <w:sz w:val="22"/>
                <w:szCs w:val="22"/>
              </w:rPr>
            </w:pPr>
          </w:p>
        </w:tc>
        <w:tc>
          <w:tcPr>
            <w:tcW w:w="5670" w:type="dxa"/>
            <w:shd w:val="clear" w:color="auto" w:fill="auto"/>
          </w:tcPr>
          <w:p>
            <w:pPr>
              <w:jc w:val="both"/>
              <w:rPr>
                <w:sz w:val="22"/>
                <w:szCs w:val="22"/>
              </w:rPr>
            </w:pPr>
          </w:p>
          <w:p>
            <w:pPr>
              <w:jc w:val="both"/>
              <w:rPr>
                <w:sz w:val="22"/>
                <w:szCs w:val="22"/>
              </w:rPr>
            </w:pPr>
          </w:p>
          <w:p>
            <w:pPr>
              <w:jc w:val="both"/>
              <w:rPr>
                <w:sz w:val="22"/>
                <w:szCs w:val="22"/>
              </w:rPr>
            </w:pPr>
          </w:p>
          <w:p>
            <w:pPr>
              <w:jc w:val="both"/>
              <w:rPr>
                <w:sz w:val="22"/>
                <w:szCs w:val="22"/>
              </w:rPr>
            </w:pPr>
            <w:r>
              <w:rPr>
                <w:sz w:val="22"/>
                <w:szCs w:val="22"/>
              </w:rPr>
              <w:t xml:space="preserve">_________________ </w:t>
            </w:r>
          </w:p>
          <w:p>
            <w:pPr>
              <w:jc w:val="both"/>
              <w:rPr>
                <w:sz w:val="22"/>
                <w:szCs w:val="22"/>
              </w:rPr>
            </w:pPr>
          </w:p>
          <w:p>
            <w:pPr>
              <w:jc w:val="both"/>
              <w:rPr>
                <w:sz w:val="22"/>
                <w:szCs w:val="22"/>
              </w:rPr>
            </w:pPr>
          </w:p>
        </w:tc>
      </w:tr>
    </w:tbl>
    <w:p>
      <w:pPr>
        <w:jc w:val="both"/>
        <w:rPr>
          <w:sz w:val="22"/>
          <w:szCs w:val="22"/>
        </w:rPr>
      </w:pPr>
    </w:p>
    <w:p>
      <w:pPr>
        <w:ind w:left="360" w:firstLine="567"/>
        <w:jc w:val="both"/>
        <w:rPr>
          <w:sz w:val="22"/>
          <w:szCs w:val="22"/>
        </w:rPr>
      </w:pPr>
    </w:p>
    <w:p>
      <w:pPr>
        <w:ind w:left="360" w:firstLine="567"/>
        <w:jc w:val="both"/>
        <w:rPr>
          <w:sz w:val="22"/>
          <w:szCs w:val="22"/>
        </w:rPr>
      </w:pPr>
    </w:p>
    <w:p>
      <w:pPr>
        <w:ind w:left="360" w:firstLine="567"/>
        <w:jc w:val="both"/>
        <w:rPr>
          <w:sz w:val="22"/>
          <w:szCs w:val="22"/>
        </w:rPr>
      </w:pPr>
    </w:p>
    <w:p>
      <w:pPr>
        <w:ind w:left="360" w:firstLine="567"/>
        <w:jc w:val="both"/>
        <w:rPr>
          <w:sz w:val="22"/>
          <w:szCs w:val="22"/>
        </w:rPr>
      </w:pPr>
    </w:p>
    <w:p>
      <w:pPr>
        <w:ind w:left="360" w:firstLine="567"/>
        <w:jc w:val="both"/>
        <w:rPr>
          <w:sz w:val="22"/>
          <w:szCs w:val="22"/>
        </w:rPr>
      </w:pPr>
    </w:p>
    <w:p>
      <w:pPr>
        <w:ind w:left="360" w:firstLine="567"/>
        <w:jc w:val="both"/>
        <w:rPr>
          <w:sz w:val="22"/>
          <w:szCs w:val="22"/>
        </w:rPr>
      </w:pPr>
    </w:p>
    <w:p>
      <w:pPr>
        <w:ind w:left="360" w:firstLine="567"/>
        <w:jc w:val="both"/>
        <w:rPr>
          <w:sz w:val="22"/>
          <w:szCs w:val="22"/>
        </w:rPr>
      </w:pPr>
    </w:p>
    <w:p>
      <w:pPr>
        <w:ind w:left="360" w:firstLine="567"/>
        <w:jc w:val="both"/>
        <w:rPr>
          <w:sz w:val="22"/>
          <w:szCs w:val="22"/>
        </w:rPr>
      </w:pPr>
    </w:p>
    <w:p>
      <w:pPr>
        <w:ind w:left="360" w:firstLine="567"/>
        <w:jc w:val="both"/>
        <w:rPr>
          <w:sz w:val="22"/>
          <w:szCs w:val="22"/>
        </w:rPr>
      </w:pPr>
    </w:p>
    <w:p>
      <w:pPr>
        <w:ind w:left="360" w:firstLine="567"/>
        <w:jc w:val="both"/>
        <w:rPr>
          <w:sz w:val="22"/>
          <w:szCs w:val="22"/>
        </w:rPr>
      </w:pPr>
    </w:p>
    <w:p>
      <w:pPr>
        <w:ind w:left="360" w:firstLine="567"/>
        <w:jc w:val="both"/>
        <w:rPr>
          <w:sz w:val="22"/>
          <w:szCs w:val="22"/>
        </w:rPr>
      </w:pPr>
    </w:p>
    <w:p>
      <w:pPr>
        <w:ind w:left="360" w:firstLine="567"/>
        <w:jc w:val="both"/>
        <w:rPr>
          <w:sz w:val="22"/>
          <w:szCs w:val="22"/>
        </w:rPr>
      </w:pPr>
    </w:p>
    <w:p>
      <w:pPr>
        <w:ind w:left="360" w:firstLine="567"/>
        <w:jc w:val="both"/>
        <w:rPr>
          <w:sz w:val="22"/>
          <w:szCs w:val="22"/>
        </w:rPr>
      </w:pPr>
    </w:p>
    <w:p>
      <w:pPr>
        <w:ind w:left="360" w:firstLine="567"/>
        <w:jc w:val="both"/>
        <w:rPr>
          <w:sz w:val="22"/>
          <w:szCs w:val="22"/>
        </w:rPr>
      </w:pPr>
    </w:p>
    <w:p>
      <w:pPr>
        <w:ind w:firstLine="567"/>
        <w:jc w:val="right"/>
        <w:rPr>
          <w:sz w:val="22"/>
          <w:szCs w:val="22"/>
        </w:rPr>
      </w:pPr>
      <w:r>
        <w:rPr>
          <w:sz w:val="22"/>
          <w:szCs w:val="22"/>
        </w:rPr>
        <w:t>Приложение №1</w:t>
      </w:r>
    </w:p>
    <w:p>
      <w:pPr>
        <w:ind w:left="360" w:firstLine="567"/>
        <w:jc w:val="right"/>
        <w:rPr>
          <w:sz w:val="22"/>
          <w:szCs w:val="22"/>
        </w:rPr>
      </w:pPr>
      <w:r>
        <w:rPr>
          <w:sz w:val="22"/>
          <w:szCs w:val="22"/>
        </w:rPr>
        <w:t xml:space="preserve">к контракту №_______________        </w:t>
      </w:r>
    </w:p>
    <w:p>
      <w:pPr>
        <w:ind w:left="360" w:firstLine="567"/>
        <w:jc w:val="right"/>
        <w:rPr>
          <w:sz w:val="22"/>
          <w:szCs w:val="22"/>
        </w:rPr>
      </w:pPr>
    </w:p>
    <w:p>
      <w:pPr>
        <w:ind w:left="360" w:firstLine="567"/>
        <w:jc w:val="right"/>
        <w:rPr>
          <w:sz w:val="22"/>
          <w:szCs w:val="22"/>
        </w:rPr>
      </w:pPr>
    </w:p>
    <w:p>
      <w:pPr>
        <w:tabs>
          <w:tab w:val="left" w:pos="3540"/>
        </w:tabs>
        <w:ind w:left="360" w:firstLine="567"/>
        <w:rPr>
          <w:sz w:val="22"/>
          <w:szCs w:val="22"/>
        </w:rPr>
      </w:pPr>
      <w:r>
        <w:rPr>
          <w:sz w:val="22"/>
          <w:szCs w:val="22"/>
        </w:rPr>
        <w:tab/>
        <w:t xml:space="preserve">          СПЕЦИФИКАЦИЯ</w:t>
      </w:r>
    </w:p>
    <w:p>
      <w:pPr>
        <w:ind w:firstLine="567"/>
        <w:jc w:val="right"/>
        <w:rPr>
          <w:sz w:val="22"/>
          <w:szCs w:val="22"/>
        </w:rPr>
      </w:pPr>
    </w:p>
    <w:tbl>
      <w:tblPr>
        <w:tblW w:w="10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
        <w:gridCol w:w="4054"/>
        <w:gridCol w:w="1982"/>
        <w:gridCol w:w="1559"/>
        <w:gridCol w:w="1417"/>
        <w:gridCol w:w="1560"/>
      </w:tblGrid>
      <w:tr>
        <w:trPr>
          <w:trHeight w:val="705"/>
        </w:trPr>
        <w:tc>
          <w:tcPr>
            <w:tcW w:w="312" w:type="dxa"/>
            <w:shd w:val="clear" w:color="auto" w:fill="auto"/>
            <w:hideMark/>
          </w:tcPr>
          <w:p>
            <w:pPr>
              <w:spacing w:line="240" w:lineRule="atLeast"/>
              <w:jc w:val="center"/>
              <w:rPr>
                <w:rFonts w:eastAsia="Calibri"/>
                <w:bCs/>
                <w:color w:val="000000"/>
                <w:sz w:val="22"/>
                <w:szCs w:val="22"/>
                <w:lang w:eastAsia="ar-SA"/>
              </w:rPr>
            </w:pPr>
            <w:r>
              <w:rPr>
                <w:rFonts w:eastAsia="Calibri"/>
                <w:bCs/>
                <w:color w:val="000000"/>
                <w:sz w:val="22"/>
                <w:szCs w:val="22"/>
                <w:lang w:eastAsia="ar-SA"/>
              </w:rPr>
              <w:t>№</w:t>
            </w:r>
          </w:p>
        </w:tc>
        <w:tc>
          <w:tcPr>
            <w:tcW w:w="4054" w:type="dxa"/>
            <w:shd w:val="clear" w:color="auto" w:fill="auto"/>
            <w:hideMark/>
          </w:tcPr>
          <w:p>
            <w:pPr>
              <w:spacing w:line="240" w:lineRule="atLeast"/>
              <w:ind w:left="-13"/>
              <w:jc w:val="center"/>
              <w:rPr>
                <w:rFonts w:eastAsia="Calibri"/>
                <w:bCs/>
                <w:color w:val="000000"/>
                <w:sz w:val="22"/>
                <w:szCs w:val="22"/>
                <w:lang w:eastAsia="ar-SA"/>
              </w:rPr>
            </w:pPr>
            <w:r>
              <w:rPr>
                <w:rFonts w:eastAsia="Calibri"/>
                <w:bCs/>
                <w:color w:val="000000"/>
                <w:sz w:val="22"/>
                <w:szCs w:val="22"/>
                <w:lang w:eastAsia="ar-SA"/>
              </w:rPr>
              <w:t>Наименование Товара</w:t>
            </w:r>
          </w:p>
        </w:tc>
        <w:tc>
          <w:tcPr>
            <w:tcW w:w="1982" w:type="dxa"/>
            <w:shd w:val="clear" w:color="auto" w:fill="auto"/>
            <w:hideMark/>
          </w:tcPr>
          <w:p>
            <w:pPr>
              <w:spacing w:line="240" w:lineRule="atLeast"/>
              <w:ind w:left="63"/>
              <w:jc w:val="center"/>
              <w:rPr>
                <w:rFonts w:eastAsia="Calibri"/>
                <w:bCs/>
                <w:color w:val="000000"/>
                <w:sz w:val="22"/>
                <w:szCs w:val="22"/>
                <w:lang w:eastAsia="ar-SA"/>
              </w:rPr>
            </w:pPr>
            <w:r>
              <w:rPr>
                <w:rFonts w:eastAsia="Calibri"/>
                <w:bCs/>
                <w:color w:val="000000"/>
                <w:sz w:val="22"/>
                <w:szCs w:val="22"/>
                <w:lang w:eastAsia="ar-SA"/>
              </w:rPr>
              <w:t>Страна происхождения товара</w:t>
            </w:r>
          </w:p>
        </w:tc>
        <w:tc>
          <w:tcPr>
            <w:tcW w:w="1559" w:type="dxa"/>
            <w:shd w:val="clear" w:color="auto" w:fill="auto"/>
            <w:hideMark/>
          </w:tcPr>
          <w:p>
            <w:pPr>
              <w:spacing w:line="240" w:lineRule="atLeast"/>
              <w:ind w:left="-29"/>
              <w:jc w:val="center"/>
              <w:rPr>
                <w:rFonts w:eastAsia="Calibri"/>
                <w:bCs/>
                <w:color w:val="000000"/>
                <w:sz w:val="22"/>
                <w:szCs w:val="22"/>
                <w:lang w:eastAsia="ar-SA"/>
              </w:rPr>
            </w:pPr>
            <w:r>
              <w:rPr>
                <w:rFonts w:eastAsia="Calibri"/>
                <w:bCs/>
                <w:color w:val="000000"/>
                <w:sz w:val="22"/>
                <w:szCs w:val="22"/>
                <w:lang w:eastAsia="ar-SA"/>
              </w:rPr>
              <w:t>Количество, шт.</w:t>
            </w:r>
          </w:p>
          <w:p>
            <w:pPr>
              <w:spacing w:line="240" w:lineRule="atLeast"/>
              <w:ind w:left="-108"/>
              <w:jc w:val="center"/>
              <w:rPr>
                <w:rFonts w:eastAsia="Calibri"/>
                <w:bCs/>
                <w:color w:val="000000"/>
                <w:sz w:val="22"/>
                <w:szCs w:val="22"/>
                <w:lang w:eastAsia="ar-SA"/>
              </w:rPr>
            </w:pPr>
          </w:p>
        </w:tc>
        <w:tc>
          <w:tcPr>
            <w:tcW w:w="1417" w:type="dxa"/>
            <w:shd w:val="clear" w:color="auto" w:fill="auto"/>
            <w:hideMark/>
          </w:tcPr>
          <w:p>
            <w:pPr>
              <w:spacing w:line="240" w:lineRule="atLeast"/>
              <w:ind w:left="-29"/>
              <w:jc w:val="center"/>
              <w:rPr>
                <w:rFonts w:eastAsia="Calibri"/>
                <w:bCs/>
                <w:color w:val="000000"/>
                <w:sz w:val="22"/>
                <w:szCs w:val="22"/>
                <w:lang w:eastAsia="ar-SA"/>
              </w:rPr>
            </w:pPr>
            <w:r>
              <w:rPr>
                <w:rFonts w:eastAsia="Calibri"/>
                <w:bCs/>
                <w:color w:val="000000"/>
                <w:sz w:val="22"/>
                <w:szCs w:val="22"/>
                <w:lang w:eastAsia="ar-SA"/>
              </w:rPr>
              <w:t>Цена за единицу, руб.</w:t>
            </w:r>
          </w:p>
        </w:tc>
        <w:tc>
          <w:tcPr>
            <w:tcW w:w="1560" w:type="dxa"/>
            <w:shd w:val="clear" w:color="auto" w:fill="auto"/>
            <w:hideMark/>
          </w:tcPr>
          <w:p>
            <w:pPr>
              <w:spacing w:line="240" w:lineRule="atLeast"/>
              <w:jc w:val="center"/>
              <w:rPr>
                <w:rFonts w:eastAsia="Calibri"/>
                <w:bCs/>
                <w:color w:val="000000"/>
                <w:sz w:val="22"/>
                <w:szCs w:val="22"/>
                <w:lang w:eastAsia="ar-SA"/>
              </w:rPr>
            </w:pPr>
            <w:r>
              <w:rPr>
                <w:rFonts w:eastAsia="Calibri"/>
                <w:bCs/>
                <w:color w:val="000000"/>
                <w:sz w:val="22"/>
                <w:szCs w:val="22"/>
                <w:lang w:eastAsia="ar-SA"/>
              </w:rPr>
              <w:t>Сумма, руб.</w:t>
            </w:r>
          </w:p>
        </w:tc>
      </w:tr>
      <w:tr>
        <w:trPr>
          <w:trHeight w:val="598"/>
        </w:trPr>
        <w:tc>
          <w:tcPr>
            <w:tcW w:w="312" w:type="dxa"/>
            <w:shd w:val="clear" w:color="auto" w:fill="auto"/>
          </w:tcPr>
          <w:p>
            <w:pPr>
              <w:spacing w:line="240" w:lineRule="atLeast"/>
              <w:rPr>
                <w:rFonts w:eastAsia="Calibri"/>
                <w:bCs/>
                <w:color w:val="000000"/>
                <w:sz w:val="22"/>
                <w:szCs w:val="22"/>
                <w:lang w:eastAsia="ar-SA"/>
              </w:rPr>
            </w:pPr>
            <w:r>
              <w:rPr>
                <w:rFonts w:eastAsia="Calibri"/>
                <w:bCs/>
                <w:color w:val="000000"/>
                <w:sz w:val="22"/>
                <w:szCs w:val="22"/>
                <w:lang w:eastAsia="ar-SA"/>
              </w:rPr>
              <w:t>1</w:t>
            </w:r>
          </w:p>
        </w:tc>
        <w:tc>
          <w:tcPr>
            <w:tcW w:w="4054" w:type="dxa"/>
            <w:shd w:val="clear" w:color="auto" w:fill="auto"/>
            <w:vAlign w:val="bottom"/>
          </w:tcPr>
          <w:p>
            <w:pPr>
              <w:rPr>
                <w:bCs/>
                <w:sz w:val="22"/>
                <w:szCs w:val="22"/>
                <w:lang w:val="en-US"/>
              </w:rPr>
            </w:pPr>
          </w:p>
        </w:tc>
        <w:tc>
          <w:tcPr>
            <w:tcW w:w="1982" w:type="dxa"/>
            <w:shd w:val="clear" w:color="auto" w:fill="auto"/>
            <w:vAlign w:val="center"/>
          </w:tcPr>
          <w:p>
            <w:pPr>
              <w:spacing w:line="240" w:lineRule="atLeast"/>
              <w:ind w:left="63"/>
              <w:jc w:val="center"/>
              <w:rPr>
                <w:rFonts w:eastAsia="Calibri"/>
                <w:bCs/>
                <w:color w:val="000000"/>
                <w:sz w:val="22"/>
                <w:szCs w:val="22"/>
                <w:lang w:eastAsia="ar-SA"/>
              </w:rPr>
            </w:pPr>
          </w:p>
        </w:tc>
        <w:tc>
          <w:tcPr>
            <w:tcW w:w="1559" w:type="dxa"/>
            <w:shd w:val="clear" w:color="auto" w:fill="auto"/>
            <w:vAlign w:val="center"/>
          </w:tcPr>
          <w:p>
            <w:pPr>
              <w:jc w:val="center"/>
              <w:rPr>
                <w:bCs/>
                <w:sz w:val="22"/>
                <w:szCs w:val="22"/>
                <w:lang w:val="en-US"/>
              </w:rPr>
            </w:pPr>
          </w:p>
        </w:tc>
        <w:tc>
          <w:tcPr>
            <w:tcW w:w="1417" w:type="dxa"/>
            <w:shd w:val="clear" w:color="auto" w:fill="auto"/>
            <w:vAlign w:val="center"/>
          </w:tcPr>
          <w:p>
            <w:pPr>
              <w:jc w:val="center"/>
              <w:rPr>
                <w:sz w:val="22"/>
                <w:szCs w:val="22"/>
                <w:lang w:val="en-US"/>
              </w:rPr>
            </w:pPr>
          </w:p>
        </w:tc>
        <w:tc>
          <w:tcPr>
            <w:tcW w:w="1560" w:type="dxa"/>
            <w:shd w:val="clear" w:color="auto" w:fill="auto"/>
            <w:vAlign w:val="center"/>
          </w:tcPr>
          <w:p>
            <w:pPr>
              <w:jc w:val="center"/>
              <w:rPr>
                <w:rFonts w:ascii="Calibri" w:hAnsi="Calibri"/>
                <w:color w:val="000000"/>
                <w:sz w:val="22"/>
                <w:szCs w:val="22"/>
                <w:lang w:val="en-US"/>
              </w:rPr>
            </w:pPr>
          </w:p>
        </w:tc>
      </w:tr>
      <w:tr>
        <w:trPr>
          <w:trHeight w:val="368"/>
        </w:trPr>
        <w:tc>
          <w:tcPr>
            <w:tcW w:w="312" w:type="dxa"/>
            <w:shd w:val="clear" w:color="auto" w:fill="auto"/>
          </w:tcPr>
          <w:p>
            <w:pPr>
              <w:spacing w:line="240" w:lineRule="atLeast"/>
              <w:rPr>
                <w:rFonts w:eastAsia="Calibri"/>
                <w:bCs/>
                <w:color w:val="000000"/>
                <w:sz w:val="22"/>
                <w:szCs w:val="22"/>
                <w:lang w:eastAsia="ar-SA"/>
              </w:rPr>
            </w:pPr>
            <w:r>
              <w:rPr>
                <w:rFonts w:eastAsia="Calibri"/>
                <w:bCs/>
                <w:color w:val="000000"/>
                <w:sz w:val="22"/>
                <w:szCs w:val="22"/>
                <w:lang w:eastAsia="ar-SA"/>
              </w:rPr>
              <w:t>2</w:t>
            </w:r>
          </w:p>
        </w:tc>
        <w:tc>
          <w:tcPr>
            <w:tcW w:w="4054" w:type="dxa"/>
            <w:shd w:val="clear" w:color="auto" w:fill="auto"/>
            <w:vAlign w:val="bottom"/>
          </w:tcPr>
          <w:p>
            <w:pPr>
              <w:rPr>
                <w:bCs/>
                <w:sz w:val="20"/>
                <w:szCs w:val="20"/>
                <w:lang w:val="en-US"/>
              </w:rPr>
            </w:pPr>
          </w:p>
        </w:tc>
        <w:tc>
          <w:tcPr>
            <w:tcW w:w="1982" w:type="dxa"/>
            <w:shd w:val="clear" w:color="auto" w:fill="auto"/>
            <w:vAlign w:val="center"/>
          </w:tcPr>
          <w:p>
            <w:pPr>
              <w:spacing w:line="240" w:lineRule="atLeast"/>
              <w:ind w:left="63"/>
              <w:jc w:val="center"/>
              <w:rPr>
                <w:rFonts w:eastAsia="Calibri"/>
                <w:bCs/>
                <w:color w:val="000000"/>
                <w:sz w:val="22"/>
                <w:szCs w:val="22"/>
                <w:lang w:eastAsia="ar-SA"/>
              </w:rPr>
            </w:pPr>
          </w:p>
        </w:tc>
        <w:tc>
          <w:tcPr>
            <w:tcW w:w="1559" w:type="dxa"/>
            <w:shd w:val="clear" w:color="auto" w:fill="auto"/>
            <w:vAlign w:val="center"/>
          </w:tcPr>
          <w:p>
            <w:pPr>
              <w:jc w:val="center"/>
              <w:rPr>
                <w:bCs/>
                <w:lang w:val="en-US"/>
              </w:rPr>
            </w:pPr>
          </w:p>
        </w:tc>
        <w:tc>
          <w:tcPr>
            <w:tcW w:w="1417" w:type="dxa"/>
            <w:shd w:val="clear" w:color="auto" w:fill="auto"/>
            <w:vAlign w:val="center"/>
          </w:tcPr>
          <w:p>
            <w:pPr>
              <w:jc w:val="center"/>
              <w:rPr>
                <w:bCs/>
                <w:lang w:val="en-US"/>
              </w:rPr>
            </w:pPr>
          </w:p>
        </w:tc>
        <w:tc>
          <w:tcPr>
            <w:tcW w:w="1560" w:type="dxa"/>
            <w:shd w:val="clear" w:color="auto" w:fill="auto"/>
            <w:vAlign w:val="center"/>
          </w:tcPr>
          <w:p>
            <w:pPr>
              <w:jc w:val="center"/>
              <w:rPr>
                <w:rFonts w:ascii="Calibri" w:hAnsi="Calibri"/>
                <w:color w:val="000000"/>
                <w:sz w:val="22"/>
                <w:szCs w:val="22"/>
                <w:lang w:val="en-US"/>
              </w:rPr>
            </w:pPr>
          </w:p>
        </w:tc>
      </w:tr>
      <w:tr>
        <w:trPr>
          <w:trHeight w:val="368"/>
        </w:trPr>
        <w:tc>
          <w:tcPr>
            <w:tcW w:w="312" w:type="dxa"/>
            <w:shd w:val="clear" w:color="auto" w:fill="auto"/>
          </w:tcPr>
          <w:p>
            <w:pPr>
              <w:spacing w:line="240" w:lineRule="atLeast"/>
              <w:rPr>
                <w:rFonts w:eastAsia="Calibri"/>
                <w:bCs/>
                <w:color w:val="000000"/>
                <w:sz w:val="22"/>
                <w:szCs w:val="22"/>
                <w:lang w:val="en-US" w:eastAsia="ar-SA"/>
              </w:rPr>
            </w:pPr>
            <w:r>
              <w:rPr>
                <w:rFonts w:eastAsia="Calibri"/>
                <w:bCs/>
                <w:color w:val="000000"/>
                <w:sz w:val="22"/>
                <w:szCs w:val="22"/>
                <w:lang w:val="en-US" w:eastAsia="ar-SA"/>
              </w:rPr>
              <w:t>3</w:t>
            </w:r>
          </w:p>
        </w:tc>
        <w:tc>
          <w:tcPr>
            <w:tcW w:w="4054" w:type="dxa"/>
            <w:shd w:val="clear" w:color="auto" w:fill="auto"/>
            <w:vAlign w:val="bottom"/>
          </w:tcPr>
          <w:p>
            <w:pPr>
              <w:rPr>
                <w:bCs/>
                <w:sz w:val="20"/>
                <w:szCs w:val="20"/>
              </w:rPr>
            </w:pPr>
          </w:p>
        </w:tc>
        <w:tc>
          <w:tcPr>
            <w:tcW w:w="1982" w:type="dxa"/>
            <w:shd w:val="clear" w:color="auto" w:fill="auto"/>
            <w:vAlign w:val="center"/>
          </w:tcPr>
          <w:p>
            <w:pPr>
              <w:spacing w:line="240" w:lineRule="atLeast"/>
              <w:ind w:left="63"/>
              <w:jc w:val="center"/>
              <w:rPr>
                <w:rFonts w:eastAsia="Calibri"/>
                <w:bCs/>
                <w:color w:val="000000"/>
                <w:sz w:val="22"/>
                <w:szCs w:val="22"/>
                <w:lang w:eastAsia="ar-SA"/>
              </w:rPr>
            </w:pPr>
          </w:p>
        </w:tc>
        <w:tc>
          <w:tcPr>
            <w:tcW w:w="1559" w:type="dxa"/>
            <w:shd w:val="clear" w:color="auto" w:fill="auto"/>
            <w:vAlign w:val="center"/>
          </w:tcPr>
          <w:p>
            <w:pPr>
              <w:jc w:val="center"/>
              <w:rPr>
                <w:bCs/>
                <w:lang w:val="en-US"/>
              </w:rPr>
            </w:pPr>
          </w:p>
        </w:tc>
        <w:tc>
          <w:tcPr>
            <w:tcW w:w="1417" w:type="dxa"/>
            <w:shd w:val="clear" w:color="auto" w:fill="auto"/>
            <w:vAlign w:val="center"/>
          </w:tcPr>
          <w:p>
            <w:pPr>
              <w:jc w:val="center"/>
              <w:rPr>
                <w:bCs/>
                <w:lang w:val="en-US"/>
              </w:rPr>
            </w:pPr>
          </w:p>
        </w:tc>
        <w:tc>
          <w:tcPr>
            <w:tcW w:w="1560" w:type="dxa"/>
            <w:shd w:val="clear" w:color="auto" w:fill="auto"/>
            <w:vAlign w:val="center"/>
          </w:tcPr>
          <w:p>
            <w:pPr>
              <w:jc w:val="center"/>
              <w:rPr>
                <w:rFonts w:ascii="Calibri" w:hAnsi="Calibri"/>
                <w:color w:val="000000"/>
                <w:sz w:val="22"/>
                <w:szCs w:val="22"/>
                <w:lang w:val="en-US"/>
              </w:rPr>
            </w:pPr>
          </w:p>
        </w:tc>
      </w:tr>
      <w:tr>
        <w:trPr>
          <w:trHeight w:val="368"/>
        </w:trPr>
        <w:tc>
          <w:tcPr>
            <w:tcW w:w="312" w:type="dxa"/>
            <w:shd w:val="clear" w:color="auto" w:fill="auto"/>
          </w:tcPr>
          <w:p>
            <w:pPr>
              <w:spacing w:line="240" w:lineRule="atLeast"/>
              <w:rPr>
                <w:rFonts w:eastAsia="Calibri"/>
                <w:bCs/>
                <w:color w:val="000000"/>
                <w:sz w:val="22"/>
                <w:szCs w:val="22"/>
                <w:lang w:val="en-US" w:eastAsia="ar-SA"/>
              </w:rPr>
            </w:pPr>
            <w:r>
              <w:rPr>
                <w:rFonts w:eastAsia="Calibri"/>
                <w:bCs/>
                <w:color w:val="000000"/>
                <w:sz w:val="22"/>
                <w:szCs w:val="22"/>
                <w:lang w:val="en-US" w:eastAsia="ar-SA"/>
              </w:rPr>
              <w:t>4</w:t>
            </w:r>
          </w:p>
        </w:tc>
        <w:tc>
          <w:tcPr>
            <w:tcW w:w="4054" w:type="dxa"/>
            <w:shd w:val="clear" w:color="auto" w:fill="auto"/>
            <w:vAlign w:val="bottom"/>
          </w:tcPr>
          <w:p>
            <w:pPr>
              <w:rPr>
                <w:bCs/>
                <w:sz w:val="20"/>
                <w:szCs w:val="20"/>
                <w:lang w:val="en-US"/>
              </w:rPr>
            </w:pPr>
          </w:p>
        </w:tc>
        <w:tc>
          <w:tcPr>
            <w:tcW w:w="1982" w:type="dxa"/>
            <w:shd w:val="clear" w:color="auto" w:fill="auto"/>
            <w:vAlign w:val="center"/>
          </w:tcPr>
          <w:p>
            <w:pPr>
              <w:spacing w:line="240" w:lineRule="atLeast"/>
              <w:ind w:left="63"/>
              <w:jc w:val="center"/>
              <w:rPr>
                <w:rFonts w:eastAsia="Calibri"/>
                <w:bCs/>
                <w:color w:val="000000"/>
                <w:sz w:val="22"/>
                <w:szCs w:val="22"/>
                <w:lang w:val="en-US" w:eastAsia="ar-SA"/>
              </w:rPr>
            </w:pPr>
          </w:p>
        </w:tc>
        <w:tc>
          <w:tcPr>
            <w:tcW w:w="1559" w:type="dxa"/>
            <w:shd w:val="clear" w:color="auto" w:fill="auto"/>
            <w:vAlign w:val="center"/>
          </w:tcPr>
          <w:p>
            <w:pPr>
              <w:jc w:val="center"/>
              <w:rPr>
                <w:bCs/>
                <w:lang w:val="en-US"/>
              </w:rPr>
            </w:pPr>
          </w:p>
        </w:tc>
        <w:tc>
          <w:tcPr>
            <w:tcW w:w="1417" w:type="dxa"/>
            <w:shd w:val="clear" w:color="auto" w:fill="auto"/>
            <w:vAlign w:val="center"/>
          </w:tcPr>
          <w:p>
            <w:pPr>
              <w:jc w:val="center"/>
              <w:rPr>
                <w:bCs/>
                <w:lang w:val="en-US"/>
              </w:rPr>
            </w:pPr>
          </w:p>
        </w:tc>
        <w:tc>
          <w:tcPr>
            <w:tcW w:w="1560" w:type="dxa"/>
            <w:shd w:val="clear" w:color="auto" w:fill="auto"/>
            <w:vAlign w:val="center"/>
          </w:tcPr>
          <w:p>
            <w:pPr>
              <w:jc w:val="center"/>
              <w:rPr>
                <w:rFonts w:ascii="Calibri" w:hAnsi="Calibri"/>
                <w:color w:val="000000"/>
                <w:sz w:val="22"/>
                <w:szCs w:val="22"/>
                <w:lang w:val="en-US"/>
              </w:rPr>
            </w:pPr>
          </w:p>
        </w:tc>
      </w:tr>
      <w:tr>
        <w:trPr>
          <w:trHeight w:val="368"/>
        </w:trPr>
        <w:tc>
          <w:tcPr>
            <w:tcW w:w="312" w:type="dxa"/>
            <w:shd w:val="clear" w:color="auto" w:fill="auto"/>
          </w:tcPr>
          <w:p>
            <w:pPr>
              <w:spacing w:line="240" w:lineRule="atLeast"/>
              <w:rPr>
                <w:rFonts w:eastAsia="Calibri"/>
                <w:bCs/>
                <w:color w:val="000000"/>
                <w:sz w:val="22"/>
                <w:szCs w:val="22"/>
                <w:lang w:val="en-US" w:eastAsia="ar-SA"/>
              </w:rPr>
            </w:pPr>
            <w:r>
              <w:rPr>
                <w:rFonts w:eastAsia="Calibri"/>
                <w:bCs/>
                <w:color w:val="000000"/>
                <w:sz w:val="22"/>
                <w:szCs w:val="22"/>
                <w:lang w:val="en-US" w:eastAsia="ar-SA"/>
              </w:rPr>
              <w:t>5</w:t>
            </w:r>
          </w:p>
        </w:tc>
        <w:tc>
          <w:tcPr>
            <w:tcW w:w="4054" w:type="dxa"/>
            <w:shd w:val="clear" w:color="auto" w:fill="auto"/>
            <w:vAlign w:val="bottom"/>
          </w:tcPr>
          <w:p>
            <w:pPr>
              <w:rPr>
                <w:bCs/>
                <w:sz w:val="20"/>
                <w:szCs w:val="20"/>
                <w:lang w:val="en-US"/>
              </w:rPr>
            </w:pPr>
          </w:p>
        </w:tc>
        <w:tc>
          <w:tcPr>
            <w:tcW w:w="1982" w:type="dxa"/>
            <w:shd w:val="clear" w:color="auto" w:fill="auto"/>
            <w:vAlign w:val="center"/>
          </w:tcPr>
          <w:p>
            <w:pPr>
              <w:spacing w:line="240" w:lineRule="atLeast"/>
              <w:ind w:left="63"/>
              <w:jc w:val="center"/>
              <w:rPr>
                <w:rFonts w:eastAsia="Calibri"/>
                <w:bCs/>
                <w:color w:val="000000"/>
                <w:sz w:val="22"/>
                <w:szCs w:val="22"/>
                <w:lang w:val="en-US" w:eastAsia="ar-SA"/>
              </w:rPr>
            </w:pPr>
          </w:p>
        </w:tc>
        <w:tc>
          <w:tcPr>
            <w:tcW w:w="1559" w:type="dxa"/>
            <w:shd w:val="clear" w:color="auto" w:fill="auto"/>
            <w:vAlign w:val="center"/>
          </w:tcPr>
          <w:p>
            <w:pPr>
              <w:jc w:val="center"/>
              <w:rPr>
                <w:bCs/>
                <w:lang w:val="en-US"/>
              </w:rPr>
            </w:pPr>
          </w:p>
        </w:tc>
        <w:tc>
          <w:tcPr>
            <w:tcW w:w="1417" w:type="dxa"/>
            <w:shd w:val="clear" w:color="auto" w:fill="auto"/>
            <w:vAlign w:val="center"/>
          </w:tcPr>
          <w:p>
            <w:pPr>
              <w:jc w:val="center"/>
              <w:rPr>
                <w:bCs/>
                <w:lang w:val="en-US"/>
              </w:rPr>
            </w:pPr>
          </w:p>
        </w:tc>
        <w:tc>
          <w:tcPr>
            <w:tcW w:w="1560" w:type="dxa"/>
            <w:shd w:val="clear" w:color="auto" w:fill="auto"/>
            <w:vAlign w:val="center"/>
          </w:tcPr>
          <w:p>
            <w:pPr>
              <w:jc w:val="center"/>
              <w:rPr>
                <w:rFonts w:ascii="Calibri" w:hAnsi="Calibri"/>
                <w:color w:val="000000"/>
                <w:sz w:val="22"/>
                <w:szCs w:val="22"/>
                <w:lang w:val="en-US"/>
              </w:rPr>
            </w:pPr>
          </w:p>
        </w:tc>
      </w:tr>
      <w:tr>
        <w:trPr>
          <w:trHeight w:val="270"/>
        </w:trPr>
        <w:tc>
          <w:tcPr>
            <w:tcW w:w="7907" w:type="dxa"/>
            <w:gridSpan w:val="4"/>
            <w:shd w:val="clear" w:color="auto" w:fill="auto"/>
          </w:tcPr>
          <w:p>
            <w:pPr>
              <w:spacing w:line="240" w:lineRule="atLeast"/>
              <w:ind w:left="63" w:firstLine="426"/>
              <w:rPr>
                <w:rFonts w:eastAsia="Calibri"/>
                <w:bCs/>
                <w:color w:val="000000"/>
                <w:sz w:val="22"/>
                <w:szCs w:val="22"/>
                <w:lang w:val="en-US" w:eastAsia="ar-SA"/>
              </w:rPr>
            </w:pPr>
          </w:p>
        </w:tc>
        <w:tc>
          <w:tcPr>
            <w:tcW w:w="1417" w:type="dxa"/>
            <w:shd w:val="clear" w:color="auto" w:fill="auto"/>
          </w:tcPr>
          <w:p>
            <w:pPr>
              <w:spacing w:line="240" w:lineRule="atLeast"/>
              <w:rPr>
                <w:rFonts w:eastAsia="Calibri"/>
                <w:bCs/>
                <w:color w:val="000000"/>
                <w:sz w:val="22"/>
                <w:szCs w:val="22"/>
                <w:lang w:eastAsia="ar-SA"/>
              </w:rPr>
            </w:pPr>
            <w:r>
              <w:rPr>
                <w:rFonts w:eastAsia="Calibri"/>
                <w:sz w:val="22"/>
                <w:szCs w:val="22"/>
                <w:lang w:eastAsia="en-US"/>
              </w:rPr>
              <w:t xml:space="preserve"> НДС:</w:t>
            </w:r>
          </w:p>
        </w:tc>
        <w:tc>
          <w:tcPr>
            <w:tcW w:w="1560" w:type="dxa"/>
            <w:shd w:val="clear" w:color="auto" w:fill="auto"/>
          </w:tcPr>
          <w:p>
            <w:pPr>
              <w:spacing w:line="240" w:lineRule="atLeast"/>
              <w:jc w:val="center"/>
              <w:rPr>
                <w:rFonts w:eastAsia="Calibri"/>
                <w:bCs/>
                <w:color w:val="000000"/>
                <w:sz w:val="22"/>
                <w:szCs w:val="22"/>
                <w:lang w:eastAsia="ar-SA"/>
              </w:rPr>
            </w:pPr>
            <w:r>
              <w:rPr>
                <w:rFonts w:eastAsia="Calibri"/>
                <w:bCs/>
                <w:color w:val="000000"/>
                <w:sz w:val="22"/>
                <w:szCs w:val="22"/>
                <w:lang w:eastAsia="ar-SA"/>
              </w:rPr>
              <w:t>-</w:t>
            </w:r>
          </w:p>
        </w:tc>
      </w:tr>
    </w:tbl>
    <w:p>
      <w:pPr>
        <w:ind w:left="360" w:firstLine="567"/>
        <w:jc w:val="both"/>
        <w:rPr>
          <w:sz w:val="22"/>
          <w:szCs w:val="22"/>
        </w:rPr>
      </w:pPr>
    </w:p>
    <w:p>
      <w:pPr>
        <w:ind w:left="360" w:firstLine="567"/>
        <w:jc w:val="both"/>
        <w:rPr>
          <w:sz w:val="22"/>
          <w:szCs w:val="22"/>
        </w:rPr>
      </w:pPr>
    </w:p>
    <w:p>
      <w:pPr>
        <w:spacing w:line="240" w:lineRule="atLeast"/>
        <w:ind w:firstLine="567"/>
        <w:jc w:val="both"/>
        <w:rPr>
          <w:sz w:val="22"/>
          <w:szCs w:val="22"/>
        </w:rPr>
      </w:pPr>
      <w:proofErr w:type="gramStart"/>
      <w:r>
        <w:rPr>
          <w:sz w:val="22"/>
          <w:szCs w:val="22"/>
        </w:rPr>
        <w:t>Итого:_</w:t>
      </w:r>
      <w:proofErr w:type="gramEnd"/>
      <w:r>
        <w:rPr>
          <w:sz w:val="22"/>
          <w:szCs w:val="22"/>
        </w:rPr>
        <w:t>_________________(______________).</w:t>
      </w:r>
    </w:p>
    <w:p>
      <w:pPr>
        <w:spacing w:line="240" w:lineRule="atLeast"/>
        <w:ind w:firstLine="567"/>
        <w:jc w:val="both"/>
        <w:rPr>
          <w:sz w:val="22"/>
          <w:szCs w:val="22"/>
        </w:rPr>
      </w:pPr>
    </w:p>
    <w:p>
      <w:pPr>
        <w:spacing w:line="240" w:lineRule="atLeast"/>
        <w:ind w:firstLine="567"/>
        <w:jc w:val="both"/>
        <w:rPr>
          <w:sz w:val="22"/>
          <w:szCs w:val="22"/>
        </w:rPr>
      </w:pPr>
    </w:p>
    <w:p>
      <w:pPr>
        <w:spacing w:line="240" w:lineRule="atLeast"/>
        <w:ind w:firstLine="567"/>
        <w:jc w:val="both"/>
        <w:rPr>
          <w:sz w:val="22"/>
          <w:szCs w:val="22"/>
        </w:rPr>
      </w:pPr>
    </w:p>
    <w:p>
      <w:pPr>
        <w:spacing w:line="240" w:lineRule="atLeast"/>
        <w:ind w:firstLine="567"/>
        <w:jc w:val="both"/>
        <w:rPr>
          <w:sz w:val="22"/>
          <w:szCs w:val="22"/>
        </w:rPr>
      </w:pPr>
    </w:p>
    <w:p>
      <w:pPr>
        <w:spacing w:line="240" w:lineRule="atLeast"/>
        <w:ind w:firstLine="567"/>
        <w:jc w:val="both"/>
        <w:rPr>
          <w:sz w:val="22"/>
          <w:szCs w:val="22"/>
        </w:rPr>
      </w:pPr>
    </w:p>
    <w:p>
      <w:pPr>
        <w:spacing w:line="240" w:lineRule="atLeast"/>
        <w:ind w:firstLine="567"/>
        <w:jc w:val="both"/>
        <w:rPr>
          <w:sz w:val="22"/>
          <w:szCs w:val="22"/>
        </w:rPr>
      </w:pPr>
    </w:p>
    <w:p>
      <w:pPr>
        <w:spacing w:line="240" w:lineRule="atLeast"/>
        <w:ind w:firstLine="567"/>
        <w:jc w:val="both"/>
        <w:rPr>
          <w:sz w:val="22"/>
          <w:szCs w:val="22"/>
        </w:rPr>
      </w:pPr>
    </w:p>
    <w:p>
      <w:pPr>
        <w:ind w:firstLine="567"/>
        <w:jc w:val="both"/>
        <w:rPr>
          <w:sz w:val="22"/>
          <w:szCs w:val="22"/>
        </w:rPr>
      </w:pPr>
    </w:p>
    <w:p>
      <w:pPr>
        <w:ind w:firstLine="567"/>
        <w:jc w:val="both"/>
        <w:rPr>
          <w:sz w:val="22"/>
          <w:szCs w:val="22"/>
        </w:rPr>
      </w:pPr>
    </w:p>
    <w:p>
      <w:pPr>
        <w:ind w:firstLine="567"/>
        <w:jc w:val="both"/>
        <w:rPr>
          <w:sz w:val="22"/>
          <w:szCs w:val="22"/>
        </w:rPr>
      </w:pPr>
    </w:p>
    <w:tbl>
      <w:tblPr>
        <w:tblW w:w="0" w:type="auto"/>
        <w:tblLayout w:type="fixed"/>
        <w:tblLook w:val="0000" w:firstRow="0" w:lastRow="0" w:firstColumn="0" w:lastColumn="0" w:noHBand="0" w:noVBand="0"/>
      </w:tblPr>
      <w:tblGrid>
        <w:gridCol w:w="6062"/>
        <w:gridCol w:w="4359"/>
      </w:tblGrid>
      <w:tr>
        <w:tc>
          <w:tcPr>
            <w:tcW w:w="6062" w:type="dxa"/>
            <w:shd w:val="clear" w:color="auto" w:fill="auto"/>
          </w:tcPr>
          <w:p>
            <w:pPr>
              <w:ind w:firstLine="567"/>
              <w:jc w:val="both"/>
              <w:rPr>
                <w:sz w:val="22"/>
                <w:szCs w:val="22"/>
              </w:rPr>
            </w:pPr>
            <w:r>
              <w:rPr>
                <w:sz w:val="22"/>
                <w:szCs w:val="22"/>
              </w:rPr>
              <w:t>ЗАКАЗЧИК</w:t>
            </w:r>
          </w:p>
          <w:p>
            <w:pPr>
              <w:ind w:firstLine="567"/>
              <w:jc w:val="both"/>
              <w:rPr>
                <w:sz w:val="22"/>
                <w:szCs w:val="22"/>
              </w:rPr>
            </w:pPr>
          </w:p>
          <w:p>
            <w:pPr>
              <w:ind w:firstLine="567"/>
              <w:rPr>
                <w:sz w:val="22"/>
                <w:szCs w:val="22"/>
              </w:rPr>
            </w:pPr>
          </w:p>
          <w:p>
            <w:pPr>
              <w:ind w:firstLine="567"/>
              <w:rPr>
                <w:sz w:val="22"/>
                <w:szCs w:val="22"/>
              </w:rPr>
            </w:pPr>
            <w:r>
              <w:rPr>
                <w:sz w:val="22"/>
                <w:szCs w:val="22"/>
              </w:rPr>
              <w:t xml:space="preserve"> </w:t>
            </w:r>
          </w:p>
          <w:p>
            <w:pPr>
              <w:ind w:firstLine="567"/>
              <w:rPr>
                <w:sz w:val="22"/>
                <w:szCs w:val="22"/>
              </w:rPr>
            </w:pPr>
          </w:p>
          <w:p>
            <w:pPr>
              <w:ind w:firstLine="567"/>
              <w:rPr>
                <w:sz w:val="22"/>
                <w:szCs w:val="22"/>
              </w:rPr>
            </w:pPr>
            <w:r>
              <w:rPr>
                <w:sz w:val="22"/>
                <w:szCs w:val="22"/>
              </w:rPr>
              <w:t>_________________</w:t>
            </w:r>
          </w:p>
          <w:p>
            <w:pPr>
              <w:ind w:firstLine="567"/>
              <w:rPr>
                <w:sz w:val="22"/>
                <w:szCs w:val="22"/>
              </w:rPr>
            </w:pPr>
          </w:p>
          <w:p>
            <w:pPr>
              <w:ind w:firstLine="567"/>
              <w:rPr>
                <w:sz w:val="22"/>
                <w:szCs w:val="22"/>
              </w:rPr>
            </w:pPr>
          </w:p>
        </w:tc>
        <w:tc>
          <w:tcPr>
            <w:tcW w:w="4359" w:type="dxa"/>
            <w:shd w:val="clear" w:color="auto" w:fill="auto"/>
          </w:tcPr>
          <w:p>
            <w:pPr>
              <w:jc w:val="both"/>
              <w:rPr>
                <w:sz w:val="22"/>
                <w:szCs w:val="22"/>
              </w:rPr>
            </w:pPr>
            <w:r>
              <w:rPr>
                <w:sz w:val="22"/>
                <w:szCs w:val="22"/>
              </w:rPr>
              <w:t>ПОСТАВЩИК</w:t>
            </w:r>
          </w:p>
          <w:p>
            <w:pPr>
              <w:ind w:firstLine="567"/>
              <w:jc w:val="both"/>
              <w:rPr>
                <w:sz w:val="22"/>
                <w:szCs w:val="22"/>
              </w:rPr>
            </w:pPr>
          </w:p>
          <w:p>
            <w:pPr>
              <w:shd w:val="clear" w:color="auto" w:fill="FFFFFF"/>
              <w:spacing w:line="276" w:lineRule="auto"/>
              <w:rPr>
                <w:sz w:val="22"/>
                <w:szCs w:val="22"/>
              </w:rPr>
            </w:pPr>
          </w:p>
          <w:p>
            <w:pPr>
              <w:jc w:val="both"/>
              <w:rPr>
                <w:sz w:val="22"/>
                <w:szCs w:val="22"/>
              </w:rPr>
            </w:pPr>
          </w:p>
          <w:p>
            <w:pPr>
              <w:jc w:val="both"/>
              <w:rPr>
                <w:sz w:val="22"/>
                <w:szCs w:val="22"/>
              </w:rPr>
            </w:pPr>
          </w:p>
          <w:p>
            <w:pPr>
              <w:jc w:val="both"/>
              <w:rPr>
                <w:sz w:val="22"/>
                <w:szCs w:val="22"/>
              </w:rPr>
            </w:pPr>
            <w:r>
              <w:rPr>
                <w:sz w:val="22"/>
                <w:szCs w:val="22"/>
              </w:rPr>
              <w:t xml:space="preserve">_________________ </w:t>
            </w:r>
          </w:p>
          <w:p>
            <w:pPr>
              <w:shd w:val="clear" w:color="auto" w:fill="FFFFFF"/>
              <w:spacing w:line="276" w:lineRule="auto"/>
              <w:ind w:firstLine="567"/>
              <w:jc w:val="both"/>
              <w:rPr>
                <w:sz w:val="22"/>
                <w:szCs w:val="22"/>
              </w:rPr>
            </w:pPr>
          </w:p>
          <w:p>
            <w:pPr>
              <w:ind w:firstLine="567"/>
              <w:jc w:val="both"/>
              <w:rPr>
                <w:sz w:val="22"/>
                <w:szCs w:val="22"/>
              </w:rPr>
            </w:pPr>
          </w:p>
          <w:p>
            <w:pPr>
              <w:ind w:firstLine="567"/>
              <w:jc w:val="both"/>
              <w:rPr>
                <w:sz w:val="22"/>
                <w:szCs w:val="22"/>
              </w:rPr>
            </w:pPr>
          </w:p>
        </w:tc>
      </w:tr>
    </w:tbl>
    <w:p>
      <w:pPr>
        <w:shd w:val="clear" w:color="auto" w:fill="FFFFFF"/>
        <w:spacing w:before="120" w:after="120" w:line="260" w:lineRule="exact"/>
        <w:ind w:firstLine="567"/>
        <w:jc w:val="both"/>
        <w:rPr>
          <w:sz w:val="22"/>
          <w:szCs w:val="22"/>
        </w:rPr>
      </w:pPr>
    </w:p>
    <w:sectPr>
      <w:footerReference w:type="default" r:id="rId12"/>
      <w:footerReference w:type="first" r:id="rId13"/>
      <w:pgSz w:w="11906" w:h="16838"/>
      <w:pgMar w:top="568" w:right="707" w:bottom="993" w:left="709" w:header="720" w:footer="39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b"/>
      <w:ind w:right="360"/>
    </w:pPr>
    <w:r>
      <w:rPr>
        <w:noProof/>
      </w:rPr>
      <mc:AlternateContent>
        <mc:Choice Requires="wps">
          <w:drawing>
            <wp:anchor distT="0" distB="0" distL="0" distR="0" simplePos="0" relativeHeight="251657728" behindDoc="0" locked="0" layoutInCell="1" allowOverlap="1">
              <wp:simplePos x="0" y="0"/>
              <wp:positionH relativeFrom="page">
                <wp:posOffset>7089140</wp:posOffset>
              </wp:positionH>
              <wp:positionV relativeFrom="paragraph">
                <wp:posOffset>41910</wp:posOffset>
              </wp:positionV>
              <wp:extent cx="69850" cy="25209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pStyle w:val="ab"/>
                          </w:pPr>
                          <w:r>
                            <w:rPr>
                              <w:rStyle w:val="a3"/>
                            </w:rPr>
                            <w:fldChar w:fldCharType="begin"/>
                          </w:r>
                          <w:r>
                            <w:rPr>
                              <w:rStyle w:val="a3"/>
                            </w:rPr>
                            <w:instrText xml:space="preserve"> PAGE </w:instrText>
                          </w:r>
                          <w:r>
                            <w:rPr>
                              <w:rStyle w:val="a3"/>
                            </w:rPr>
                            <w:fldChar w:fldCharType="separate"/>
                          </w:r>
                          <w:r>
                            <w:rPr>
                              <w:rStyle w:val="a3"/>
                              <w:noProof/>
                            </w:rPr>
                            <w:t>4</w:t>
                          </w:r>
                          <w:r>
                            <w:rPr>
                              <w:rStyle w:val="a3"/>
                            </w:rPr>
                            <w:fldChar w:fldCharType="end"/>
                          </w:r>
                        </w:p>
                      </w:txbxContent>
                    </wps:txbx>
                    <wps:bodyPr rot="0" vert="horz" wrap="square" lIns="6350" tIns="6350" rIns="6350" bIns="635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58.2pt;margin-top:3.3pt;width:5.5pt;height:19.8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" stroked="f">
              <v:textbox inset=".5pt,.5pt,.5pt,.5pt">
                <w:txbxContent>
                  <w:p w:rsidR="00DC4058" w:rsidRDefault="00DC4058">
                    <w:pPr>
                      <w:pStyle w:val="ab"/>
                    </w:pPr>
                    <w:r>
                      <w:rPr>
                        <w:rStyle w:val="a3"/>
                      </w:rPr>
                      <w:fldChar w:fldCharType="begin"/>
                    </w:r>
                    <w:r>
                      <w:rPr>
                        <w:rStyle w:val="a3"/>
                      </w:rPr>
                      <w:instrText xml:space="preserve"> PAGE </w:instrText>
                    </w:r>
                    <w:r>
                      <w:rPr>
                        <w:rStyle w:val="a3"/>
                      </w:rPr>
                      <w:fldChar w:fldCharType="separate"/>
                    </w:r>
                    <w:r w:rsidR="009C2DF4">
                      <w:rPr>
                        <w:rStyle w:val="a3"/>
                        <w:noProof/>
                      </w:rPr>
                      <w:t>4</w:t>
                    </w:r>
                    <w:r>
                      <w:rPr>
                        <w:rStyle w:val="a3"/>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numFmt w:val="decimal"/>
      <w:pStyle w:val="1"/>
      <w:suff w:val="space"/>
      <w:lvlText w:val="Глава %1"/>
      <w:lvlJc w:val="center"/>
      <w:pPr>
        <w:tabs>
          <w:tab w:val="num" w:pos="0"/>
        </w:tabs>
        <w:ind w:left="0" w:firstLine="288"/>
      </w:pPr>
      <w:rPr>
        <w:rFonts w:hint="default"/>
      </w:rPr>
    </w:lvl>
    <w:lvl w:ilvl="1">
      <w:start w:val="1"/>
      <w:numFmt w:val="none"/>
      <w:pStyle w:val="2"/>
      <w:suff w:val="nothing"/>
      <w:lvlText w:val=""/>
      <w:lvlJc w:val="left"/>
      <w:pPr>
        <w:tabs>
          <w:tab w:val="num" w:pos="0"/>
        </w:tabs>
        <w:ind w:left="0" w:firstLine="0"/>
      </w:pPr>
      <w:rPr>
        <w:rFonts w:hint="default"/>
      </w:rPr>
    </w:lvl>
    <w:lvl w:ilvl="2">
      <w:start w:val="1"/>
      <w:numFmt w:val="none"/>
      <w:pStyle w:val="3"/>
      <w:suff w:val="nothing"/>
      <w:lvlText w:val=""/>
      <w:lvlJc w:val="left"/>
      <w:pPr>
        <w:tabs>
          <w:tab w:val="num" w:pos="0"/>
        </w:tabs>
        <w:ind w:left="0" w:firstLine="0"/>
      </w:pPr>
      <w:rPr>
        <w:rFonts w:hint="default"/>
      </w:rPr>
    </w:lvl>
    <w:lvl w:ilvl="3">
      <w:start w:val="1"/>
      <w:numFmt w:val="none"/>
      <w:pStyle w:val="4"/>
      <w:suff w:val="nothing"/>
      <w:lvlText w:val=""/>
      <w:lvlJc w:val="left"/>
      <w:pPr>
        <w:tabs>
          <w:tab w:val="num" w:pos="0"/>
        </w:tabs>
        <w:ind w:left="0" w:firstLine="0"/>
      </w:pPr>
      <w:rPr>
        <w:rFonts w:hint="default"/>
      </w:rPr>
    </w:lvl>
    <w:lvl w:ilvl="4">
      <w:start w:val="1"/>
      <w:numFmt w:val="none"/>
      <w:pStyle w:val="5"/>
      <w:suff w:val="nothing"/>
      <w:lvlText w:val=""/>
      <w:lvlJc w:val="left"/>
      <w:pPr>
        <w:tabs>
          <w:tab w:val="num" w:pos="0"/>
        </w:tabs>
        <w:ind w:left="0" w:firstLine="0"/>
      </w:pPr>
      <w:rPr>
        <w:rFonts w:hint="default"/>
      </w:rPr>
    </w:lvl>
    <w:lvl w:ilvl="5">
      <w:start w:val="1"/>
      <w:numFmt w:val="none"/>
      <w:pStyle w:val="6"/>
      <w:suff w:val="nothing"/>
      <w:lvlText w:val=""/>
      <w:lvlJc w:val="left"/>
      <w:pPr>
        <w:tabs>
          <w:tab w:val="num" w:pos="0"/>
        </w:tabs>
        <w:ind w:left="0" w:firstLine="0"/>
      </w:pPr>
      <w:rPr>
        <w:rFonts w:hint="default"/>
      </w:rPr>
    </w:lvl>
    <w:lvl w:ilvl="6">
      <w:start w:val="1"/>
      <w:numFmt w:val="none"/>
      <w:pStyle w:val="7"/>
      <w:suff w:val="nothing"/>
      <w:lvlText w:val=""/>
      <w:lvlJc w:val="left"/>
      <w:pPr>
        <w:tabs>
          <w:tab w:val="num" w:pos="0"/>
        </w:tabs>
        <w:ind w:left="0" w:firstLine="0"/>
      </w:pPr>
      <w:rPr>
        <w:rFonts w:hint="default"/>
      </w:rPr>
    </w:lvl>
    <w:lvl w:ilvl="7">
      <w:start w:val="1"/>
      <w:numFmt w:val="none"/>
      <w:pStyle w:val="8"/>
      <w:suff w:val="nothing"/>
      <w:lvlText w:val=""/>
      <w:lvlJc w:val="left"/>
      <w:pPr>
        <w:tabs>
          <w:tab w:val="num" w:pos="0"/>
        </w:tabs>
        <w:ind w:left="0" w:firstLine="0"/>
      </w:pPr>
      <w:rPr>
        <w:rFonts w:hint="default"/>
      </w:rPr>
    </w:lvl>
    <w:lvl w:ilvl="8">
      <w:start w:val="1"/>
      <w:numFmt w:val="none"/>
      <w:pStyle w:val="9"/>
      <w:suff w:val="nothing"/>
      <w:lvlText w:val=""/>
      <w:lvlJc w:val="left"/>
      <w:pPr>
        <w:tabs>
          <w:tab w:val="num" w:pos="0"/>
        </w:tabs>
        <w:ind w:left="0" w:firstLine="0"/>
      </w:pPr>
      <w:rPr>
        <w:rFonts w:hint="default"/>
      </w:rPr>
    </w:lvl>
  </w:abstractNum>
  <w:abstractNum w:abstractNumId="1" w15:restartNumberingAfterBreak="0">
    <w:nsid w:val="00000002"/>
    <w:multiLevelType w:val="multilevel"/>
    <w:tmpl w:val="00000002"/>
    <w:name w:val="WW8Num2"/>
    <w:lvl w:ilvl="0">
      <w:start w:val="1"/>
      <w:numFmt w:val="decimal"/>
      <w:pStyle w:val="-"/>
      <w:lvlText w:val="%1."/>
      <w:lvlJc w:val="center"/>
      <w:pPr>
        <w:tabs>
          <w:tab w:val="num" w:pos="0"/>
        </w:tabs>
        <w:ind w:left="0" w:firstLine="0"/>
      </w:pPr>
      <w:rPr>
        <w:rFonts w:hint="default"/>
        <w:b/>
        <w:i w:val="0"/>
      </w:rPr>
    </w:lvl>
    <w:lvl w:ilvl="1">
      <w:start w:val="1"/>
      <w:numFmt w:val="decimal"/>
      <w:lvlText w:val="%1.%2"/>
      <w:lvlJc w:val="left"/>
      <w:pPr>
        <w:tabs>
          <w:tab w:val="num" w:pos="851"/>
        </w:tabs>
        <w:ind w:left="851" w:hanging="851"/>
      </w:pPr>
      <w:rPr>
        <w:rFonts w:cs="Times New Roman" w:hint="default"/>
        <w:b w:val="0"/>
        <w:bCs w:val="0"/>
        <w:i w:val="0"/>
        <w:iCs w:val="0"/>
        <w:caps w:val="0"/>
        <w:smallCaps w:val="0"/>
        <w:strike w:val="0"/>
        <w:dstrike w:val="0"/>
        <w:vanish w:val="0"/>
        <w:color w:val="000000"/>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mallCaps w:val="0"/>
        <w:strike w:val="0"/>
        <w:dstrike w:val="0"/>
        <w:vanish w:val="0"/>
        <w:color w:val="000000"/>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 w15:restartNumberingAfterBreak="0">
    <w:nsid w:val="00000003"/>
    <w:multiLevelType w:val="multilevel"/>
    <w:tmpl w:val="00000003"/>
    <w:name w:val="WW8Num3"/>
    <w:lvl w:ilvl="0">
      <w:start w:val="8"/>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EF3BEF5A-39B8-4BCA-B49E-41254B7E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outlineLvl w:val="0"/>
    </w:pPr>
    <w:rPr>
      <w:sz w:val="28"/>
    </w:rPr>
  </w:style>
  <w:style w:type="paragraph" w:styleId="2">
    <w:name w:val="heading 2"/>
    <w:basedOn w:val="a"/>
    <w:next w:val="a"/>
    <w:qFormat/>
    <w:pPr>
      <w:keepNext/>
      <w:numPr>
        <w:ilvl w:val="1"/>
        <w:numId w:val="1"/>
      </w:numPr>
      <w:spacing w:before="240" w:after="120"/>
      <w:jc w:val="center"/>
      <w:outlineLvl w:val="1"/>
    </w:pPr>
    <w:rPr>
      <w:b/>
      <w:sz w:val="28"/>
    </w:rPr>
  </w:style>
  <w:style w:type="paragraph" w:styleId="3">
    <w:name w:val="heading 3"/>
    <w:basedOn w:val="a"/>
    <w:next w:val="a"/>
    <w:qFormat/>
    <w:pPr>
      <w:keepNext/>
      <w:numPr>
        <w:ilvl w:val="2"/>
        <w:numId w:val="1"/>
      </w:numPr>
      <w:jc w:val="center"/>
      <w:outlineLvl w:val="2"/>
    </w:pPr>
    <w:rPr>
      <w:sz w:val="28"/>
    </w:rPr>
  </w:style>
  <w:style w:type="paragraph" w:styleId="4">
    <w:name w:val="heading 4"/>
    <w:basedOn w:val="a"/>
    <w:next w:val="a"/>
    <w:qFormat/>
    <w:pPr>
      <w:keepNext/>
      <w:numPr>
        <w:ilvl w:val="3"/>
        <w:numId w:val="1"/>
      </w:numPr>
      <w:jc w:val="both"/>
      <w:outlineLvl w:val="3"/>
    </w:pPr>
    <w:rPr>
      <w:sz w:val="28"/>
    </w:rPr>
  </w:style>
  <w:style w:type="paragraph" w:styleId="5">
    <w:name w:val="heading 5"/>
    <w:basedOn w:val="a"/>
    <w:next w:val="a"/>
    <w:qFormat/>
    <w:pPr>
      <w:keepNext/>
      <w:numPr>
        <w:ilvl w:val="4"/>
        <w:numId w:val="1"/>
      </w:numPr>
      <w:jc w:val="center"/>
      <w:outlineLvl w:val="4"/>
    </w:pPr>
    <w:rPr>
      <w:b/>
      <w:bCs/>
      <w:sz w:val="28"/>
    </w:rPr>
  </w:style>
  <w:style w:type="paragraph" w:styleId="6">
    <w:name w:val="heading 6"/>
    <w:basedOn w:val="a"/>
    <w:next w:val="a"/>
    <w:qFormat/>
    <w:pPr>
      <w:keepNext/>
      <w:numPr>
        <w:ilvl w:val="5"/>
        <w:numId w:val="1"/>
      </w:numPr>
      <w:outlineLvl w:val="5"/>
    </w:pPr>
    <w:rPr>
      <w:szCs w:val="20"/>
    </w:rPr>
  </w:style>
  <w:style w:type="paragraph" w:styleId="7">
    <w:name w:val="heading 7"/>
    <w:basedOn w:val="a"/>
    <w:next w:val="a"/>
    <w:qFormat/>
    <w:pPr>
      <w:keepNext/>
      <w:numPr>
        <w:ilvl w:val="6"/>
        <w:numId w:val="1"/>
      </w:numPr>
      <w:jc w:val="center"/>
      <w:outlineLvl w:val="6"/>
    </w:pPr>
    <w:rPr>
      <w:szCs w:val="20"/>
    </w:rPr>
  </w:style>
  <w:style w:type="paragraph" w:styleId="8">
    <w:name w:val="heading 8"/>
    <w:basedOn w:val="a"/>
    <w:next w:val="a"/>
    <w:qFormat/>
    <w:pPr>
      <w:keepNext/>
      <w:numPr>
        <w:ilvl w:val="7"/>
        <w:numId w:val="1"/>
      </w:numPr>
      <w:jc w:val="center"/>
      <w:outlineLvl w:val="7"/>
    </w:pPr>
    <w:rPr>
      <w:b/>
      <w:szCs w:val="20"/>
    </w:rPr>
  </w:style>
  <w:style w:type="paragraph" w:styleId="9">
    <w:name w:val="heading 9"/>
    <w:basedOn w:val="a"/>
    <w:next w:val="a"/>
    <w:qFormat/>
    <w:pPr>
      <w:keepNext/>
      <w:numPr>
        <w:ilvl w:val="8"/>
        <w:numId w:val="1"/>
      </w:numPr>
      <w:jc w:val="center"/>
      <w:outlineLvl w:val="8"/>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b/>
      <w:i w:val="0"/>
    </w:rPr>
  </w:style>
  <w:style w:type="character" w:customStyle="1" w:styleId="WW8Num2z1">
    <w:name w:val="WW8Num2z1"/>
    <w:rPr>
      <w:rFonts w:cs="Times New Roman" w:hint="default"/>
      <w:b w:val="0"/>
      <w:bCs w:val="0"/>
      <w:i w:val="0"/>
      <w:iCs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z2">
    <w:name w:val="WW8Num2z2"/>
    <w:rPr>
      <w:rFonts w:hint="default"/>
      <w:b w:val="0"/>
      <w:bCs w:val="0"/>
      <w:i w:val="0"/>
      <w:iCs w:val="0"/>
    </w:rPr>
  </w:style>
  <w:style w:type="character" w:customStyle="1" w:styleId="WW8Num2z3">
    <w:name w:val="WW8Num2z3"/>
    <w:rPr>
      <w:rFonts w:cs="Times New Roman" w:hint="default"/>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z4">
    <w:name w:val="WW8Num2z4"/>
    <w:rPr>
      <w:rFonts w:hint="default"/>
    </w:rPr>
  </w:style>
  <w:style w:type="character" w:customStyle="1" w:styleId="WW8Num2z5">
    <w:name w:val="WW8Num2z5"/>
    <w:rPr>
      <w:rFonts w:ascii="Symbol" w:hAnsi="Symbol" w:cs="Symbol" w:hint="default"/>
    </w:rPr>
  </w:style>
  <w:style w:type="character" w:customStyle="1" w:styleId="30">
    <w:name w:val="Основной шрифт абзаца3"/>
  </w:style>
  <w:style w:type="character" w:customStyle="1" w:styleId="WW8Num1z1">
    <w:name w:val="WW8Num1z1"/>
    <w:rPr>
      <w:rFonts w:cs="Times New Roman" w:hint="default"/>
      <w:b w:val="0"/>
      <w:bCs w:val="0"/>
      <w:i w:val="0"/>
      <w:iCs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hint="default"/>
      <w:b w:val="0"/>
      <w:bCs w:val="0"/>
      <w:i w:val="0"/>
      <w:iCs w:val="0"/>
    </w:rPr>
  </w:style>
  <w:style w:type="character" w:customStyle="1" w:styleId="WW8Num1z3">
    <w:name w:val="WW8Num1z3"/>
    <w:rPr>
      <w:rFonts w:cs="Times New Roman" w:hint="default"/>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4">
    <w:name w:val="WW8Num1z4"/>
    <w:rPr>
      <w:rFonts w:hint="default"/>
    </w:rPr>
  </w:style>
  <w:style w:type="character" w:customStyle="1" w:styleId="WW8Num1z5">
    <w:name w:val="WW8Num1z5"/>
    <w:rPr>
      <w:rFonts w:ascii="Symbol" w:hAnsi="Symbol" w:cs="Symbol" w:hint="default"/>
    </w:rPr>
  </w:style>
  <w:style w:type="character" w:customStyle="1" w:styleId="WW8Num3z0">
    <w:name w:val="WW8Num3z0"/>
    <w:rPr>
      <w:rFonts w:hint="default"/>
    </w:rPr>
  </w:style>
  <w:style w:type="character" w:customStyle="1" w:styleId="20">
    <w:name w:val="Основной шрифт абзаца2"/>
  </w:style>
  <w:style w:type="character" w:styleId="a3">
    <w:name w:val="page number"/>
    <w:basedOn w:val="20"/>
  </w:style>
  <w:style w:type="character" w:customStyle="1" w:styleId="a4">
    <w:name w:val="Текст выноски Знак"/>
    <w:rPr>
      <w:rFonts w:ascii="Tahoma" w:hAnsi="Tahoma" w:cs="Tahoma"/>
      <w:sz w:val="16"/>
      <w:szCs w:val="16"/>
    </w:rPr>
  </w:style>
  <w:style w:type="character" w:styleId="a5">
    <w:name w:val="Hyperlink"/>
    <w:rPr>
      <w:color w:val="0563C1"/>
      <w:u w:val="single"/>
    </w:rPr>
  </w:style>
  <w:style w:type="character" w:customStyle="1" w:styleId="10">
    <w:name w:val="Основной шрифт абзаца1"/>
  </w:style>
  <w:style w:type="paragraph" w:styleId="a6">
    <w:name w:val="Title"/>
    <w:basedOn w:val="a"/>
    <w:next w:val="a7"/>
    <w:pPr>
      <w:keepNext/>
      <w:spacing w:before="240" w:after="120"/>
    </w:pPr>
    <w:rPr>
      <w:rFonts w:ascii="Liberation Sans" w:eastAsia="Lucida Sans Unicode" w:hAnsi="Liberation Sans" w:cs="Mangal"/>
      <w:sz w:val="28"/>
      <w:szCs w:val="28"/>
    </w:rPr>
  </w:style>
  <w:style w:type="paragraph" w:styleId="a7">
    <w:name w:val="Body Text"/>
    <w:basedOn w:val="a"/>
    <w:pPr>
      <w:keepNext/>
    </w:pPr>
    <w:rPr>
      <w:b/>
      <w:sz w:val="32"/>
      <w:szCs w:val="20"/>
    </w:rPr>
  </w:style>
  <w:style w:type="paragraph" w:styleId="a8">
    <w:name w:val="List"/>
    <w:basedOn w:val="a7"/>
    <w:rPr>
      <w:rFonts w:cs="Mangal"/>
    </w:rPr>
  </w:style>
  <w:style w:type="paragraph" w:styleId="a9">
    <w:name w:val="caption"/>
    <w:basedOn w:val="a"/>
    <w:qFormat/>
    <w:pPr>
      <w:suppressLineNumbers/>
      <w:spacing w:before="120" w:after="120"/>
    </w:pPr>
    <w:rPr>
      <w:rFonts w:cs="Mangal"/>
      <w:i/>
      <w:iCs/>
    </w:rPr>
  </w:style>
  <w:style w:type="paragraph" w:customStyle="1" w:styleId="21">
    <w:name w:val="Указатель2"/>
    <w:basedOn w:val="a"/>
    <w:pPr>
      <w:suppressLineNumbers/>
    </w:pPr>
    <w:rPr>
      <w:rFonts w:cs="Mangal"/>
    </w:rPr>
  </w:style>
  <w:style w:type="paragraph" w:customStyle="1" w:styleId="11">
    <w:name w:val="Название объекта1"/>
    <w:basedOn w:val="a"/>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a">
    <w:name w:val="Body Text Indent"/>
    <w:basedOn w:val="a"/>
    <w:pPr>
      <w:jc w:val="both"/>
    </w:pPr>
    <w:rPr>
      <w:sz w:val="28"/>
      <w:szCs w:val="20"/>
    </w:rPr>
  </w:style>
  <w:style w:type="paragraph" w:customStyle="1" w:styleId="31">
    <w:name w:val="Основной текст с отступом 31"/>
    <w:basedOn w:val="a"/>
    <w:pPr>
      <w:ind w:left="426"/>
      <w:jc w:val="both"/>
    </w:pPr>
  </w:style>
  <w:style w:type="paragraph" w:styleId="ab">
    <w:name w:val="footer"/>
    <w:basedOn w:val="a"/>
    <w:pPr>
      <w:tabs>
        <w:tab w:val="center" w:pos="4677"/>
        <w:tab w:val="right" w:pos="9355"/>
      </w:tabs>
    </w:pPr>
  </w:style>
  <w:style w:type="paragraph" w:styleId="ac">
    <w:name w:val="header"/>
    <w:basedOn w:val="a"/>
    <w:pPr>
      <w:tabs>
        <w:tab w:val="center" w:pos="4677"/>
        <w:tab w:val="right" w:pos="9355"/>
      </w:tabs>
    </w:pPr>
  </w:style>
  <w:style w:type="paragraph" w:customStyle="1" w:styleId="ad">
    <w:name w:val="Пункт б/н"/>
    <w:basedOn w:val="a"/>
    <w:pPr>
      <w:tabs>
        <w:tab w:val="left" w:pos="1134"/>
      </w:tabs>
      <w:ind w:firstLine="567"/>
      <w:jc w:val="both"/>
    </w:pPr>
  </w:style>
  <w:style w:type="paragraph" w:customStyle="1" w:styleId="-">
    <w:name w:val="Контракт-раздел"/>
    <w:basedOn w:val="a"/>
    <w:next w:val="-0"/>
    <w:pPr>
      <w:keepNext/>
      <w:numPr>
        <w:numId w:val="2"/>
      </w:numPr>
      <w:tabs>
        <w:tab w:val="left" w:pos="540"/>
      </w:tabs>
      <w:spacing w:before="360" w:after="120"/>
      <w:jc w:val="center"/>
    </w:pPr>
    <w:rPr>
      <w:b/>
      <w:bCs/>
      <w:caps/>
    </w:rPr>
  </w:style>
  <w:style w:type="paragraph" w:customStyle="1" w:styleId="-0">
    <w:name w:val="Контракт-пункт"/>
    <w:basedOn w:val="a"/>
    <w:pPr>
      <w:tabs>
        <w:tab w:val="num" w:pos="0"/>
      </w:tabs>
      <w:jc w:val="both"/>
    </w:pPr>
  </w:style>
  <w:style w:type="paragraph" w:customStyle="1" w:styleId="-1">
    <w:name w:val="Контракт-подпункт"/>
    <w:basedOn w:val="a"/>
    <w:pPr>
      <w:tabs>
        <w:tab w:val="num" w:pos="0"/>
      </w:tabs>
      <w:jc w:val="both"/>
    </w:pPr>
  </w:style>
  <w:style w:type="paragraph" w:customStyle="1" w:styleId="-2">
    <w:name w:val="Контракт-подподпункт"/>
    <w:basedOn w:val="a"/>
    <w:pPr>
      <w:tabs>
        <w:tab w:val="num" w:pos="0"/>
      </w:tabs>
      <w:jc w:val="both"/>
    </w:pPr>
  </w:style>
  <w:style w:type="paragraph" w:customStyle="1" w:styleId="210">
    <w:name w:val="Основной текст 21"/>
    <w:basedOn w:val="a"/>
    <w:pPr>
      <w:spacing w:after="120" w:line="480" w:lineRule="auto"/>
    </w:pPr>
  </w:style>
  <w:style w:type="paragraph" w:customStyle="1" w:styleId="ae">
    <w:name w:val="Знак"/>
    <w:basedOn w:val="a"/>
    <w:pPr>
      <w:spacing w:after="160" w:line="240" w:lineRule="exact"/>
    </w:pPr>
    <w:rPr>
      <w:rFonts w:ascii="Verdana" w:hAnsi="Verdana" w:cs="Verdana"/>
      <w:lang w:val="en-US"/>
    </w:rPr>
  </w:style>
  <w:style w:type="paragraph" w:customStyle="1" w:styleId="211">
    <w:name w:val="Основной текст с отступом 21"/>
    <w:basedOn w:val="a"/>
    <w:pPr>
      <w:ind w:firstLine="708"/>
      <w:jc w:val="both"/>
    </w:pPr>
  </w:style>
  <w:style w:type="paragraph" w:styleId="af">
    <w:name w:val="Balloon Text"/>
    <w:basedOn w:val="a"/>
    <w:rPr>
      <w:rFonts w:ascii="Tahoma" w:hAnsi="Tahoma" w:cs="Tahoma"/>
      <w:sz w:val="16"/>
      <w:szCs w:val="16"/>
    </w:rPr>
  </w:style>
  <w:style w:type="paragraph" w:customStyle="1" w:styleId="ConsNormal">
    <w:name w:val="ConsNormal"/>
    <w:pPr>
      <w:widowControl w:val="0"/>
      <w:suppressAutoHyphens/>
      <w:ind w:right="19772" w:firstLine="720"/>
    </w:pPr>
    <w:rPr>
      <w:rFonts w:ascii="Arial" w:hAnsi="Arial" w:cs="Arial"/>
      <w:color w:val="00000A"/>
      <w:lang w:eastAsia="zh-CN"/>
    </w:rPr>
  </w:style>
  <w:style w:type="paragraph" w:customStyle="1" w:styleId="af0">
    <w:name w:val="Содержимое таблицы"/>
    <w:basedOn w:val="a"/>
    <w:pPr>
      <w:suppressLineNumbers/>
    </w:pPr>
  </w:style>
  <w:style w:type="paragraph" w:customStyle="1" w:styleId="af1">
    <w:name w:val="Заголовок таблицы"/>
    <w:basedOn w:val="af0"/>
    <w:pPr>
      <w:jc w:val="center"/>
    </w:pPr>
    <w:rPr>
      <w:b/>
      <w:bCs/>
    </w:rPr>
  </w:style>
  <w:style w:type="paragraph" w:customStyle="1" w:styleId="af2">
    <w:name w:val="Содержимое врезки"/>
    <w:basedOn w:val="a"/>
  </w:style>
  <w:style w:type="paragraph" w:styleId="32">
    <w:name w:val="Body Text Indent 3"/>
    <w:basedOn w:val="a"/>
    <w:link w:val="33"/>
    <w:uiPriority w:val="99"/>
    <w:unhideWhenUsed/>
    <w:pPr>
      <w:spacing w:after="120"/>
      <w:ind w:left="283"/>
    </w:pPr>
    <w:rPr>
      <w:sz w:val="16"/>
      <w:szCs w:val="16"/>
    </w:rPr>
  </w:style>
  <w:style w:type="character" w:customStyle="1" w:styleId="33">
    <w:name w:val="Основной текст с отступом 3 Знак"/>
    <w:link w:val="32"/>
    <w:uiPriority w:val="99"/>
    <w:rPr>
      <w:sz w:val="16"/>
      <w:szCs w:val="16"/>
      <w:lang w:eastAsia="zh-CN"/>
    </w:rPr>
  </w:style>
  <w:style w:type="paragraph" w:styleId="af3">
    <w:name w:val="Normal (Web)"/>
    <w:basedOn w:val="a"/>
    <w:uiPriority w:val="99"/>
    <w:semiHidden/>
    <w:unhideWhenUsed/>
    <w:pPr>
      <w:suppressAutoHyphens w:val="0"/>
      <w:spacing w:before="100" w:beforeAutospacing="1" w:after="100" w:afterAutospacing="1"/>
    </w:pPr>
    <w:rPr>
      <w:lang w:eastAsia="ru-RU"/>
    </w:rPr>
  </w:style>
  <w:style w:type="paragraph" w:customStyle="1" w:styleId="Default">
    <w:name w:val="Default"/>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7771">
      <w:bodyDiv w:val="1"/>
      <w:marLeft w:val="0"/>
      <w:marRight w:val="0"/>
      <w:marTop w:val="0"/>
      <w:marBottom w:val="0"/>
      <w:divBdr>
        <w:top w:val="none" w:sz="0" w:space="0" w:color="auto"/>
        <w:left w:val="none" w:sz="0" w:space="0" w:color="auto"/>
        <w:bottom w:val="none" w:sz="0" w:space="0" w:color="auto"/>
        <w:right w:val="none" w:sz="0" w:space="0" w:color="auto"/>
      </w:divBdr>
    </w:div>
    <w:div w:id="39941312">
      <w:bodyDiv w:val="1"/>
      <w:marLeft w:val="0"/>
      <w:marRight w:val="0"/>
      <w:marTop w:val="0"/>
      <w:marBottom w:val="0"/>
      <w:divBdr>
        <w:top w:val="none" w:sz="0" w:space="0" w:color="auto"/>
        <w:left w:val="none" w:sz="0" w:space="0" w:color="auto"/>
        <w:bottom w:val="none" w:sz="0" w:space="0" w:color="auto"/>
        <w:right w:val="none" w:sz="0" w:space="0" w:color="auto"/>
      </w:divBdr>
    </w:div>
    <w:div w:id="1741370233">
      <w:bodyDiv w:val="1"/>
      <w:marLeft w:val="0"/>
      <w:marRight w:val="0"/>
      <w:marTop w:val="0"/>
      <w:marBottom w:val="0"/>
      <w:divBdr>
        <w:top w:val="none" w:sz="0" w:space="0" w:color="auto"/>
        <w:left w:val="none" w:sz="0" w:space="0" w:color="auto"/>
        <w:bottom w:val="none" w:sz="0" w:space="0" w:color="auto"/>
        <w:right w:val="none" w:sz="0" w:space="0" w:color="auto"/>
      </w:divBdr>
    </w:div>
    <w:div w:id="205812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2453/886577905315979b26c9032d79cb911cc8fa7e69/"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p_del@rgups.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ultant.ru/document/cons_doc_LAW_331074/c68b95fe21383d322ccb40aefb0407782166052a/" TargetMode="External"/><Relationship Id="rId4" Type="http://schemas.openxmlformats.org/officeDocument/2006/relationships/settings" Target="settings.xml"/><Relationship Id="rId9" Type="http://schemas.openxmlformats.org/officeDocument/2006/relationships/hyperlink" Target="http://www.consultant.ru/document/cons_doc_LAW_331074/c68b95fe21383d322ccb40aefb0407782166052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D296E-C28E-4772-AA25-B71882EAC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2435</Words>
  <Characters>13885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№23/07-КИСМ</vt:lpstr>
    </vt:vector>
  </TitlesOfParts>
  <Company/>
  <LinksUpToDate>false</LinksUpToDate>
  <CharactersWithSpaces>16288</CharactersWithSpaces>
  <SharedDoc>false</SharedDoc>
  <HLinks>
    <vt:vector size="24" baseType="variant">
      <vt:variant>
        <vt:i4>2162740</vt:i4>
      </vt:variant>
      <vt:variant>
        <vt:i4>9</vt:i4>
      </vt:variant>
      <vt:variant>
        <vt:i4>0</vt:i4>
      </vt:variant>
      <vt:variant>
        <vt:i4>5</vt:i4>
      </vt:variant>
      <vt:variant>
        <vt:lpwstr>mailto:up_del@rgups.ru</vt:lpwstr>
      </vt:variant>
      <vt:variant>
        <vt:lpwstr/>
      </vt:variant>
      <vt:variant>
        <vt:i4>6619214</vt:i4>
      </vt:variant>
      <vt:variant>
        <vt:i4>6</vt:i4>
      </vt:variant>
      <vt:variant>
        <vt:i4>0</vt:i4>
      </vt:variant>
      <vt:variant>
        <vt:i4>5</vt:i4>
      </vt:variant>
      <vt:variant>
        <vt:lpwstr>http://www.consultant.ru/document/cons_doc_LAW_331074/c68b95fe21383d322ccb40aefb0407782166052a/</vt:lpwstr>
      </vt:variant>
      <vt:variant>
        <vt:lpwstr>dst100018</vt:lpwstr>
      </vt:variant>
      <vt:variant>
        <vt:i4>6619214</vt:i4>
      </vt:variant>
      <vt:variant>
        <vt:i4>3</vt:i4>
      </vt:variant>
      <vt:variant>
        <vt:i4>0</vt:i4>
      </vt:variant>
      <vt:variant>
        <vt:i4>5</vt:i4>
      </vt:variant>
      <vt:variant>
        <vt:lpwstr>http://www.consultant.ru/document/cons_doc_LAW_331074/c68b95fe21383d322ccb40aefb0407782166052a/</vt:lpwstr>
      </vt:variant>
      <vt:variant>
        <vt:lpwstr>dst100012</vt:lpwstr>
      </vt:variant>
      <vt:variant>
        <vt:i4>7012363</vt:i4>
      </vt:variant>
      <vt:variant>
        <vt:i4>0</vt:i4>
      </vt:variant>
      <vt:variant>
        <vt:i4>0</vt:i4>
      </vt:variant>
      <vt:variant>
        <vt:i4>5</vt:i4>
      </vt:variant>
      <vt:variant>
        <vt:lpwstr>http://www.consultant.ru/document/cons_doc_LAW_12453/886577905315979b26c9032d79cb911cc8fa7e69/</vt:lpwstr>
      </vt:variant>
      <vt:variant>
        <vt:lpwstr>dst100163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№23/07-КИСМ</dc:title>
  <dc:subject/>
  <dc:creator>VVD</dc:creator>
  <cp:keywords/>
  <cp:lastModifiedBy>Гордеева Екатерина Валерьевна</cp:lastModifiedBy>
  <cp:revision>3</cp:revision>
  <cp:lastPrinted>2025-10-21T14:18:00Z</cp:lastPrinted>
  <dcterms:created xsi:type="dcterms:W3CDTF">2026-06-15T07:54:00Z</dcterms:created>
  <dcterms:modified xsi:type="dcterms:W3CDTF">2026-06-16T07:27:00Z</dcterms:modified>
</cp:coreProperties>
</file>