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ОБОСНОВАНИЕ ЦЕНЫ КОНТРАКТА (МЕТОДИКА РАСЧЕТА СТАРТОВОЙ ЦЕНЫ)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tbl>
      <w:tblPr>
        <w:tblpPr w:horzAnchor="text" w:tblpX="-323" w:vertAnchor="text" w:tblpY="1" w:leftFromText="180" w:topFromText="0" w:rightFromText="180" w:bottomFromText="0"/>
        <w:tblW w:w="10290" w:type="dxa"/>
        <w:tblLayout w:type="fixed"/>
        <w:tblLook w:val="04A0" w:firstRow="1" w:lastRow="0" w:firstColumn="1" w:lastColumn="0" w:noHBand="0" w:noVBand="1"/>
      </w:tblPr>
      <w:tblGrid>
        <w:gridCol w:w="465"/>
        <w:gridCol w:w="1230"/>
        <w:gridCol w:w="905"/>
        <w:gridCol w:w="484"/>
        <w:gridCol w:w="380"/>
        <w:gridCol w:w="1153"/>
        <w:gridCol w:w="1161"/>
        <w:gridCol w:w="1130"/>
        <w:gridCol w:w="1134"/>
        <w:gridCol w:w="1092"/>
        <w:gridCol w:w="1156"/>
      </w:tblGrid>
      <w:tr>
        <w:tblPrEx/>
        <w:trPr>
          <w:trHeight w:val="30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Объект закупки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d0d0d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d0d0d"/>
                <w:sz w:val="18"/>
                <w:szCs w:val="18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</w:rPr>
              <w:t xml:space="preserve">а поставку 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</w:rPr>
              <w:t xml:space="preserve">объективов для 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</w:rPr>
              <w:t xml:space="preserve">фотоаппарат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d0d0d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92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Используемый метод опред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еления НМЦК с обоснованием: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Метод сопоставимых рыночных цен (анализа рынка), данный метод определения НМЦК является приоритетным, выбран в соответствии с ч. 6 ст. 22 Федерального закона от 05.04.2013 № 44-ФЗ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 контрактной системе в сфере закупок товаров,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работ, услуг для обеспечения государственных и муниципальных нужд» и разделом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олнителем), утвержденных приказом Минэкономразвития России от 02.10.2013 № 567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Расчет цены Контракта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82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ind w:left="-115" w:right="-10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1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товара/работы/услуги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4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КС-2-КП/232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25.05.2026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4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КС-2-КП/236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25.05.2026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8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КС-2-КП/237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от25 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91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ind w:left="-89" w:right="-9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35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20"/>
                <w:szCs w:val="20"/>
                <w:shd w:val="clear" w:color="auto" w:fill="ffffff"/>
              </w:rPr>
              <w:t xml:space="preserve">Объектив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Cs w:val="24"/>
              </w:rPr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  <w:highlight w:val="none"/>
              </w:rPr>
            </w:r>
          </w:p>
          <w:p>
            <w:pPr>
              <w:contextualSpacing/>
              <w:spacing w:line="240" w:lineRule="auto"/>
              <w:rPr>
                <w:rFonts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20"/>
                <w:szCs w:val="20"/>
              </w:rPr>
              <w:t xml:space="preserve">КТРУ: 26.70.11.110-00000004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</w:p>
          <w:p>
            <w:pPr>
              <w:contextualSpacing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0" w:type="dxa"/>
            <w:vAlign w:val="top"/>
            <w:textDirection w:val="lrTb"/>
            <w:noWrap w:val="false"/>
          </w:tcPr>
          <w:p>
            <w:pPr>
              <w:contextualSpacing w:val="0"/>
              <w:spacing w:after="0" w:line="283" w:lineRule="atLeas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283 471,33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283 471,33</w:t>
            </w:r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284 471,33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284 471,33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285 000,00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35" w:type="dxa"/>
            <w:vMerge w:val="restart"/>
            <w:textDirection w:val="lrTb"/>
            <w:noWrap w:val="false"/>
          </w:tcPr>
          <w:p>
            <w:pPr>
              <w:contextualSpacing/>
              <w:spacing w:line="283" w:lineRule="atLeast"/>
              <w:rPr>
                <w:rFonts w:ascii="Times New Roman" w:hAnsi="Times New Roman" w:cs="Times New Roman"/>
                <w:spacing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20"/>
                <w:szCs w:val="20"/>
                <w:shd w:val="clear" w:color="auto" w:fill="ffffff"/>
              </w:rPr>
              <w:t xml:space="preserve">Объектив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contextualSpacing/>
              <w:spacing w:line="28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20"/>
                <w:szCs w:val="20"/>
              </w:rPr>
              <w:t xml:space="preserve">КТРУ: 26.70.11.110-00000004.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20"/>
                <w:szCs w:val="20"/>
                <w:highlight w:val="none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0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spacing w:after="0" w:line="283" w:lineRule="atLeas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312 665,67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312 665,67</w:t>
            </w:r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313 665,67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313 665,67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314 000,00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9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2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  <w:t xml:space="preserve">596 137,00</w:t>
            </w:r>
            <w:r>
              <w:rPr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598 137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599 000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auto" w:sz="4" w:space="0"/>
            </w:tcBorders>
            <w:tcW w:w="10290" w:type="dxa"/>
            <w:textDirection w:val="lrTb"/>
            <w:noWrap w:val="false"/>
          </w:tcPr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Ценовые предложения получены посредством размещения запроса цен в единой информационной системе в сфере закупок (ЕИС) (https://zakupki.gov.ru). 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нализ рынка произведен и обоснование начальной (максимальной) цены контракта подготовлено </w:t>
              <w:br/>
              <w:t xml:space="preserve">на основании служебной записки директора  департамента информационной политики Назарова Г.В. </w:t>
              <w:br/>
              <w:t xml:space="preserve">от 20.05.2026 года № СЗ-ОПИМ-57.   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595"/>
              <w:jc w:val="left"/>
              <w:spacing w:after="0" w:line="240" w:lineRule="auto"/>
              <w:rPr>
                <w:rFonts w:ascii="Times New Roman" w:hAnsi="Times New Roman" w:eastAsia="TimesET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учетом принципа эффективности использования бюджетных средств и разъяснений в письме Министерства экономического развития Российской Федерации от 26 октября 2015 года № ОГ-Д28-13651, закупка осуществляется  по п. 4 ч. 1 ст. 93 Федерального закона "О контр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актной системе в сфере закупок товаров, работ, услуг для обеспечения государственных и муниципальных нужд" от 05.04.2013 № 44-ФЗ по цене и характеристикам, предложенными Источником № 1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ET" w:cs="Times New Roman"/>
                <w:lang w:eastAsia="ar-SA"/>
              </w:rPr>
              <w:t xml:space="preserve">при соблюдении следующего условия:</w:t>
            </w:r>
            <w:r>
              <w:rPr>
                <w:rFonts w:ascii="Times New Roman" w:hAnsi="Times New Roman" w:eastAsia="TimesET" w:cs="Times New Roman"/>
                <w:lang w:eastAsia="ar-SA"/>
              </w:rPr>
            </w:r>
            <w:r>
              <w:rPr>
                <w:rFonts w:ascii="Times New Roman" w:hAnsi="Times New Roman" w:eastAsia="TimesET" w:cs="Times New Roman"/>
                <w:lang w:eastAsia="ar-SA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закупки с определенным участником + НМЦК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712"/>
              <w:numPr>
                <w:ilvl w:val="0"/>
                <w:numId w:val="1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после проверки НМЦК посредством проведения Закупочной сессии на Официальном сайте единого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агрегатора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торговли (ЕАТ) (https://agregatoreat.ru) в случае отсутствия Победителя</w:t>
            </w:r>
            <w:r>
              <w:rPr>
                <w:rStyle w:val="857"/>
                <w:rFonts w:ascii="Times New Roman" w:hAnsi="Times New Roman" w:eastAsia="Times New Roman" w:cs="Times New Roman"/>
                <w:highlight w:val="white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 результатам формирования Итогового протокола такой сессии 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 1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lang w:val="en-US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Закупочной сессии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</w:p>
          <w:p>
            <w:pPr>
              <w:pStyle w:val="712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 случае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отсутствия в Итоговом протоколе сведений о Победителе Закупочной</w:t>
            </w:r>
            <w:r>
              <w:rPr>
                <w:rFonts w:ascii="Times New Roman" w:hAnsi="Times New Roman" w:eastAsia="Times New Roman" w:cs="Times New Roman"/>
              </w:rPr>
              <w:t xml:space="preserve"> сессии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№1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highlight w:val="yellow"/>
                <w:lang w:eastAsia="ru-RU"/>
              </w:rPr>
              <w:t xml:space="preserve"> 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Консультант по закупкам</w:t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                        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.В. Чалова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284" w:right="567" w:bottom="28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ET">
    <w:panose1 w:val="05050102010205020202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55"/>
        <w:ind w:left="-283"/>
        <w:rPr>
          <w:rFonts w:ascii="Times New Roman" w:hAnsi="Times New Roman" w:cs="Times New Roman"/>
        </w:rPr>
      </w:pPr>
      <w:r>
        <w:rPr>
          <w:rStyle w:val="857"/>
          <w:rFonts w:ascii="Times New Roman" w:hAnsi="Times New Roman" w:eastAsia="Times New Roman" w:cs="Times New Roman"/>
          <w:vertAlign w:val="baseline"/>
        </w:rPr>
        <w:t xml:space="preserve">  </w:t>
      </w:r>
      <w:r>
        <w:rPr>
          <w:rStyle w:val="857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Победитель Закупочной сессии – участник закупки, имеющий лучшее ценовое предложение из указанных в Итоговом протоколе.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674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676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78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79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1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basedOn w:val="700"/>
    <w:link w:val="714"/>
    <w:uiPriority w:val="10"/>
    <w:rPr>
      <w:sz w:val="48"/>
      <w:szCs w:val="48"/>
    </w:rPr>
  </w:style>
  <w:style w:type="character" w:styleId="683">
    <w:name w:val="Subtitle Char"/>
    <w:basedOn w:val="700"/>
    <w:link w:val="716"/>
    <w:uiPriority w:val="11"/>
    <w:rPr>
      <w:sz w:val="24"/>
      <w:szCs w:val="24"/>
    </w:rPr>
  </w:style>
  <w:style w:type="character" w:styleId="684">
    <w:name w:val="Quote Char"/>
    <w:link w:val="718"/>
    <w:uiPriority w:val="29"/>
    <w:rPr>
      <w:i/>
    </w:rPr>
  </w:style>
  <w:style w:type="character" w:styleId="685">
    <w:name w:val="Intense Quote Char"/>
    <w:link w:val="720"/>
    <w:uiPriority w:val="30"/>
    <w:rPr>
      <w:i/>
    </w:rPr>
  </w:style>
  <w:style w:type="character" w:styleId="686">
    <w:name w:val="Header Char"/>
    <w:basedOn w:val="700"/>
    <w:link w:val="722"/>
    <w:uiPriority w:val="99"/>
  </w:style>
  <w:style w:type="character" w:styleId="687">
    <w:name w:val="Caption Char"/>
    <w:basedOn w:val="726"/>
    <w:link w:val="724"/>
    <w:uiPriority w:val="99"/>
  </w:style>
  <w:style w:type="character" w:styleId="688">
    <w:name w:val="Footnote Text Char"/>
    <w:link w:val="855"/>
    <w:uiPriority w:val="99"/>
    <w:rPr>
      <w:sz w:val="18"/>
    </w:rPr>
  </w:style>
  <w:style w:type="character" w:styleId="689">
    <w:name w:val="Endnote Text Char"/>
    <w:link w:val="858"/>
    <w:uiPriority w:val="99"/>
    <w:rPr>
      <w:sz w:val="20"/>
    </w:rPr>
  </w:style>
  <w:style w:type="paragraph" w:styleId="690" w:default="1">
    <w:name w:val="Normal"/>
    <w:qFormat/>
  </w:style>
  <w:style w:type="paragraph" w:styleId="691">
    <w:name w:val="Heading 1"/>
    <w:basedOn w:val="690"/>
    <w:next w:val="69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90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after="0" w:line="240" w:lineRule="auto"/>
    </w:pPr>
  </w:style>
  <w:style w:type="paragraph" w:styleId="714">
    <w:name w:val="Title"/>
    <w:basedOn w:val="690"/>
    <w:next w:val="690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basedOn w:val="700"/>
    <w:link w:val="714"/>
    <w:uiPriority w:val="10"/>
    <w:rPr>
      <w:sz w:val="48"/>
      <w:szCs w:val="48"/>
    </w:rPr>
  </w:style>
  <w:style w:type="paragraph" w:styleId="716">
    <w:name w:val="Subtitle"/>
    <w:basedOn w:val="690"/>
    <w:next w:val="690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 w:customStyle="1">
    <w:name w:val="Подзаголовок Знак"/>
    <w:basedOn w:val="700"/>
    <w:link w:val="716"/>
    <w:uiPriority w:val="11"/>
    <w:rPr>
      <w:sz w:val="24"/>
      <w:szCs w:val="24"/>
    </w:rPr>
  </w:style>
  <w:style w:type="paragraph" w:styleId="718">
    <w:name w:val="Quote"/>
    <w:basedOn w:val="690"/>
    <w:next w:val="690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0"/>
    <w:next w:val="690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0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Верхний колонтитул Знак"/>
    <w:basedOn w:val="700"/>
    <w:link w:val="722"/>
    <w:uiPriority w:val="99"/>
  </w:style>
  <w:style w:type="paragraph" w:styleId="724">
    <w:name w:val="Footer"/>
    <w:basedOn w:val="690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basedOn w:val="700"/>
    <w:uiPriority w:val="99"/>
  </w:style>
  <w:style w:type="paragraph" w:styleId="726">
    <w:name w:val="Caption"/>
    <w:basedOn w:val="690"/>
    <w:next w:val="690"/>
    <w:link w:val="68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7" w:customStyle="1">
    <w:name w:val="Нижний колонтитул Знак"/>
    <w:link w:val="724"/>
    <w:uiPriority w:val="99"/>
  </w:style>
  <w:style w:type="table" w:styleId="728">
    <w:name w:val="Table Grid"/>
    <w:basedOn w:val="70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9" w:customStyle="1">
    <w:name w:val="Table Grid Light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>
    <w:name w:val="Plain Table 1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0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8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9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0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1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2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2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3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4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5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1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2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3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4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5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5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6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7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8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9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0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2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3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4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5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6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7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9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0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1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2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3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563c1" w:themeColor="hyperlink"/>
      <w:u w:val="single"/>
    </w:rPr>
  </w:style>
  <w:style w:type="paragraph" w:styleId="855">
    <w:name w:val="footnote text"/>
    <w:basedOn w:val="690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0"/>
    <w:uiPriority w:val="99"/>
    <w:unhideWhenUsed/>
    <w:rPr>
      <w:vertAlign w:val="superscript"/>
    </w:rPr>
  </w:style>
  <w:style w:type="paragraph" w:styleId="858">
    <w:name w:val="endnote text"/>
    <w:basedOn w:val="690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0"/>
    <w:uiPriority w:val="99"/>
    <w:semiHidden/>
    <w:unhideWhenUsed/>
    <w:rPr>
      <w:vertAlign w:val="superscript"/>
    </w:rPr>
  </w:style>
  <w:style w:type="paragraph" w:styleId="861">
    <w:name w:val="toc 1"/>
    <w:basedOn w:val="690"/>
    <w:next w:val="690"/>
    <w:uiPriority w:val="39"/>
    <w:unhideWhenUsed/>
    <w:pPr>
      <w:spacing w:after="57"/>
    </w:pPr>
  </w:style>
  <w:style w:type="paragraph" w:styleId="862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63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4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5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6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7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8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9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0"/>
    <w:next w:val="690"/>
    <w:uiPriority w:val="99"/>
    <w:unhideWhenUsed/>
    <w:pPr>
      <w:spacing w:after="0"/>
    </w:pPr>
  </w:style>
  <w:style w:type="paragraph" w:styleId="872">
    <w:name w:val="Balloon Text"/>
    <w:basedOn w:val="690"/>
    <w:link w:val="87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basedOn w:val="700"/>
    <w:link w:val="87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Теселкин Владимир Андреевич</dc:creator>
  <cp:keywords/>
  <dc:description/>
  <cp:lastModifiedBy>chalovamv</cp:lastModifiedBy>
  <cp:revision>51</cp:revision>
  <dcterms:created xsi:type="dcterms:W3CDTF">2023-07-23T09:31:00Z</dcterms:created>
  <dcterms:modified xsi:type="dcterms:W3CDTF">2026-05-25T15:37:45Z</dcterms:modified>
</cp:coreProperties>
</file>