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F1F" w:rsidRPr="00456CAF" w:rsidRDefault="005D1F1F" w:rsidP="00456CAF">
      <w:pPr>
        <w:spacing w:after="0"/>
        <w:jc w:val="center"/>
      </w:pPr>
      <w:r w:rsidRPr="000F6779">
        <w:rPr>
          <w:rFonts w:ascii="Times New Roman" w:hAnsi="Times New Roman"/>
          <w:b/>
          <w:caps/>
          <w:sz w:val="21"/>
          <w:szCs w:val="21"/>
        </w:rPr>
        <w:t xml:space="preserve">ОБОСНОВАНИЕ </w:t>
      </w:r>
      <w:r w:rsidRPr="00F969F6">
        <w:rPr>
          <w:rFonts w:ascii="Times New Roman" w:hAnsi="Times New Roman"/>
          <w:b/>
          <w:caps/>
          <w:sz w:val="21"/>
          <w:szCs w:val="21"/>
        </w:rPr>
        <w:t>цены контракта, заключаемого с единственным поставщиком (подрядчиком, исполнителем)</w:t>
      </w:r>
    </w:p>
    <w:p w:rsidR="008C2964" w:rsidRPr="000F6779" w:rsidRDefault="006E2DF8" w:rsidP="008C2964">
      <w:pPr>
        <w:suppressAutoHyphens w:val="0"/>
        <w:spacing w:after="0" w:line="240" w:lineRule="auto"/>
        <w:ind w:left="-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0F6779">
        <w:rPr>
          <w:rFonts w:ascii="Times New Roman" w:hAnsi="Times New Roman" w:cs="Times New Roman"/>
          <w:b/>
          <w:sz w:val="21"/>
          <w:szCs w:val="21"/>
          <w:lang w:eastAsia="en-US"/>
        </w:rPr>
        <w:t>для нужд</w:t>
      </w:r>
      <w:r w:rsidR="00722D17" w:rsidRPr="000F6779">
        <w:rPr>
          <w:rFonts w:ascii="Times New Roman" w:hAnsi="Times New Roman" w:cs="Times New Roman"/>
          <w:b/>
          <w:sz w:val="21"/>
          <w:szCs w:val="21"/>
          <w:lang w:eastAsia="en-US"/>
        </w:rPr>
        <w:t xml:space="preserve"> </w:t>
      </w:r>
      <w:r w:rsidR="008C2964" w:rsidRPr="000F677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«Приморско</w:t>
      </w:r>
      <w:r w:rsidR="00722D17" w:rsidRPr="000F677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го</w:t>
      </w:r>
      <w:r w:rsidR="008C2964" w:rsidRPr="000F677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океанариум</w:t>
      </w:r>
      <w:r w:rsidR="00722D17" w:rsidRPr="000F677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а</w:t>
      </w:r>
      <w:r w:rsidR="008C2964" w:rsidRPr="000F677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» - филиал</w:t>
      </w:r>
      <w:r w:rsidR="00722D17" w:rsidRPr="000F677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а</w:t>
      </w:r>
      <w:r w:rsidR="008C2964" w:rsidRPr="000F677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ННЦМБ ДВО РАН</w:t>
      </w:r>
    </w:p>
    <w:p w:rsidR="002F395A" w:rsidRDefault="002F395A" w:rsidP="004D1713">
      <w:pPr>
        <w:suppressAutoHyphens w:val="0"/>
        <w:spacing w:after="0" w:line="240" w:lineRule="auto"/>
        <w:jc w:val="both"/>
        <w:rPr>
          <w:rFonts w:ascii="Times New Roman" w:eastAsiaTheme="minorHAnsi" w:hAnsi="Times New Roman" w:cstheme="minorBidi"/>
          <w:bCs/>
          <w:sz w:val="21"/>
          <w:szCs w:val="21"/>
        </w:rPr>
      </w:pPr>
    </w:p>
    <w:p w:rsidR="002F395A" w:rsidRDefault="002F395A" w:rsidP="00211AA7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bCs/>
          <w:sz w:val="21"/>
          <w:szCs w:val="21"/>
        </w:rPr>
      </w:pPr>
      <w:r w:rsidRPr="002F395A">
        <w:rPr>
          <w:rFonts w:ascii="Times New Roman" w:eastAsiaTheme="minorHAnsi" w:hAnsi="Times New Roman" w:cstheme="minorBidi"/>
          <w:b/>
          <w:bCs/>
          <w:sz w:val="21"/>
          <w:szCs w:val="21"/>
        </w:rPr>
        <w:t>Наименование объекта закупки:</w:t>
      </w:r>
      <w:r w:rsidRPr="002F395A">
        <w:rPr>
          <w:rFonts w:ascii="Times New Roman" w:eastAsiaTheme="minorHAnsi" w:hAnsi="Times New Roman" w:cstheme="minorBidi"/>
          <w:bCs/>
          <w:sz w:val="21"/>
          <w:szCs w:val="21"/>
        </w:rPr>
        <w:t xml:space="preserve"> поставка </w:t>
      </w:r>
      <w:r>
        <w:rPr>
          <w:rFonts w:ascii="Times New Roman" w:eastAsiaTheme="minorHAnsi" w:hAnsi="Times New Roman" w:cstheme="minorBidi"/>
          <w:bCs/>
          <w:sz w:val="21"/>
          <w:szCs w:val="21"/>
        </w:rPr>
        <w:t>лекарственных препаратов.</w:t>
      </w:r>
      <w:r w:rsidRPr="002F395A">
        <w:rPr>
          <w:rFonts w:ascii="Times New Roman" w:eastAsiaTheme="minorHAnsi" w:hAnsi="Times New Roman" w:cstheme="minorBidi"/>
          <w:bCs/>
          <w:sz w:val="21"/>
          <w:szCs w:val="21"/>
        </w:rPr>
        <w:t xml:space="preserve"> </w:t>
      </w:r>
    </w:p>
    <w:p w:rsidR="008E35A4" w:rsidRPr="008E35A4" w:rsidRDefault="008E35A4" w:rsidP="008E35A4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1"/>
          <w:szCs w:val="21"/>
        </w:rPr>
      </w:pPr>
      <w:r w:rsidRPr="008E35A4">
        <w:rPr>
          <w:rFonts w:ascii="Times New Roman" w:eastAsiaTheme="minorHAnsi" w:hAnsi="Times New Roman" w:cstheme="minorBidi"/>
          <w:sz w:val="21"/>
          <w:szCs w:val="21"/>
        </w:rPr>
        <w:t>В соответствие с Постановлением Правительства РФ от 23.12.2024 № 1875 национальн</w:t>
      </w:r>
      <w:r>
        <w:rPr>
          <w:rFonts w:ascii="Times New Roman" w:eastAsiaTheme="minorHAnsi" w:hAnsi="Times New Roman" w:cstheme="minorBidi"/>
          <w:sz w:val="21"/>
          <w:szCs w:val="21"/>
        </w:rPr>
        <w:t xml:space="preserve">ый режим (ОКПД 2 21.20.10.262, </w:t>
      </w:r>
      <w:r w:rsidRPr="008E35A4">
        <w:rPr>
          <w:rFonts w:ascii="Times New Roman" w:eastAsiaTheme="minorHAnsi" w:hAnsi="Times New Roman" w:cstheme="minorBidi"/>
          <w:sz w:val="21"/>
          <w:szCs w:val="21"/>
        </w:rPr>
        <w:t>21.20.10.263, 21.20.10.158</w:t>
      </w:r>
      <w:proofErr w:type="gramStart"/>
      <w:r w:rsidRPr="008E35A4">
        <w:rPr>
          <w:rFonts w:ascii="Times New Roman" w:eastAsiaTheme="minorHAnsi" w:hAnsi="Times New Roman" w:cstheme="minorBidi"/>
          <w:sz w:val="21"/>
          <w:szCs w:val="21"/>
        </w:rPr>
        <w:t>,  21.20.10.190</w:t>
      </w:r>
      <w:proofErr w:type="gramEnd"/>
      <w:r w:rsidRPr="008E35A4">
        <w:rPr>
          <w:rFonts w:ascii="Times New Roman" w:eastAsiaTheme="minorHAnsi" w:hAnsi="Times New Roman" w:cstheme="minorBidi"/>
          <w:sz w:val="21"/>
          <w:szCs w:val="21"/>
        </w:rPr>
        <w:t>) – ОГРАНИЧЕНИЕ закупки товара по перечню согласно приложению № 2 (позиция 433).</w:t>
      </w:r>
    </w:p>
    <w:p w:rsidR="008E35A4" w:rsidRPr="008E35A4" w:rsidRDefault="008E35A4" w:rsidP="008E35A4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1"/>
          <w:szCs w:val="21"/>
        </w:rPr>
      </w:pPr>
      <w:r w:rsidRPr="008E35A4">
        <w:rPr>
          <w:rFonts w:ascii="Times New Roman" w:eastAsiaTheme="minorHAnsi" w:hAnsi="Times New Roman" w:cstheme="minorBidi"/>
          <w:sz w:val="21"/>
          <w:szCs w:val="21"/>
        </w:rPr>
        <w:t>Препараты ЖНВЛП.</w:t>
      </w:r>
    </w:p>
    <w:p w:rsidR="008E35A4" w:rsidRDefault="008E35A4" w:rsidP="008E35A4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1"/>
          <w:szCs w:val="21"/>
        </w:rPr>
      </w:pPr>
      <w:r w:rsidRPr="008E35A4">
        <w:rPr>
          <w:rFonts w:ascii="Times New Roman" w:eastAsiaTheme="minorHAnsi" w:hAnsi="Times New Roman" w:cstheme="minorBidi"/>
          <w:sz w:val="21"/>
          <w:szCs w:val="21"/>
        </w:rPr>
        <w:t xml:space="preserve">Источник финансирования Контракта – субсидии, выделяемые на выполнение государственного задания (КФО 4). </w:t>
      </w:r>
    </w:p>
    <w:p w:rsidR="008E35A4" w:rsidRPr="008E35A4" w:rsidRDefault="008E35A4" w:rsidP="008E35A4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1"/>
          <w:szCs w:val="21"/>
        </w:rPr>
      </w:pPr>
      <w:r w:rsidRPr="008E35A4">
        <w:rPr>
          <w:rFonts w:ascii="Times New Roman" w:eastAsiaTheme="minorHAnsi" w:hAnsi="Times New Roman" w:cstheme="minorBidi"/>
          <w:sz w:val="21"/>
          <w:szCs w:val="21"/>
        </w:rPr>
        <w:t>Декларируется факт отсутствия закупаемого товара в реестре российской промышленной продукции (РРПП) с характеристиками, соответс</w:t>
      </w:r>
      <w:r>
        <w:rPr>
          <w:rFonts w:ascii="Times New Roman" w:eastAsiaTheme="minorHAnsi" w:hAnsi="Times New Roman" w:cstheme="minorBidi"/>
          <w:sz w:val="21"/>
          <w:szCs w:val="21"/>
        </w:rPr>
        <w:t>твующими потребности Заказчика.</w:t>
      </w:r>
    </w:p>
    <w:p w:rsidR="008E35A4" w:rsidRPr="008E35A4" w:rsidRDefault="008E35A4" w:rsidP="008E35A4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1"/>
          <w:szCs w:val="21"/>
        </w:rPr>
      </w:pPr>
      <w:r w:rsidRPr="008E35A4">
        <w:rPr>
          <w:rFonts w:ascii="Times New Roman" w:eastAsiaTheme="minorHAnsi" w:hAnsi="Times New Roman" w:cstheme="minorBidi"/>
          <w:sz w:val="21"/>
          <w:szCs w:val="21"/>
        </w:rPr>
        <w:t xml:space="preserve">Постановление Правительства РФ от 23.12.2024 № 1875 </w:t>
      </w:r>
      <w:proofErr w:type="spellStart"/>
      <w:r w:rsidRPr="008E35A4">
        <w:rPr>
          <w:rFonts w:ascii="Times New Roman" w:eastAsiaTheme="minorHAnsi" w:hAnsi="Times New Roman" w:cstheme="minorBidi"/>
          <w:sz w:val="21"/>
          <w:szCs w:val="21"/>
        </w:rPr>
        <w:t>абз</w:t>
      </w:r>
      <w:proofErr w:type="spellEnd"/>
      <w:r w:rsidRPr="008E35A4">
        <w:rPr>
          <w:rFonts w:ascii="Times New Roman" w:eastAsiaTheme="minorHAnsi" w:hAnsi="Times New Roman" w:cstheme="minorBidi"/>
          <w:sz w:val="21"/>
          <w:szCs w:val="21"/>
        </w:rPr>
        <w:t>. 5 п/п. «г» п.7:</w:t>
      </w:r>
    </w:p>
    <w:p w:rsidR="008E35A4" w:rsidRPr="008E35A4" w:rsidRDefault="008E35A4" w:rsidP="008E35A4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1"/>
          <w:szCs w:val="21"/>
        </w:rPr>
      </w:pPr>
      <w:r w:rsidRPr="008E35A4">
        <w:rPr>
          <w:rFonts w:ascii="Times New Roman" w:eastAsiaTheme="minorHAnsi" w:hAnsi="Times New Roman" w:cstheme="minorBidi"/>
          <w:sz w:val="21"/>
          <w:szCs w:val="21"/>
        </w:rPr>
        <w:t>- особенности, предусмотренные п/п «в» п. 7 постановления, не применяются, если осуществляется закупка товаров, при которой начальная (максимальная) цена контракта (начальная (максимальная) цена договора) или цена контракта, заключаемого с единственным поставщиком (подрядчиком, исполнителем) (цена, заключаемого с единственным поставщиком (исполнителем, подрядчиком) договора), не превышает 1 млн. рублей и при этом ни одна из использованных при определении таких цен цена единицы товара не превышает 5 тыс. рублей.</w:t>
      </w:r>
    </w:p>
    <w:p w:rsidR="008E35A4" w:rsidRPr="008E35A4" w:rsidRDefault="008E35A4" w:rsidP="008E35A4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1"/>
          <w:szCs w:val="21"/>
        </w:rPr>
      </w:pPr>
      <w:r w:rsidRPr="008E35A4">
        <w:rPr>
          <w:rFonts w:ascii="Times New Roman" w:eastAsiaTheme="minorHAnsi" w:hAnsi="Times New Roman" w:cstheme="minorBidi"/>
          <w:sz w:val="21"/>
          <w:szCs w:val="21"/>
        </w:rPr>
        <w:t>При обосновании НМЦК, цена контракта, заключаемого с единственным поставщиком, определяется и обосновывается посредством применения метода сопоставимых рыночных цен (анализа рынка).</w:t>
      </w:r>
    </w:p>
    <w:p w:rsidR="008E35A4" w:rsidRPr="008E35A4" w:rsidRDefault="008E35A4" w:rsidP="008E35A4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1"/>
          <w:szCs w:val="21"/>
        </w:rPr>
      </w:pPr>
      <w:r w:rsidRPr="008E35A4">
        <w:rPr>
          <w:rFonts w:ascii="Times New Roman" w:eastAsiaTheme="minorHAnsi" w:hAnsi="Times New Roman" w:cstheme="minorBidi"/>
          <w:sz w:val="21"/>
          <w:szCs w:val="21"/>
        </w:rPr>
        <w:t xml:space="preserve">Метод сопоставимых рыночных цен (анализа рынка) заключается в установлении начальной (максимальной) цены контракта, цены контракта, заключаемого с единственным поставщиком,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 </w:t>
      </w:r>
    </w:p>
    <w:p w:rsidR="004D1713" w:rsidRDefault="008E35A4" w:rsidP="008E35A4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1"/>
          <w:szCs w:val="21"/>
        </w:rPr>
      </w:pPr>
      <w:r w:rsidRPr="008E35A4">
        <w:rPr>
          <w:rFonts w:ascii="Times New Roman" w:eastAsiaTheme="minorHAnsi" w:hAnsi="Times New Roman" w:cstheme="minorBidi"/>
          <w:sz w:val="21"/>
          <w:szCs w:val="21"/>
        </w:rPr>
        <w:t>Ценовая информация от любых поставщиков, обладающих опытом поставки соответствующих товаров.</w:t>
      </w:r>
      <w:r>
        <w:rPr>
          <w:rFonts w:ascii="Times New Roman" w:eastAsiaTheme="minorHAnsi" w:hAnsi="Times New Roman" w:cstheme="minorBidi"/>
          <w:sz w:val="21"/>
          <w:szCs w:val="21"/>
        </w:rPr>
        <w:t xml:space="preserve"> </w:t>
      </w:r>
    </w:p>
    <w:p w:rsidR="00DE0536" w:rsidRPr="000F6779" w:rsidRDefault="00DE0536" w:rsidP="004267AE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1"/>
          <w:szCs w:val="21"/>
        </w:rPr>
      </w:pPr>
      <w:r w:rsidRPr="000F6779">
        <w:rPr>
          <w:rFonts w:ascii="Times New Roman" w:eastAsiaTheme="minorHAnsi" w:hAnsi="Times New Roman" w:cstheme="minorBidi"/>
          <w:sz w:val="21"/>
          <w:szCs w:val="21"/>
        </w:rPr>
        <w:t>Получен</w:t>
      </w:r>
      <w:r w:rsidR="00270CDF" w:rsidRPr="000F6779">
        <w:rPr>
          <w:rFonts w:ascii="Times New Roman" w:eastAsiaTheme="minorHAnsi" w:hAnsi="Times New Roman" w:cstheme="minorBidi"/>
          <w:sz w:val="21"/>
          <w:szCs w:val="21"/>
        </w:rPr>
        <w:t>ы</w:t>
      </w:r>
      <w:r w:rsidRPr="000F6779">
        <w:rPr>
          <w:rFonts w:ascii="Times New Roman" w:eastAsiaTheme="minorHAnsi" w:hAnsi="Times New Roman" w:cstheme="minorBidi"/>
          <w:sz w:val="21"/>
          <w:szCs w:val="21"/>
        </w:rPr>
        <w:t xml:space="preserve"> коммерческ</w:t>
      </w:r>
      <w:r w:rsidR="00270CDF" w:rsidRPr="000F6779">
        <w:rPr>
          <w:rFonts w:ascii="Times New Roman" w:eastAsiaTheme="minorHAnsi" w:hAnsi="Times New Roman" w:cstheme="minorBidi"/>
          <w:sz w:val="21"/>
          <w:szCs w:val="21"/>
        </w:rPr>
        <w:t>ие</w:t>
      </w:r>
      <w:r w:rsidRPr="000F6779">
        <w:rPr>
          <w:rFonts w:ascii="Times New Roman" w:eastAsiaTheme="minorHAnsi" w:hAnsi="Times New Roman" w:cstheme="minorBidi"/>
          <w:sz w:val="21"/>
          <w:szCs w:val="21"/>
        </w:rPr>
        <w:t xml:space="preserve"> предложени</w:t>
      </w:r>
      <w:r w:rsidR="00270CDF" w:rsidRPr="000F6779">
        <w:rPr>
          <w:rFonts w:ascii="Times New Roman" w:eastAsiaTheme="minorHAnsi" w:hAnsi="Times New Roman" w:cstheme="minorBidi"/>
          <w:sz w:val="21"/>
          <w:szCs w:val="21"/>
        </w:rPr>
        <w:t xml:space="preserve">я </w:t>
      </w:r>
      <w:r w:rsidRPr="000F6779">
        <w:rPr>
          <w:rFonts w:ascii="Times New Roman" w:eastAsiaTheme="minorHAnsi" w:hAnsi="Times New Roman" w:cstheme="minorBidi"/>
          <w:sz w:val="21"/>
          <w:szCs w:val="21"/>
        </w:rPr>
        <w:t xml:space="preserve">с указанием цен на </w:t>
      </w:r>
      <w:r w:rsidR="000F6779" w:rsidRPr="000F6779">
        <w:rPr>
          <w:rFonts w:ascii="Times New Roman" w:eastAsiaTheme="minorHAnsi" w:hAnsi="Times New Roman" w:cstheme="minorBidi"/>
          <w:sz w:val="21"/>
          <w:szCs w:val="21"/>
        </w:rPr>
        <w:t>поставку товаров</w:t>
      </w:r>
      <w:r w:rsidRPr="000F6779">
        <w:rPr>
          <w:rFonts w:ascii="Times New Roman" w:eastAsiaTheme="minorHAnsi" w:hAnsi="Times New Roman" w:cstheme="minorBidi"/>
          <w:sz w:val="21"/>
          <w:szCs w:val="21"/>
        </w:rPr>
        <w:t>, установленн</w:t>
      </w:r>
      <w:r w:rsidR="000F6779" w:rsidRPr="000F6779">
        <w:rPr>
          <w:rFonts w:ascii="Times New Roman" w:eastAsiaTheme="minorHAnsi" w:hAnsi="Times New Roman" w:cstheme="minorBidi"/>
          <w:sz w:val="21"/>
          <w:szCs w:val="21"/>
        </w:rPr>
        <w:t>ых</w:t>
      </w:r>
      <w:r w:rsidRPr="000F6779">
        <w:rPr>
          <w:rFonts w:ascii="Times New Roman" w:eastAsiaTheme="minorHAnsi" w:hAnsi="Times New Roman" w:cstheme="minorBidi"/>
          <w:sz w:val="21"/>
          <w:szCs w:val="21"/>
        </w:rPr>
        <w:t xml:space="preserve"> описанием </w:t>
      </w:r>
      <w:r w:rsidR="00270CDF" w:rsidRPr="000F6779">
        <w:rPr>
          <w:rFonts w:ascii="Times New Roman" w:eastAsiaTheme="minorHAnsi" w:hAnsi="Times New Roman" w:cstheme="minorBidi"/>
          <w:sz w:val="21"/>
          <w:szCs w:val="21"/>
        </w:rPr>
        <w:t>предмета</w:t>
      </w:r>
      <w:r w:rsidRPr="000F6779">
        <w:rPr>
          <w:rFonts w:ascii="Times New Roman" w:eastAsiaTheme="minorHAnsi" w:hAnsi="Times New Roman" w:cstheme="minorBidi"/>
          <w:sz w:val="21"/>
          <w:szCs w:val="21"/>
        </w:rPr>
        <w:t xml:space="preserve"> закупки: </w:t>
      </w:r>
    </w:p>
    <w:p w:rsidR="00357227" w:rsidRPr="000F6779" w:rsidRDefault="00C95021" w:rsidP="00C03BEE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SimSun" w:hAnsi="Times New Roman" w:cs="Times New Roman"/>
          <w:sz w:val="21"/>
          <w:szCs w:val="21"/>
          <w:lang w:eastAsia="en-US"/>
        </w:rPr>
      </w:pPr>
      <w:r>
        <w:rPr>
          <w:rFonts w:ascii="Times New Roman" w:eastAsia="SimSun" w:hAnsi="Times New Roman" w:cs="Times New Roman"/>
          <w:sz w:val="21"/>
          <w:szCs w:val="21"/>
          <w:lang w:eastAsia="en-US"/>
        </w:rPr>
        <w:t>Коммерческое предложение № 1.</w:t>
      </w:r>
    </w:p>
    <w:p w:rsidR="00357227" w:rsidRDefault="00C95021" w:rsidP="007E5A39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SimSun" w:hAnsi="Times New Roman" w:cs="Times New Roman"/>
          <w:sz w:val="21"/>
          <w:szCs w:val="21"/>
          <w:lang w:eastAsia="en-US"/>
        </w:rPr>
      </w:pPr>
      <w:r>
        <w:rPr>
          <w:rFonts w:ascii="Times New Roman" w:eastAsia="SimSun" w:hAnsi="Times New Roman" w:cs="Times New Roman"/>
          <w:sz w:val="21"/>
          <w:szCs w:val="21"/>
          <w:lang w:eastAsia="en-US"/>
        </w:rPr>
        <w:t>Коммерческое предложение № 2.</w:t>
      </w:r>
    </w:p>
    <w:p w:rsidR="004D1713" w:rsidRPr="004D1713" w:rsidRDefault="004D1713" w:rsidP="004D1713">
      <w:pPr>
        <w:suppressAutoHyphens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SimSun" w:hAnsi="Times New Roman" w:cs="Times New Roman"/>
          <w:sz w:val="21"/>
          <w:szCs w:val="21"/>
          <w:lang w:eastAsia="en-US"/>
        </w:rPr>
      </w:pPr>
    </w:p>
    <w:p w:rsidR="004D1713" w:rsidRPr="002027DB" w:rsidRDefault="004267AE" w:rsidP="004D1713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      </w:t>
      </w:r>
      <w:r w:rsidR="004D1713" w:rsidRPr="002027DB">
        <w:rPr>
          <w:rFonts w:ascii="Times New Roman" w:hAnsi="Times New Roman"/>
          <w:color w:val="000000"/>
          <w:sz w:val="21"/>
          <w:szCs w:val="21"/>
        </w:rPr>
        <w:t xml:space="preserve">Согласно п.3.19 приказа Министерства экономического развития РФ от 2 октября 2013 г. № 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исполнителем)», в  целях определения НМЦК методом сопоставимых рыночных цен (анализа рынка) рекомендуется использовать не </w:t>
      </w:r>
      <w:r w:rsidR="004D1713" w:rsidRPr="002027DB">
        <w:rPr>
          <w:rFonts w:ascii="Times New Roman" w:hAnsi="Times New Roman"/>
          <w:color w:val="000000"/>
          <w:sz w:val="21"/>
          <w:szCs w:val="21"/>
        </w:rPr>
        <w:lastRenderedPageBreak/>
        <w:t xml:space="preserve">менее трех цен товара, работы, услуги, предлагаемых различными поставщиками (подрядчиками, исполнителями). </w:t>
      </w:r>
    </w:p>
    <w:p w:rsidR="004D1713" w:rsidRPr="002027DB" w:rsidRDefault="004D1713" w:rsidP="004D1713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1"/>
          <w:szCs w:val="21"/>
        </w:rPr>
      </w:pPr>
      <w:r w:rsidRPr="002027DB">
        <w:rPr>
          <w:rFonts w:ascii="Times New Roman" w:hAnsi="Times New Roman"/>
          <w:color w:val="000000"/>
          <w:sz w:val="21"/>
          <w:szCs w:val="21"/>
        </w:rPr>
        <w:t xml:space="preserve">Расчет </w:t>
      </w:r>
      <w:r>
        <w:rPr>
          <w:rFonts w:ascii="Times New Roman" w:hAnsi="Times New Roman"/>
          <w:color w:val="000000"/>
          <w:sz w:val="21"/>
          <w:szCs w:val="21"/>
        </w:rPr>
        <w:t xml:space="preserve">цены </w:t>
      </w:r>
      <w:r w:rsidRPr="00D94431">
        <w:rPr>
          <w:rFonts w:ascii="Times New Roman" w:hAnsi="Times New Roman"/>
          <w:color w:val="000000"/>
          <w:sz w:val="21"/>
          <w:szCs w:val="21"/>
        </w:rPr>
        <w:t xml:space="preserve">контракта, заключаемого с единственным поставщиком (подрядчиком, исполнителем) </w:t>
      </w:r>
      <w:r w:rsidRPr="002027DB">
        <w:rPr>
          <w:rFonts w:ascii="Times New Roman" w:hAnsi="Times New Roman"/>
          <w:color w:val="000000"/>
          <w:sz w:val="21"/>
          <w:szCs w:val="21"/>
        </w:rPr>
        <w:t>путём использования метода сопоставимых рыночных цен невозможен, применяется иной метод.</w:t>
      </w:r>
    </w:p>
    <w:p w:rsidR="00DE0536" w:rsidRPr="009F5EEE" w:rsidRDefault="004267AE" w:rsidP="004D1713">
      <w:pPr>
        <w:suppressAutoHyphens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       </w:t>
      </w:r>
      <w:r w:rsidRPr="004267AE">
        <w:rPr>
          <w:rFonts w:ascii="Times New Roman" w:eastAsiaTheme="minorHAnsi" w:hAnsi="Times New Roman" w:cstheme="minorBidi"/>
          <w:sz w:val="21"/>
          <w:szCs w:val="21"/>
          <w:lang w:eastAsia="en-US"/>
        </w:rPr>
        <w:t>Расчет цены Контракта, заключаемого с единственным поставщи</w:t>
      </w:r>
      <w:r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ком (подрядчиком, исполнителем) </w:t>
      </w:r>
      <w:r w:rsidRPr="004267AE">
        <w:rPr>
          <w:rFonts w:ascii="Times New Roman" w:eastAsiaTheme="minorHAnsi" w:hAnsi="Times New Roman" w:cstheme="minorBidi"/>
          <w:sz w:val="21"/>
          <w:szCs w:val="21"/>
          <w:lang w:eastAsia="en-US"/>
        </w:rPr>
        <w:t>методом сопоставимых рыночных цен определяется по формуле:</w:t>
      </w:r>
    </w:p>
    <w:p w:rsidR="00DE0536" w:rsidRPr="009F5EEE" w:rsidRDefault="004267AE" w:rsidP="00DE0536">
      <w:pPr>
        <w:suppressAutoHyphens w:val="0"/>
        <w:spacing w:after="0" w:line="240" w:lineRule="auto"/>
        <w:ind w:left="142" w:firstLine="425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9F5EEE">
        <w:rPr>
          <w:rFonts w:eastAsiaTheme="minorHAnsi" w:cstheme="minorBidi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5FCA1031" wp14:editId="65DC0289">
            <wp:simplePos x="0" y="0"/>
            <wp:positionH relativeFrom="column">
              <wp:posOffset>724479</wp:posOffset>
            </wp:positionH>
            <wp:positionV relativeFrom="paragraph">
              <wp:posOffset>13970</wp:posOffset>
            </wp:positionV>
            <wp:extent cx="1202690" cy="393700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39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536" w:rsidRPr="009F5EEE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                                                  , где:</w:t>
      </w:r>
    </w:p>
    <w:p w:rsidR="00DE0536" w:rsidRPr="009F5EEE" w:rsidRDefault="00DE0536" w:rsidP="00DE0536">
      <w:pPr>
        <w:suppressAutoHyphens w:val="0"/>
        <w:spacing w:after="0" w:line="240" w:lineRule="auto"/>
        <w:ind w:left="142" w:firstLine="425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</w:p>
    <w:tbl>
      <w:tblPr>
        <w:tblW w:w="4698" w:type="pct"/>
        <w:tblInd w:w="250" w:type="dxa"/>
        <w:tblLook w:val="04A0" w:firstRow="1" w:lastRow="0" w:firstColumn="1" w:lastColumn="0" w:noHBand="0" w:noVBand="1"/>
      </w:tblPr>
      <w:tblGrid>
        <w:gridCol w:w="9322"/>
      </w:tblGrid>
      <w:tr w:rsidR="00DE0536" w:rsidRPr="009F5EEE" w:rsidTr="0009572F">
        <w:trPr>
          <w:trHeight w:val="304"/>
        </w:trPr>
        <w:tc>
          <w:tcPr>
            <w:tcW w:w="5000" w:type="pct"/>
            <w:vAlign w:val="center"/>
            <w:hideMark/>
          </w:tcPr>
          <w:p w:rsidR="004267AE" w:rsidRDefault="004267AE" w:rsidP="0009572F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</w:pPr>
          </w:p>
          <w:p w:rsidR="00DE0536" w:rsidRPr="009F5EEE" w:rsidRDefault="00DE0536" w:rsidP="0009572F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</w:pPr>
            <w:r w:rsidRPr="009F5EEE"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  <w:t xml:space="preserve">НМЦ </w:t>
            </w:r>
            <w:proofErr w:type="spellStart"/>
            <w:r w:rsidRPr="009F5EEE">
              <w:rPr>
                <w:rFonts w:ascii="Times New Roman" w:eastAsiaTheme="minorHAnsi" w:hAnsi="Times New Roman" w:cstheme="minorBidi"/>
                <w:sz w:val="16"/>
                <w:szCs w:val="16"/>
                <w:vertAlign w:val="superscript"/>
                <w:lang w:eastAsia="en-US"/>
              </w:rPr>
              <w:t>рын</w:t>
            </w:r>
            <w:proofErr w:type="spellEnd"/>
            <w:r w:rsidRPr="009F5EEE"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  <w:t xml:space="preserve"> – НМЦ, определяемая методом сопоставимых рыночных цен (анализа рынка);</w:t>
            </w:r>
          </w:p>
        </w:tc>
      </w:tr>
      <w:tr w:rsidR="00DE0536" w:rsidRPr="009F5EEE" w:rsidTr="0009572F">
        <w:trPr>
          <w:trHeight w:val="153"/>
        </w:trPr>
        <w:tc>
          <w:tcPr>
            <w:tcW w:w="5000" w:type="pct"/>
            <w:vAlign w:val="center"/>
            <w:hideMark/>
          </w:tcPr>
          <w:p w:rsidR="00DE0536" w:rsidRPr="009F5EEE" w:rsidRDefault="00DE0536" w:rsidP="0009572F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</w:pPr>
            <w:r w:rsidRPr="009F5EEE"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  <w:t>v – количество (объем) закупаемого товара (работы, услуги);</w:t>
            </w:r>
          </w:p>
        </w:tc>
      </w:tr>
      <w:tr w:rsidR="00DE0536" w:rsidRPr="009F5EEE" w:rsidTr="0009572F">
        <w:trPr>
          <w:trHeight w:val="98"/>
        </w:trPr>
        <w:tc>
          <w:tcPr>
            <w:tcW w:w="5000" w:type="pct"/>
            <w:vAlign w:val="center"/>
            <w:hideMark/>
          </w:tcPr>
          <w:p w:rsidR="00DE0536" w:rsidRPr="009F5EEE" w:rsidRDefault="00DE0536" w:rsidP="0009572F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</w:pPr>
            <w:r w:rsidRPr="009F5EEE"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  <w:t>n – количество значений, используемых в расчете;</w:t>
            </w:r>
          </w:p>
        </w:tc>
      </w:tr>
      <w:tr w:rsidR="00DE0536" w:rsidRPr="009F5EEE" w:rsidTr="0009572F">
        <w:trPr>
          <w:trHeight w:val="201"/>
        </w:trPr>
        <w:tc>
          <w:tcPr>
            <w:tcW w:w="5000" w:type="pct"/>
            <w:vAlign w:val="center"/>
            <w:hideMark/>
          </w:tcPr>
          <w:p w:rsidR="00DE0536" w:rsidRPr="009F5EEE" w:rsidRDefault="00DE0536" w:rsidP="0009572F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</w:pPr>
            <w:r w:rsidRPr="009F5EEE"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  <w:t>i – номер источника ценовой информации;</w:t>
            </w:r>
          </w:p>
        </w:tc>
      </w:tr>
      <w:tr w:rsidR="00DE0536" w:rsidRPr="009F5EEE" w:rsidTr="0009572F">
        <w:trPr>
          <w:trHeight w:val="281"/>
        </w:trPr>
        <w:tc>
          <w:tcPr>
            <w:tcW w:w="5000" w:type="pct"/>
            <w:vAlign w:val="center"/>
            <w:hideMark/>
          </w:tcPr>
          <w:p w:rsidR="00DE0536" w:rsidRPr="009F5EEE" w:rsidRDefault="000F3DF4" w:rsidP="0009572F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noProof/>
                <w:sz w:val="16"/>
                <w:szCs w:val="16"/>
                <w:lang w:eastAsia="ru-RU"/>
              </w:rPr>
              <w:t>ц</w:t>
            </w:r>
            <w:r>
              <w:rPr>
                <w:rFonts w:ascii="Times New Roman" w:eastAsiaTheme="minorHAnsi" w:hAnsi="Times New Roman" w:cstheme="minorBidi"/>
                <w:noProof/>
                <w:sz w:val="16"/>
                <w:szCs w:val="16"/>
                <w:vertAlign w:val="subscript"/>
                <w:lang w:val="en-US" w:eastAsia="ru-RU"/>
              </w:rPr>
              <w:t>i</w:t>
            </w:r>
            <w:r w:rsidR="00DE0536" w:rsidRPr="009F5EEE"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  <w:t>- цена единицы товара, работы, услуги.</w:t>
            </w:r>
          </w:p>
        </w:tc>
      </w:tr>
    </w:tbl>
    <w:p w:rsidR="00DE0536" w:rsidRPr="009F5EEE" w:rsidRDefault="00DE0536" w:rsidP="00DE0536">
      <w:pPr>
        <w:suppressAutoHyphens w:val="0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9F5EEE">
        <w:rPr>
          <w:rFonts w:ascii="Times New Roman" w:eastAsiaTheme="minorHAnsi" w:hAnsi="Times New Roman" w:cstheme="minorBidi"/>
          <w:sz w:val="20"/>
          <w:szCs w:val="20"/>
          <w:lang w:eastAsia="en-US"/>
        </w:rPr>
        <w:t>В целях определения однородности совокупности значений выявленных цен, используемых в расчете НМЦ определен коэффициент вариации. Коэффициент вариации цены определяется по следующей формуле:</w:t>
      </w:r>
    </w:p>
    <w:p w:rsidR="00DE0536" w:rsidRPr="009F5EEE" w:rsidRDefault="00DE0536" w:rsidP="00DE0536">
      <w:pPr>
        <w:suppressAutoHyphens w:val="0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9F5EEE">
        <w:rPr>
          <w:rFonts w:ascii="Times New Roman" w:eastAsiaTheme="minorHAnsi" w:hAnsi="Times New Roman" w:cstheme="minorBidi"/>
          <w:noProof/>
          <w:position w:val="-28"/>
          <w:sz w:val="20"/>
          <w:szCs w:val="20"/>
          <w:lang w:eastAsia="ru-RU"/>
        </w:rPr>
        <w:drawing>
          <wp:inline distT="0" distB="0" distL="0" distR="0" wp14:anchorId="6681263C" wp14:editId="03A4BA05">
            <wp:extent cx="1038225" cy="379095"/>
            <wp:effectExtent l="0" t="0" r="952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EEE">
        <w:rPr>
          <w:rFonts w:ascii="Times New Roman" w:eastAsiaTheme="minorHAnsi" w:hAnsi="Times New Roman" w:cstheme="minorBidi"/>
          <w:sz w:val="20"/>
          <w:szCs w:val="20"/>
          <w:lang w:eastAsia="en-US"/>
        </w:rPr>
        <w:t>,</w:t>
      </w:r>
    </w:p>
    <w:p w:rsidR="00DE0536" w:rsidRPr="009F5EEE" w:rsidRDefault="00DE0536" w:rsidP="00DE0536">
      <w:pPr>
        <w:suppressAutoHyphens w:val="0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9F5EEE">
        <w:rPr>
          <w:rFonts w:ascii="Times New Roman" w:eastAsiaTheme="minorHAnsi" w:hAnsi="Times New Roman" w:cstheme="minorBidi"/>
          <w:sz w:val="20"/>
          <w:szCs w:val="20"/>
          <w:lang w:eastAsia="en-US"/>
        </w:rPr>
        <w:t>где:</w:t>
      </w:r>
    </w:p>
    <w:p w:rsidR="00DE0536" w:rsidRPr="009F5EEE" w:rsidRDefault="00DE0536" w:rsidP="00DE0536">
      <w:pPr>
        <w:suppressAutoHyphens w:val="0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9F5EEE">
        <w:rPr>
          <w:rFonts w:ascii="Times New Roman" w:eastAsiaTheme="minorHAnsi" w:hAnsi="Times New Roman" w:cstheme="minorBidi"/>
          <w:sz w:val="20"/>
          <w:szCs w:val="20"/>
          <w:lang w:eastAsia="en-US"/>
        </w:rPr>
        <w:t>V – коэффициент вариации;</w:t>
      </w:r>
    </w:p>
    <w:p w:rsidR="00DE0536" w:rsidRPr="009F5EEE" w:rsidRDefault="00DE0536" w:rsidP="00DE0536">
      <w:pPr>
        <w:suppressAutoHyphens w:val="0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</w:p>
    <w:p w:rsidR="00DE0536" w:rsidRPr="009F5EEE" w:rsidRDefault="00DE0536" w:rsidP="00DE0536">
      <w:pPr>
        <w:suppressAutoHyphens w:val="0"/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9F5EEE">
        <w:rPr>
          <w:rFonts w:ascii="Times New Roman" w:eastAsiaTheme="minorHAnsi" w:hAnsi="Times New Roman" w:cstheme="minorBidi"/>
          <w:noProof/>
          <w:position w:val="-26"/>
          <w:sz w:val="20"/>
          <w:szCs w:val="20"/>
          <w:lang w:eastAsia="ru-RU"/>
        </w:rPr>
        <w:drawing>
          <wp:inline distT="0" distB="0" distL="0" distR="0" wp14:anchorId="61810CB5" wp14:editId="2ED1731E">
            <wp:extent cx="1581785" cy="551815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EEE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- среднее квадратичное отклонение;</w:t>
      </w:r>
    </w:p>
    <w:p w:rsidR="00DE0536" w:rsidRPr="009F5EEE" w:rsidRDefault="000F3DF4" w:rsidP="00DE0536">
      <w:pPr>
        <w:suppressAutoHyphens w:val="0"/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Theme="minorHAnsi" w:hAnsi="Times New Roman" w:cstheme="minorBidi"/>
          <w:sz w:val="16"/>
          <w:szCs w:val="16"/>
          <w:lang w:eastAsia="en-US"/>
        </w:rPr>
      </w:pPr>
      <w:r>
        <w:rPr>
          <w:rFonts w:ascii="Times New Roman" w:eastAsiaTheme="minorHAnsi" w:hAnsi="Times New Roman" w:cstheme="minorBidi"/>
          <w:sz w:val="16"/>
          <w:szCs w:val="16"/>
          <w:lang w:eastAsia="en-US"/>
        </w:rPr>
        <w:t>ц</w:t>
      </w:r>
      <w:proofErr w:type="spellStart"/>
      <w:r>
        <w:rPr>
          <w:rFonts w:ascii="Times New Roman" w:eastAsiaTheme="minorHAnsi" w:hAnsi="Times New Roman" w:cstheme="minorBidi"/>
          <w:sz w:val="16"/>
          <w:szCs w:val="16"/>
          <w:vertAlign w:val="subscript"/>
          <w:lang w:val="en-US" w:eastAsia="en-US"/>
        </w:rPr>
        <w:t>i</w:t>
      </w:r>
      <w:proofErr w:type="spellEnd"/>
      <w:r w:rsidR="00DE0536" w:rsidRPr="009F5EEE">
        <w:rPr>
          <w:rFonts w:ascii="Times New Roman" w:eastAsiaTheme="minorHAnsi" w:hAnsi="Times New Roman" w:cstheme="minorBidi"/>
          <w:sz w:val="16"/>
          <w:szCs w:val="16"/>
          <w:lang w:eastAsia="en-US"/>
        </w:rPr>
        <w:t xml:space="preserve"> - цена единицы товара, работы, услуги, указанная в источнике с номером i;</w:t>
      </w:r>
    </w:p>
    <w:p w:rsidR="00DE0536" w:rsidRPr="009F5EEE" w:rsidRDefault="00DE0536" w:rsidP="00DE0536">
      <w:pPr>
        <w:suppressAutoHyphens w:val="0"/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Theme="minorHAnsi" w:hAnsi="Times New Roman" w:cstheme="minorBidi"/>
          <w:sz w:val="16"/>
          <w:szCs w:val="16"/>
          <w:lang w:eastAsia="en-US"/>
        </w:rPr>
      </w:pPr>
      <w:r w:rsidRPr="009F5EEE">
        <w:rPr>
          <w:rFonts w:ascii="Times New Roman" w:eastAsiaTheme="minorHAnsi" w:hAnsi="Times New Roman" w:cstheme="minorBidi"/>
          <w:sz w:val="16"/>
          <w:szCs w:val="16"/>
          <w:lang w:eastAsia="en-US"/>
        </w:rPr>
        <w:t>&lt;ц&gt; - средняя арифметическая величина цены единицы товара, работы, услуги;</w:t>
      </w:r>
    </w:p>
    <w:p w:rsidR="00DE0536" w:rsidRPr="009F5EEE" w:rsidRDefault="00DE0536" w:rsidP="00DE0536">
      <w:pPr>
        <w:suppressAutoHyphens w:val="0"/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Theme="minorHAnsi" w:hAnsi="Times New Roman" w:cstheme="minorBidi"/>
          <w:sz w:val="16"/>
          <w:szCs w:val="16"/>
          <w:lang w:eastAsia="en-US"/>
        </w:rPr>
      </w:pPr>
      <w:r w:rsidRPr="009F5EEE">
        <w:rPr>
          <w:rFonts w:ascii="Times New Roman" w:eastAsiaTheme="minorHAnsi" w:hAnsi="Times New Roman" w:cstheme="minorBidi"/>
          <w:sz w:val="16"/>
          <w:szCs w:val="16"/>
          <w:lang w:eastAsia="en-US"/>
        </w:rPr>
        <w:t>n – количество значений, используемых в расчете.</w:t>
      </w:r>
    </w:p>
    <w:p w:rsidR="008E731B" w:rsidRDefault="00DE0536" w:rsidP="004267AE">
      <w:pPr>
        <w:suppressAutoHyphens w:val="0"/>
        <w:spacing w:after="0" w:line="240" w:lineRule="auto"/>
        <w:ind w:left="142" w:firstLine="566"/>
        <w:jc w:val="both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  <w:r w:rsidRPr="009F5EEE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</w:t>
      </w:r>
      <w:r w:rsidRPr="00041D2F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«Расчет </w:t>
      </w:r>
      <w:r w:rsidR="00C95021" w:rsidRPr="00C95021">
        <w:rPr>
          <w:rFonts w:ascii="Times New Roman" w:eastAsiaTheme="minorHAnsi" w:hAnsi="Times New Roman" w:cstheme="minorBidi"/>
          <w:sz w:val="21"/>
          <w:szCs w:val="21"/>
          <w:lang w:eastAsia="en-US"/>
        </w:rPr>
        <w:t>цены Контракта, заключаемого с единственным поставщиком (подрядчиком, исполнителем)</w:t>
      </w:r>
      <w:r w:rsidRPr="00041D2F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»                                                                 </w:t>
      </w:r>
    </w:p>
    <w:p w:rsidR="00FB41AA" w:rsidRDefault="00FB41AA" w:rsidP="004267AE">
      <w:pPr>
        <w:suppressAutoHyphens w:val="0"/>
        <w:spacing w:after="0" w:line="240" w:lineRule="auto"/>
        <w:ind w:left="142" w:firstLine="566"/>
        <w:jc w:val="right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</w:p>
    <w:p w:rsidR="00FB41AA" w:rsidRDefault="00FB41AA" w:rsidP="004267AE">
      <w:pPr>
        <w:suppressAutoHyphens w:val="0"/>
        <w:spacing w:after="0" w:line="240" w:lineRule="auto"/>
        <w:ind w:left="142" w:firstLine="566"/>
        <w:jc w:val="right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</w:p>
    <w:p w:rsidR="008E731B" w:rsidRPr="004267AE" w:rsidRDefault="00DE0536" w:rsidP="004267AE">
      <w:pPr>
        <w:suppressAutoHyphens w:val="0"/>
        <w:spacing w:after="0" w:line="240" w:lineRule="auto"/>
        <w:ind w:left="142" w:firstLine="566"/>
        <w:jc w:val="right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  <w:r w:rsidRPr="00041D2F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 таблица 1</w:t>
      </w:r>
    </w:p>
    <w:tbl>
      <w:tblPr>
        <w:tblW w:w="9948" w:type="dxa"/>
        <w:tblLook w:val="04A0" w:firstRow="1" w:lastRow="0" w:firstColumn="1" w:lastColumn="0" w:noHBand="0" w:noVBand="1"/>
      </w:tblPr>
      <w:tblGrid>
        <w:gridCol w:w="487"/>
        <w:gridCol w:w="2808"/>
        <w:gridCol w:w="609"/>
        <w:gridCol w:w="764"/>
        <w:gridCol w:w="1230"/>
        <w:gridCol w:w="1249"/>
        <w:gridCol w:w="1455"/>
        <w:gridCol w:w="1346"/>
      </w:tblGrid>
      <w:tr w:rsidR="000F6779" w:rsidRPr="000F6779" w:rsidTr="008E35A4">
        <w:trPr>
          <w:trHeight w:val="31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79" w:rsidRPr="000F6779" w:rsidRDefault="000F6779" w:rsidP="000F677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6779" w:rsidRPr="000F6779" w:rsidRDefault="000F6779" w:rsidP="000F677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79" w:rsidRPr="000F6779" w:rsidRDefault="000F6779" w:rsidP="000F677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779" w:rsidRPr="000F6779" w:rsidRDefault="000F6779" w:rsidP="000F677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79" w:rsidRPr="000F6779" w:rsidRDefault="000F6779" w:rsidP="000F677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Коммерческие предложения поставщиков. 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79" w:rsidRPr="000F6779" w:rsidRDefault="000F6779" w:rsidP="000F677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67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Средняя цена за ед., руб.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79" w:rsidRPr="000F6779" w:rsidRDefault="000F6779" w:rsidP="000F677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67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Всего, руб.</w:t>
            </w:r>
          </w:p>
        </w:tc>
      </w:tr>
      <w:tr w:rsidR="000F6779" w:rsidRPr="000F6779" w:rsidTr="008E35A4">
        <w:trPr>
          <w:trHeight w:val="30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79" w:rsidRPr="000F6779" w:rsidRDefault="000F6779" w:rsidP="000F67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F6779" w:rsidRPr="000F6779" w:rsidRDefault="000F6779" w:rsidP="000F67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79" w:rsidRPr="000F6779" w:rsidRDefault="000F6779" w:rsidP="000F67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79" w:rsidRPr="000F6779" w:rsidRDefault="000F6779" w:rsidP="000F67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79" w:rsidRPr="000F6779" w:rsidRDefault="000F6779" w:rsidP="000F677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за ед., руб.</w:t>
            </w: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79" w:rsidRPr="000F6779" w:rsidRDefault="000F6779" w:rsidP="000F67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79" w:rsidRPr="000F6779" w:rsidRDefault="000F6779" w:rsidP="000F67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D1713" w:rsidRPr="000F6779" w:rsidTr="008E35A4">
        <w:trPr>
          <w:trHeight w:val="9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713" w:rsidRPr="000F6779" w:rsidRDefault="004D1713" w:rsidP="000F67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1713" w:rsidRPr="000F6779" w:rsidRDefault="004D1713" w:rsidP="000F67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713" w:rsidRPr="000F6779" w:rsidRDefault="004D1713" w:rsidP="000F67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713" w:rsidRPr="000F6779" w:rsidRDefault="004D1713" w:rsidP="000F67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713" w:rsidRPr="000F6779" w:rsidRDefault="004D1713" w:rsidP="000F677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6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КП №1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713" w:rsidRPr="000F6779" w:rsidRDefault="004D1713" w:rsidP="000F677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6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КП №2</w:t>
            </w: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713" w:rsidRPr="000F6779" w:rsidRDefault="004D1713" w:rsidP="000F67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713" w:rsidRPr="000F6779" w:rsidRDefault="004D1713" w:rsidP="000F67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E35A4" w:rsidRPr="000F6779" w:rsidTr="008E35A4">
        <w:trPr>
          <w:trHeight w:val="3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5A4" w:rsidRPr="004267AE" w:rsidRDefault="008E35A4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67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5A4" w:rsidRPr="008E35A4" w:rsidRDefault="008E35A4" w:rsidP="008E3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E35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Ниатира</w:t>
            </w:r>
            <w:proofErr w:type="spellEnd"/>
            <w:r w:rsidRPr="008E35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капли </w:t>
            </w:r>
            <w:proofErr w:type="spellStart"/>
            <w:r w:rsidRPr="008E35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ушн</w:t>
            </w:r>
            <w:proofErr w:type="spellEnd"/>
            <w:r w:rsidRPr="008E35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2,6% 10мл </w:t>
            </w:r>
            <w:proofErr w:type="spellStart"/>
            <w:r w:rsidRPr="008E35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  <w:r w:rsidRPr="008E35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35A4" w:rsidRPr="004267AE" w:rsidRDefault="008E35A4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67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5A4" w:rsidRPr="004267AE" w:rsidRDefault="008E35A4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5A4" w:rsidRPr="00532174" w:rsidRDefault="008E35A4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394,65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5A4" w:rsidRPr="00532174" w:rsidRDefault="008E35A4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394,67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5A4" w:rsidRPr="000F6779" w:rsidRDefault="008E35A4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394,66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5A4" w:rsidRPr="000F6779" w:rsidRDefault="00717C10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1 973,30</w:t>
            </w:r>
          </w:p>
        </w:tc>
      </w:tr>
      <w:tr w:rsidR="008E35A4" w:rsidRPr="000F6779" w:rsidTr="008E35A4">
        <w:trPr>
          <w:trHeight w:val="3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5A4" w:rsidRPr="004267AE" w:rsidRDefault="008E35A4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5A4" w:rsidRPr="008E35A4" w:rsidRDefault="008E35A4" w:rsidP="008E3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E35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Лафракс</w:t>
            </w:r>
            <w:proofErr w:type="spellEnd"/>
            <w:r w:rsidRPr="008E35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капли гл. </w:t>
            </w:r>
            <w:proofErr w:type="spellStart"/>
            <w:r w:rsidRPr="008E35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ушн</w:t>
            </w:r>
            <w:proofErr w:type="spellEnd"/>
            <w:r w:rsidRPr="008E35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0,3% 5мл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E35A4" w:rsidRPr="004267AE" w:rsidRDefault="008E35A4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67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5A4" w:rsidRDefault="008E35A4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5A4" w:rsidRDefault="008E35A4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113,84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5A4" w:rsidRDefault="008E35A4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113,86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5A4" w:rsidRDefault="008E35A4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113,85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5A4" w:rsidRDefault="00717C10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569,25</w:t>
            </w:r>
          </w:p>
        </w:tc>
      </w:tr>
      <w:tr w:rsidR="008E35A4" w:rsidRPr="000F6779" w:rsidTr="008E35A4">
        <w:trPr>
          <w:trHeight w:val="3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5A4" w:rsidRPr="004267AE" w:rsidRDefault="008E35A4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5A4" w:rsidRPr="008E35A4" w:rsidRDefault="008E35A4" w:rsidP="008E3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E35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Ципрофлоксацин</w:t>
            </w:r>
            <w:proofErr w:type="spellEnd"/>
            <w:r w:rsidRPr="008E35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Оптик капли гл. 0,3% 5мл </w:t>
            </w:r>
            <w:proofErr w:type="spellStart"/>
            <w:r w:rsidRPr="008E35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  <w:r w:rsidRPr="008E35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E35A4" w:rsidRPr="004267AE" w:rsidRDefault="008E35A4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67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5A4" w:rsidRDefault="008E35A4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5A4" w:rsidRDefault="008E35A4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104,67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5A4" w:rsidRDefault="008E35A4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104,70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5A4" w:rsidRDefault="008E35A4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104,69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5A4" w:rsidRDefault="00717C10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1 046,90</w:t>
            </w:r>
          </w:p>
        </w:tc>
      </w:tr>
      <w:tr w:rsidR="008E35A4" w:rsidRPr="000F6779" w:rsidTr="008E35A4">
        <w:trPr>
          <w:trHeight w:val="3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5A4" w:rsidRPr="004267AE" w:rsidRDefault="008E35A4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5A4" w:rsidRPr="008E35A4" w:rsidRDefault="008E35A4" w:rsidP="008E3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E35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Амикацин</w:t>
            </w:r>
            <w:proofErr w:type="spellEnd"/>
            <w:r w:rsidRPr="008E35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пор. д/</w:t>
            </w:r>
            <w:proofErr w:type="spellStart"/>
            <w:r w:rsidRPr="008E35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приг</w:t>
            </w:r>
            <w:proofErr w:type="spellEnd"/>
            <w:r w:rsidRPr="008E35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р-</w:t>
            </w:r>
            <w:proofErr w:type="spellStart"/>
            <w:r w:rsidRPr="008E35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</w:t>
            </w:r>
            <w:proofErr w:type="spellEnd"/>
            <w:r w:rsidRPr="008E35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д/в/в и в/м </w:t>
            </w:r>
            <w:proofErr w:type="spellStart"/>
            <w:r w:rsidRPr="008E35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введ</w:t>
            </w:r>
            <w:proofErr w:type="spellEnd"/>
            <w:r w:rsidRPr="008E35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1 г Nº1 </w:t>
            </w:r>
            <w:proofErr w:type="spellStart"/>
            <w:r w:rsidRPr="008E35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  <w:r w:rsidRPr="008E35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E35A4" w:rsidRPr="004267AE" w:rsidRDefault="008E35A4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67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5A4" w:rsidRDefault="008E35A4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5A4" w:rsidRDefault="008E35A4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105,90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5A4" w:rsidRDefault="008E35A4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105,93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5A4" w:rsidRDefault="008E35A4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105,92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5A4" w:rsidRDefault="00717C10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21 184,00</w:t>
            </w:r>
          </w:p>
        </w:tc>
      </w:tr>
      <w:tr w:rsidR="008E35A4" w:rsidRPr="000F6779" w:rsidTr="008E35A4">
        <w:trPr>
          <w:trHeight w:val="3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5A4" w:rsidRPr="004267AE" w:rsidRDefault="008E35A4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5A4" w:rsidRPr="008E35A4" w:rsidRDefault="008E35A4" w:rsidP="008E3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E35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Левофлоксацин</w:t>
            </w:r>
            <w:proofErr w:type="spellEnd"/>
            <w:r w:rsidRPr="008E35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Вертекс таб. п/</w:t>
            </w:r>
            <w:proofErr w:type="spellStart"/>
            <w:r w:rsidRPr="008E35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</w:t>
            </w:r>
            <w:proofErr w:type="spellEnd"/>
            <w:r w:rsidRPr="008E35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/о 500мг Nº10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E35A4" w:rsidRPr="004267AE" w:rsidRDefault="008E35A4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67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5A4" w:rsidRDefault="008E35A4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5A4" w:rsidRDefault="008E35A4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649,27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5A4" w:rsidRDefault="008E35A4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701,38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5A4" w:rsidRDefault="008E35A4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675,33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5A4" w:rsidRDefault="00717C10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67 533,00</w:t>
            </w:r>
          </w:p>
        </w:tc>
      </w:tr>
      <w:tr w:rsidR="008E35A4" w:rsidRPr="000F6779" w:rsidTr="008E35A4">
        <w:trPr>
          <w:trHeight w:val="3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5A4" w:rsidRPr="004267AE" w:rsidRDefault="008E35A4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5A4" w:rsidRPr="008E35A4" w:rsidRDefault="008E35A4" w:rsidP="008E3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E35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Амоксициллин+Клавулановая</w:t>
            </w:r>
            <w:proofErr w:type="spellEnd"/>
            <w:r w:rsidRPr="008E35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кислота ЭКСПРЕСС таб. </w:t>
            </w:r>
            <w:proofErr w:type="spellStart"/>
            <w:r w:rsidRPr="008E35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дисперг</w:t>
            </w:r>
            <w:proofErr w:type="spellEnd"/>
            <w:r w:rsidRPr="008E35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875мг+125мг Nº14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E35A4" w:rsidRPr="004267AE" w:rsidRDefault="008E35A4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67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5A4" w:rsidRDefault="008E35A4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5A4" w:rsidRDefault="008E35A4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459,13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5A4" w:rsidRDefault="008E35A4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573,93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5A4" w:rsidRDefault="008E35A4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516,53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5A4" w:rsidRDefault="00717C10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103 306,00</w:t>
            </w:r>
          </w:p>
        </w:tc>
      </w:tr>
      <w:tr w:rsidR="008E35A4" w:rsidRPr="000F6779" w:rsidTr="008E35A4">
        <w:trPr>
          <w:trHeight w:val="3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5A4" w:rsidRPr="004267AE" w:rsidRDefault="008E35A4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5A4" w:rsidRPr="008E35A4" w:rsidRDefault="008E35A4" w:rsidP="008E3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E35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Хлоргексидина</w:t>
            </w:r>
            <w:proofErr w:type="spellEnd"/>
            <w:r w:rsidRPr="008E35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35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биглюконат</w:t>
            </w:r>
            <w:proofErr w:type="spellEnd"/>
            <w:r w:rsidRPr="008E35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р-р 0,05% 100мл </w:t>
            </w:r>
            <w:proofErr w:type="spellStart"/>
            <w:r w:rsidRPr="008E35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  <w:r w:rsidRPr="008E35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E35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дез</w:t>
            </w:r>
            <w:proofErr w:type="spellEnd"/>
            <w:r w:rsidRPr="008E35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средство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E35A4" w:rsidRPr="004267AE" w:rsidRDefault="008E35A4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67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5A4" w:rsidRDefault="008E35A4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5A4" w:rsidRDefault="008E35A4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5A4" w:rsidRDefault="008E35A4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5A4" w:rsidRDefault="008E35A4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34,50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5A4" w:rsidRDefault="00717C10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3 450,00</w:t>
            </w:r>
          </w:p>
        </w:tc>
      </w:tr>
      <w:tr w:rsidR="008E35A4" w:rsidRPr="000F6779" w:rsidTr="008E35A4">
        <w:trPr>
          <w:trHeight w:val="3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5A4" w:rsidRPr="004267AE" w:rsidRDefault="008E35A4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5A4" w:rsidRPr="008E35A4" w:rsidRDefault="008E35A4" w:rsidP="008E3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5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Перекись водорода р-р 3% 100мл </w:t>
            </w:r>
            <w:proofErr w:type="spellStart"/>
            <w:r w:rsidRPr="008E35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  <w:r w:rsidRPr="008E35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E35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дез</w:t>
            </w:r>
            <w:proofErr w:type="spellEnd"/>
            <w:r w:rsidRPr="008E35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средство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E35A4" w:rsidRPr="004267AE" w:rsidRDefault="008E35A4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67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5A4" w:rsidRDefault="008E35A4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5A4" w:rsidRDefault="008E35A4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33,36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5A4" w:rsidRDefault="008E35A4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5A4" w:rsidRDefault="00717C10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39,18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5A4" w:rsidRDefault="00717C10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3 918,00</w:t>
            </w:r>
          </w:p>
        </w:tc>
      </w:tr>
      <w:tr w:rsidR="008E35A4" w:rsidRPr="000F6779" w:rsidTr="008E35A4">
        <w:trPr>
          <w:trHeight w:val="3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5A4" w:rsidRPr="004267AE" w:rsidRDefault="008E35A4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5A4" w:rsidRPr="008E35A4" w:rsidRDefault="008E35A4" w:rsidP="008E3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E35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Ципролет</w:t>
            </w:r>
            <w:proofErr w:type="spellEnd"/>
            <w:r w:rsidRPr="008E35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таб. п/</w:t>
            </w:r>
            <w:proofErr w:type="spellStart"/>
            <w:r w:rsidRPr="008E35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</w:t>
            </w:r>
            <w:proofErr w:type="spellEnd"/>
            <w:r w:rsidRPr="008E35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/о 500мг Nº10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E35A4" w:rsidRPr="004267AE" w:rsidRDefault="008E35A4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67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5A4" w:rsidRDefault="008E35A4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5A4" w:rsidRDefault="008E35A4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113,56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5A4" w:rsidRDefault="008E35A4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113,56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5A4" w:rsidRDefault="00717C10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113,56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5A4" w:rsidRDefault="00717C10" w:rsidP="008E35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22 712,00</w:t>
            </w:r>
          </w:p>
        </w:tc>
      </w:tr>
      <w:tr w:rsidR="004D1713" w:rsidRPr="000F6779" w:rsidTr="008E35A4">
        <w:trPr>
          <w:trHeight w:val="300"/>
        </w:trPr>
        <w:tc>
          <w:tcPr>
            <w:tcW w:w="86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713" w:rsidRPr="004D1713" w:rsidRDefault="004D1713" w:rsidP="004D171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6779">
              <w:rPr>
                <w:rFonts w:eastAsia="Times New Roman"/>
                <w:color w:val="000000"/>
                <w:lang w:eastAsia="ru-RU"/>
              </w:rPr>
              <w:t> </w:t>
            </w:r>
            <w:r w:rsidRPr="00A94E1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ИТОГО:</w:t>
            </w:r>
            <w:r w:rsidRPr="000F67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713" w:rsidRPr="000F6779" w:rsidRDefault="00717C10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225 692,45</w:t>
            </w:r>
          </w:p>
        </w:tc>
      </w:tr>
    </w:tbl>
    <w:p w:rsidR="00C03BEE" w:rsidRDefault="00C03BEE" w:rsidP="00DE0536">
      <w:pPr>
        <w:suppressAutoHyphens w:val="0"/>
        <w:spacing w:after="0" w:line="240" w:lineRule="auto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</w:p>
    <w:p w:rsidR="000F6779" w:rsidRPr="00041D2F" w:rsidRDefault="000F6779" w:rsidP="000F6779">
      <w:pPr>
        <w:suppressAutoHyphens w:val="0"/>
        <w:spacing w:after="0" w:line="240" w:lineRule="auto"/>
        <w:jc w:val="both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  <w:r w:rsidRPr="00041D2F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         Цена контракта, заключаемого с единственным поставщиком (подрядчиком, исполнителем) составляет             </w:t>
      </w:r>
      <w:r w:rsidR="00717C10">
        <w:rPr>
          <w:rFonts w:ascii="Times New Roman" w:eastAsiaTheme="minorHAnsi" w:hAnsi="Times New Roman" w:cstheme="minorBidi"/>
          <w:b/>
          <w:sz w:val="21"/>
          <w:szCs w:val="21"/>
          <w:lang w:eastAsia="en-US"/>
        </w:rPr>
        <w:t>225 692</w:t>
      </w:r>
      <w:r w:rsidR="00FB41AA">
        <w:rPr>
          <w:rFonts w:ascii="Times New Roman" w:eastAsiaTheme="minorHAnsi" w:hAnsi="Times New Roman" w:cstheme="minorBidi"/>
          <w:b/>
          <w:sz w:val="21"/>
          <w:szCs w:val="21"/>
          <w:lang w:eastAsia="en-US"/>
        </w:rPr>
        <w:t xml:space="preserve"> </w:t>
      </w:r>
      <w:r w:rsidRPr="00FB41AA">
        <w:rPr>
          <w:rFonts w:ascii="Times New Roman" w:eastAsiaTheme="minorHAnsi" w:hAnsi="Times New Roman" w:cstheme="minorBidi"/>
          <w:b/>
          <w:sz w:val="21"/>
          <w:szCs w:val="21"/>
          <w:lang w:eastAsia="en-US"/>
        </w:rPr>
        <w:t>рублей</w:t>
      </w:r>
      <w:r w:rsidR="00FB41AA" w:rsidRPr="00FB41AA">
        <w:rPr>
          <w:rFonts w:ascii="Times New Roman" w:eastAsiaTheme="minorHAnsi" w:hAnsi="Times New Roman" w:cstheme="minorBidi"/>
          <w:b/>
          <w:sz w:val="21"/>
          <w:szCs w:val="21"/>
          <w:lang w:eastAsia="en-US"/>
        </w:rPr>
        <w:t xml:space="preserve"> </w:t>
      </w:r>
      <w:r w:rsidR="00717C10">
        <w:rPr>
          <w:rFonts w:ascii="Times New Roman" w:eastAsiaTheme="minorHAnsi" w:hAnsi="Times New Roman" w:cstheme="minorBidi"/>
          <w:b/>
          <w:sz w:val="21"/>
          <w:szCs w:val="21"/>
          <w:lang w:eastAsia="en-US"/>
        </w:rPr>
        <w:t>45</w:t>
      </w:r>
      <w:r w:rsidR="00FB41AA" w:rsidRPr="00FB41AA">
        <w:rPr>
          <w:rFonts w:ascii="Times New Roman" w:eastAsiaTheme="minorHAnsi" w:hAnsi="Times New Roman" w:cstheme="minorBidi"/>
          <w:b/>
          <w:sz w:val="21"/>
          <w:szCs w:val="21"/>
          <w:lang w:eastAsia="en-US"/>
        </w:rPr>
        <w:t xml:space="preserve"> копеек</w:t>
      </w:r>
      <w:r w:rsidRPr="00FB41AA">
        <w:rPr>
          <w:rFonts w:ascii="Times New Roman" w:eastAsiaTheme="minorHAnsi" w:hAnsi="Times New Roman" w:cstheme="minorBidi"/>
          <w:b/>
          <w:sz w:val="21"/>
          <w:szCs w:val="21"/>
          <w:lang w:eastAsia="en-US"/>
        </w:rPr>
        <w:t>.</w:t>
      </w:r>
    </w:p>
    <w:p w:rsidR="000F6779" w:rsidRPr="00041D2F" w:rsidRDefault="000F6779" w:rsidP="000F6779">
      <w:pPr>
        <w:suppressAutoHyphens w:val="0"/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  <w:r w:rsidRPr="00041D2F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Для эффективного использования денежных средств было выбрано коммерческое предложение с наименьшей ценой – </w:t>
      </w:r>
      <w:r w:rsidR="00717C10">
        <w:rPr>
          <w:rFonts w:ascii="Times New Roman" w:eastAsiaTheme="minorHAnsi" w:hAnsi="Times New Roman" w:cstheme="minorBidi"/>
          <w:b/>
          <w:sz w:val="21"/>
          <w:szCs w:val="21"/>
          <w:lang w:eastAsia="en-US"/>
        </w:rPr>
        <w:t>210 470</w:t>
      </w:r>
      <w:r w:rsidR="00A94E15">
        <w:rPr>
          <w:rFonts w:ascii="Times New Roman" w:eastAsiaTheme="minorHAnsi" w:hAnsi="Times New Roman" w:cstheme="minorBidi"/>
          <w:b/>
          <w:sz w:val="21"/>
          <w:szCs w:val="21"/>
          <w:lang w:eastAsia="en-US"/>
        </w:rPr>
        <w:t xml:space="preserve"> </w:t>
      </w:r>
      <w:r w:rsidRPr="00041D2F">
        <w:rPr>
          <w:rFonts w:ascii="Times New Roman" w:eastAsiaTheme="minorHAnsi" w:hAnsi="Times New Roman" w:cstheme="minorBidi"/>
          <w:b/>
          <w:sz w:val="21"/>
          <w:szCs w:val="21"/>
          <w:lang w:eastAsia="en-US"/>
        </w:rPr>
        <w:t>рублей</w:t>
      </w:r>
      <w:r w:rsidR="00FB41AA">
        <w:rPr>
          <w:rFonts w:ascii="Times New Roman" w:eastAsiaTheme="minorHAnsi" w:hAnsi="Times New Roman" w:cstheme="minorBidi"/>
          <w:b/>
          <w:sz w:val="21"/>
          <w:szCs w:val="21"/>
          <w:lang w:eastAsia="en-US"/>
        </w:rPr>
        <w:t xml:space="preserve"> </w:t>
      </w:r>
      <w:r w:rsidR="00717C10">
        <w:rPr>
          <w:rFonts w:ascii="Times New Roman" w:eastAsiaTheme="minorHAnsi" w:hAnsi="Times New Roman" w:cstheme="minorBidi"/>
          <w:b/>
          <w:sz w:val="21"/>
          <w:szCs w:val="21"/>
          <w:lang w:eastAsia="en-US"/>
        </w:rPr>
        <w:t>15</w:t>
      </w:r>
      <w:r w:rsidR="00FB41AA">
        <w:rPr>
          <w:rFonts w:ascii="Times New Roman" w:eastAsiaTheme="minorHAnsi" w:hAnsi="Times New Roman" w:cstheme="minorBidi"/>
          <w:b/>
          <w:sz w:val="21"/>
          <w:szCs w:val="21"/>
          <w:lang w:eastAsia="en-US"/>
        </w:rPr>
        <w:t xml:space="preserve"> копеек</w:t>
      </w:r>
      <w:r w:rsidRPr="00041D2F">
        <w:rPr>
          <w:rFonts w:ascii="Times New Roman" w:eastAsiaTheme="minorHAnsi" w:hAnsi="Times New Roman" w:cstheme="minorBidi"/>
          <w:sz w:val="21"/>
          <w:szCs w:val="21"/>
          <w:lang w:eastAsia="en-US"/>
        </w:rPr>
        <w:t>.</w:t>
      </w:r>
    </w:p>
    <w:p w:rsidR="006E2DF8" w:rsidRPr="00041D2F" w:rsidRDefault="006E2DF8" w:rsidP="00DE0536">
      <w:pPr>
        <w:suppressAutoHyphens w:val="0"/>
        <w:spacing w:after="0" w:line="240" w:lineRule="auto"/>
        <w:jc w:val="both"/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</w:pPr>
    </w:p>
    <w:p w:rsidR="006E2DF8" w:rsidRPr="00041D2F" w:rsidRDefault="00456CAF" w:rsidP="00DE0536">
      <w:pPr>
        <w:suppressAutoHyphens w:val="0"/>
        <w:spacing w:after="0" w:line="240" w:lineRule="auto"/>
        <w:jc w:val="both"/>
        <w:rPr>
          <w:rFonts w:ascii="Times New Roman" w:eastAsiaTheme="minorHAnsi" w:hAnsi="Times New Roman" w:cstheme="minorBidi"/>
          <w:b/>
          <w:sz w:val="21"/>
          <w:szCs w:val="21"/>
          <w:lang w:eastAsia="en-US"/>
        </w:rPr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3616960</wp:posOffset>
            </wp:positionH>
            <wp:positionV relativeFrom="page">
              <wp:posOffset>6473190</wp:posOffset>
            </wp:positionV>
            <wp:extent cx="2038985" cy="739140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985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6E2DF8" w:rsidRPr="00041D2F" w:rsidRDefault="00FB41AA" w:rsidP="006E2DF8">
      <w:pPr>
        <w:tabs>
          <w:tab w:val="left" w:pos="7200"/>
        </w:tabs>
        <w:spacing w:after="0"/>
        <w:rPr>
          <w:rFonts w:ascii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 w:cs="Times New Roman"/>
          <w:sz w:val="21"/>
          <w:szCs w:val="21"/>
        </w:rPr>
        <w:t>И.о</w:t>
      </w:r>
      <w:proofErr w:type="spellEnd"/>
      <w:r>
        <w:rPr>
          <w:rFonts w:ascii="Times New Roman" w:hAnsi="Times New Roman" w:cs="Times New Roman"/>
          <w:sz w:val="21"/>
          <w:szCs w:val="21"/>
        </w:rPr>
        <w:t>. н</w:t>
      </w:r>
      <w:r w:rsidR="00CA6535" w:rsidRPr="00041D2F">
        <w:rPr>
          <w:rFonts w:ascii="Times New Roman" w:hAnsi="Times New Roman" w:cs="Times New Roman"/>
          <w:sz w:val="21"/>
          <w:szCs w:val="21"/>
        </w:rPr>
        <w:t>ачальник</w:t>
      </w:r>
      <w:r>
        <w:rPr>
          <w:rFonts w:ascii="Times New Roman" w:hAnsi="Times New Roman" w:cs="Times New Roman"/>
          <w:sz w:val="21"/>
          <w:szCs w:val="21"/>
        </w:rPr>
        <w:t>а</w:t>
      </w:r>
      <w:r w:rsidR="00CA6535" w:rsidRPr="00041D2F">
        <w:rPr>
          <w:rFonts w:ascii="Times New Roman" w:hAnsi="Times New Roman" w:cs="Times New Roman"/>
          <w:sz w:val="21"/>
          <w:szCs w:val="21"/>
        </w:rPr>
        <w:t xml:space="preserve"> договорного отдела</w:t>
      </w:r>
      <w:r w:rsidR="006E2DF8" w:rsidRPr="00041D2F">
        <w:rPr>
          <w:rFonts w:ascii="Times New Roman" w:hAnsi="Times New Roman" w:cs="Times New Roman"/>
          <w:sz w:val="21"/>
          <w:szCs w:val="21"/>
        </w:rPr>
        <w:tab/>
        <w:t xml:space="preserve">            </w:t>
      </w:r>
      <w:r w:rsidR="000F6779" w:rsidRPr="00041D2F">
        <w:rPr>
          <w:rFonts w:ascii="Times New Roman" w:hAnsi="Times New Roman" w:cs="Times New Roman"/>
          <w:sz w:val="21"/>
          <w:szCs w:val="21"/>
        </w:rPr>
        <w:t xml:space="preserve">          </w:t>
      </w:r>
      <w:r>
        <w:rPr>
          <w:rFonts w:ascii="Times New Roman" w:hAnsi="Times New Roman" w:cs="Times New Roman"/>
          <w:sz w:val="21"/>
          <w:szCs w:val="21"/>
        </w:rPr>
        <w:t xml:space="preserve"> Ю.М. Косенкова</w:t>
      </w:r>
    </w:p>
    <w:p w:rsidR="006E2DF8" w:rsidRPr="00CE43A8" w:rsidRDefault="006E2DF8" w:rsidP="006E2DF8">
      <w:pPr>
        <w:rPr>
          <w:lang w:eastAsia="ru-RU" w:bidi="hi-IN"/>
        </w:rPr>
      </w:pPr>
    </w:p>
    <w:p w:rsidR="009B5501" w:rsidRDefault="009B5501" w:rsidP="00643459">
      <w:pPr>
        <w:pStyle w:val="Standard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sectPr w:rsidR="009B5501" w:rsidSect="00A379C6">
      <w:pgSz w:w="11906" w:h="16838"/>
      <w:pgMar w:top="794" w:right="567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93872"/>
    <w:multiLevelType w:val="hybridMultilevel"/>
    <w:tmpl w:val="017C6620"/>
    <w:lvl w:ilvl="0" w:tplc="974A88A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786769"/>
    <w:multiLevelType w:val="hybridMultilevel"/>
    <w:tmpl w:val="E8D8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536"/>
    <w:rsid w:val="00020C21"/>
    <w:rsid w:val="00027E4D"/>
    <w:rsid w:val="00041D2F"/>
    <w:rsid w:val="00057F0C"/>
    <w:rsid w:val="0009572F"/>
    <w:rsid w:val="000F3DF4"/>
    <w:rsid w:val="000F6779"/>
    <w:rsid w:val="001E073A"/>
    <w:rsid w:val="00211AA7"/>
    <w:rsid w:val="00240207"/>
    <w:rsid w:val="00270CDF"/>
    <w:rsid w:val="002734A8"/>
    <w:rsid w:val="00287B3C"/>
    <w:rsid w:val="002B47AF"/>
    <w:rsid w:val="002C2AB9"/>
    <w:rsid w:val="002D2ED0"/>
    <w:rsid w:val="002F395A"/>
    <w:rsid w:val="00357227"/>
    <w:rsid w:val="00387B4B"/>
    <w:rsid w:val="003A02BB"/>
    <w:rsid w:val="003D4106"/>
    <w:rsid w:val="00422AC1"/>
    <w:rsid w:val="004267AE"/>
    <w:rsid w:val="00440FB8"/>
    <w:rsid w:val="00456CAF"/>
    <w:rsid w:val="004D1713"/>
    <w:rsid w:val="00532174"/>
    <w:rsid w:val="005A1D01"/>
    <w:rsid w:val="005D1F1F"/>
    <w:rsid w:val="005F2428"/>
    <w:rsid w:val="00643459"/>
    <w:rsid w:val="0066130D"/>
    <w:rsid w:val="006E2DF8"/>
    <w:rsid w:val="006F6B8F"/>
    <w:rsid w:val="00710725"/>
    <w:rsid w:val="00717C10"/>
    <w:rsid w:val="00722D17"/>
    <w:rsid w:val="007736A5"/>
    <w:rsid w:val="007A11F4"/>
    <w:rsid w:val="007E5A39"/>
    <w:rsid w:val="008345CF"/>
    <w:rsid w:val="00842051"/>
    <w:rsid w:val="00856E2B"/>
    <w:rsid w:val="008B5EF2"/>
    <w:rsid w:val="008C2964"/>
    <w:rsid w:val="008C4FB0"/>
    <w:rsid w:val="008E35A4"/>
    <w:rsid w:val="008E731B"/>
    <w:rsid w:val="00992628"/>
    <w:rsid w:val="009A0941"/>
    <w:rsid w:val="009B5501"/>
    <w:rsid w:val="009F2F34"/>
    <w:rsid w:val="00A02FA2"/>
    <w:rsid w:val="00A03523"/>
    <w:rsid w:val="00A32A51"/>
    <w:rsid w:val="00A379C6"/>
    <w:rsid w:val="00A94E15"/>
    <w:rsid w:val="00B55106"/>
    <w:rsid w:val="00B72573"/>
    <w:rsid w:val="00BD4ADB"/>
    <w:rsid w:val="00C03BEE"/>
    <w:rsid w:val="00C80D6C"/>
    <w:rsid w:val="00C95021"/>
    <w:rsid w:val="00CA6535"/>
    <w:rsid w:val="00CB3D85"/>
    <w:rsid w:val="00CC470D"/>
    <w:rsid w:val="00D724B0"/>
    <w:rsid w:val="00DE0536"/>
    <w:rsid w:val="00DE4D63"/>
    <w:rsid w:val="00DE73E6"/>
    <w:rsid w:val="00E00FF3"/>
    <w:rsid w:val="00E145EA"/>
    <w:rsid w:val="00E50C00"/>
    <w:rsid w:val="00E5322B"/>
    <w:rsid w:val="00F03E14"/>
    <w:rsid w:val="00F1550B"/>
    <w:rsid w:val="00FB41AA"/>
    <w:rsid w:val="00FE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69B9D"/>
  <w15:docId w15:val="{B78C2ABA-1706-4771-9262-0F6511DD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53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E0536"/>
    <w:pPr>
      <w:widowControl w:val="0"/>
      <w:suppressAutoHyphens/>
      <w:spacing w:after="0" w:line="240" w:lineRule="auto"/>
      <w:textAlignment w:val="baseline"/>
    </w:pPr>
    <w:rPr>
      <w:rFonts w:ascii="Arial" w:eastAsia="Arial Unicode MS" w:hAnsi="Arial" w:cs="Mangal"/>
      <w:kern w:val="1"/>
      <w:sz w:val="21"/>
      <w:szCs w:val="24"/>
      <w:lang w:eastAsia="hi-IN" w:bidi="hi-IN"/>
    </w:rPr>
  </w:style>
  <w:style w:type="paragraph" w:styleId="a3">
    <w:name w:val="List Paragraph"/>
    <w:aliases w:val="Bullet List,FooterText,numbered,Paragraphe de liste1,lp1"/>
    <w:basedOn w:val="a"/>
    <w:link w:val="a4"/>
    <w:uiPriority w:val="99"/>
    <w:qFormat/>
    <w:rsid w:val="00DE0536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Paragraphe de liste1 Знак,lp1 Знак"/>
    <w:link w:val="a3"/>
    <w:uiPriority w:val="99"/>
    <w:locked/>
    <w:rsid w:val="00DE0536"/>
    <w:rPr>
      <w:rFonts w:ascii="Calibri" w:eastAsia="Calibri" w:hAnsi="Calibri" w:cs="Calibri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43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459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4482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Захарова</dc:creator>
  <cp:keywords/>
  <dc:description/>
  <cp:lastModifiedBy>Юлия М. Кирьянова</cp:lastModifiedBy>
  <cp:revision>2</cp:revision>
  <cp:lastPrinted>2026-05-26T00:32:00Z</cp:lastPrinted>
  <dcterms:created xsi:type="dcterms:W3CDTF">2026-05-26T00:32:00Z</dcterms:created>
  <dcterms:modified xsi:type="dcterms:W3CDTF">2026-05-26T00:32:00Z</dcterms:modified>
</cp:coreProperties>
</file>