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9"/>
        <w:ind w:left="0"/>
        <w:spacing w:line="276" w:lineRule="auto"/>
        <w:shd w:val="clear" w:color="auto" w:fill="ffffff"/>
        <w:rPr>
          <w:b/>
          <w:bCs/>
          <w:spacing w:val="-3"/>
          <w:sz w:val="28"/>
          <w:szCs w:val="28"/>
        </w:rPr>
        <w:suppressLineNumbers w:val="0"/>
      </w:pPr>
      <w:r>
        <w:rPr>
          <w:b/>
          <w:bCs/>
          <w:spacing w:val="-3"/>
          <w:sz w:val="28"/>
          <w:szCs w:val="28"/>
        </w:rPr>
        <w:t xml:space="preserve">                             </w:t>
      </w:r>
      <w:r>
        <w:rPr>
          <w:b/>
          <w:bCs/>
          <w:spacing w:val="-3"/>
          <w:sz w:val="28"/>
          <w:szCs w:val="28"/>
        </w:rPr>
        <w:t xml:space="preserve">Государственный </w:t>
      </w:r>
      <w:r>
        <w:rPr>
          <w:b/>
          <w:bCs/>
          <w:spacing w:val="-3"/>
          <w:sz w:val="28"/>
          <w:szCs w:val="28"/>
        </w:rPr>
        <w:t xml:space="preserve">контракт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 xml:space="preserve">№ </w:t>
      </w:r>
      <w:r>
        <w:rPr>
          <w:b/>
          <w:bCs/>
          <w:spacing w:val="-3"/>
          <w:sz w:val="28"/>
          <w:szCs w:val="28"/>
        </w:rPr>
        <w:t xml:space="preserve">100201966126100102</w:t>
      </w:r>
      <w:r>
        <w:rPr>
          <w:b/>
          <w:bCs/>
          <w:spacing w:val="-3"/>
          <w:sz w:val="28"/>
          <w:szCs w:val="28"/>
        </w:rPr>
      </w:r>
      <w:r>
        <w:rPr>
          <w:b/>
          <w:bCs/>
          <w:spacing w:val="-3"/>
          <w:sz w:val="28"/>
          <w:szCs w:val="28"/>
        </w:rPr>
      </w:r>
    </w:p>
    <w:p>
      <w:pPr>
        <w:pStyle w:val="959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10"/>
        <w:spacing w:before="264"/>
        <w:shd w:val="clear" w:color="auto" w:fill="ffffff"/>
        <w:tabs>
          <w:tab w:val="left" w:pos="7371" w:leader="none"/>
          <w:tab w:val="left" w:pos="8080" w:leader="underscore"/>
          <w:tab w:val="left" w:pos="9498" w:leader="underscore"/>
        </w:tabs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г. Москва           </w:t>
      </w:r>
      <w:r>
        <w:rPr>
          <w:color w:val="000000"/>
          <w:spacing w:val="-4"/>
          <w:sz w:val="28"/>
          <w:szCs w:val="28"/>
        </w:rPr>
        <w:t xml:space="preserve">                  </w:t>
      </w:r>
      <w:r>
        <w:rPr>
          <w:color w:val="000000"/>
          <w:spacing w:val="-4"/>
          <w:sz w:val="28"/>
          <w:szCs w:val="28"/>
        </w:rPr>
        <w:t xml:space="preserve">                      </w:t>
      </w:r>
      <w:r>
        <w:rPr>
          <w:color w:val="000000"/>
          <w:spacing w:val="-4"/>
          <w:sz w:val="28"/>
          <w:szCs w:val="28"/>
        </w:rPr>
        <w:t xml:space="preserve">             </w:t>
      </w:r>
      <w:r>
        <w:rPr>
          <w:color w:val="000000"/>
          <w:spacing w:val="-4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__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___________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20</w:t>
      </w:r>
      <w:r>
        <w:rPr>
          <w:color w:val="000000"/>
          <w:spacing w:val="-3"/>
          <w:sz w:val="28"/>
          <w:szCs w:val="28"/>
        </w:rPr>
        <w:t xml:space="preserve">26</w:t>
      </w:r>
      <w:r>
        <w:rPr>
          <w:color w:val="000000"/>
          <w:spacing w:val="-3"/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right="14"/>
        <w:jc w:val="both"/>
        <w:spacing w:before="130" w:line="269" w:lineRule="exact"/>
        <w:shd w:val="clear" w:color="auto" w:fill="ffffff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</w:r>
      <w:r>
        <w:rPr>
          <w:color w:val="000000"/>
          <w:spacing w:val="-1"/>
          <w:sz w:val="28"/>
          <w:szCs w:val="28"/>
        </w:rPr>
      </w:r>
      <w:r>
        <w:rPr>
          <w:color w:val="000000"/>
          <w:spacing w:val="-1"/>
          <w:sz w:val="28"/>
          <w:szCs w:val="28"/>
        </w:rPr>
      </w:r>
    </w:p>
    <w:p>
      <w:pPr>
        <w:pStyle w:val="959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Министерство энергетики Российской Федерации (Минэнерго России),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в дальнейшем именуемое «Заказчик», в лице заместителя Министра энергетики Российской Федерации Грабчака Евгения Петровича, действующего на основании приказа Минэнерго России от 24.11.2021 № 1286 и доверенности от 23.01.2024</w:t>
        <w:br w:type="textWrapping" w:clear="all"/>
        <w:t xml:space="preserve">№ НШ-900/05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 одной стороны, и 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ндивидуальный предприниматель Ильина Оксана Александровна (ИП Ильина О.А.),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именуемый в дальнейшем «Поставщик», действующ</w:t>
      </w:r>
      <w:r>
        <w:rPr>
          <w:rFonts w:ascii="Times New Roman" w:hAnsi="Times New Roman" w:eastAsia="Times New Roman"/>
          <w:sz w:val="28"/>
          <w:szCs w:val="28"/>
        </w:rPr>
        <w:t xml:space="preserve">ий</w:t>
      </w:r>
      <w:r>
        <w:rPr>
          <w:rFonts w:ascii="Times New Roman" w:hAnsi="Times New Roman" w:eastAsia="Times New Roman"/>
          <w:sz w:val="28"/>
          <w:szCs w:val="28"/>
        </w:rPr>
        <w:t xml:space="preserve"> на основании ОГРНИП 319502700021473</w:t>
      </w:r>
      <w:r>
        <w:rPr>
          <w:rFonts w:ascii="Times New Roman" w:hAnsi="Times New Roman" w:eastAsia="Times New Roman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с другой стороны, </w:t>
        <w:br w:type="textWrapping" w:clear="all"/>
        <w:t xml:space="preserve">в дальнейшем именуемые «Стороны», в соответствии с пунктом 4 части 1 статьи 93 Федерального закона </w:t>
      </w:r>
      <w:r>
        <w:rPr>
          <w:sz w:val="28"/>
          <w:szCs w:val="28"/>
        </w:rPr>
        <w:t xml:space="preserve">от 05.04.2013 </w:t>
      </w:r>
      <w:r>
        <w:rPr>
          <w:color w:val="000000"/>
          <w:sz w:val="28"/>
          <w:szCs w:val="28"/>
        </w:rPr>
        <w:t xml:space="preserve">№ 44-ФЗ «О контрактной системе </w:t>
        <w:br w:type="textWrapping" w:clear="all"/>
        <w:t xml:space="preserve">в сфере закупок товаров, работ, услуг для обеспечения государственных </w:t>
        <w:br w:type="textWrapping" w:clear="all"/>
        <w:t xml:space="preserve">и муниципальных нужд» </w:t>
      </w:r>
      <w:r>
        <w:rPr>
          <w:sz w:val="28"/>
          <w:szCs w:val="28"/>
        </w:rPr>
        <w:t xml:space="preserve">(далее – Закон о к</w:t>
      </w:r>
      <w:r>
        <w:rPr>
          <w:sz w:val="28"/>
          <w:szCs w:val="28"/>
        </w:rPr>
        <w:t xml:space="preserve">онтрактной системе)</w:t>
      </w:r>
      <w:r>
        <w:rPr>
          <w:color w:val="000000"/>
          <w:sz w:val="28"/>
          <w:szCs w:val="28"/>
        </w:rPr>
        <w:t xml:space="preserve">, заключили настоящий государственный контракт (далее – Контракт) о нижеследующем.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9"/>
        <w:numPr>
          <w:ilvl w:val="0"/>
          <w:numId w:val="14"/>
        </w:numPr>
        <w:ind w:right="14"/>
        <w:spacing w:before="130" w:line="269" w:lineRule="exact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Предмет </w:t>
      </w:r>
      <w:r>
        <w:rPr>
          <w:b/>
          <w:bCs/>
          <w:color w:val="000000"/>
          <w:spacing w:val="-2"/>
          <w:sz w:val="28"/>
          <w:szCs w:val="28"/>
        </w:rPr>
        <w:t xml:space="preserve">Контракт</w:t>
      </w:r>
      <w:r>
        <w:rPr>
          <w:b/>
          <w:bCs/>
          <w:color w:val="000000"/>
          <w:spacing w:val="-2"/>
          <w:sz w:val="28"/>
          <w:szCs w:val="28"/>
        </w:rPr>
        <w:t xml:space="preserve">а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959"/>
        <w:ind w:firstLine="709"/>
        <w:jc w:val="both"/>
        <w:spacing w:line="276" w:lineRule="auto"/>
        <w:widowControl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1.1.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eastAsia="ar-SA"/>
        </w:rPr>
        <w:t xml:space="preserve">Поставщик обязуется </w:t>
      </w:r>
      <w:r>
        <w:rPr>
          <w:color w:val="000000"/>
          <w:sz w:val="28"/>
          <w:szCs w:val="28"/>
          <w:lang w:eastAsia="ar-SA"/>
        </w:rPr>
        <w:t xml:space="preserve">изготовить и поставить папки пластиковые</w:t>
      </w:r>
      <w:r>
        <w:rPr>
          <w:color w:val="000000"/>
          <w:sz w:val="28"/>
          <w:szCs w:val="28"/>
          <w:lang w:eastAsia="ar-SA"/>
        </w:rPr>
        <w:t xml:space="preserve"> с </w:t>
      </w:r>
      <w:r>
        <w:rPr>
          <w:color w:val="000000"/>
          <w:sz w:val="28"/>
          <w:szCs w:val="28"/>
          <w:lang w:eastAsia="ar-SA"/>
        </w:rPr>
        <w:t xml:space="preserve">логотипом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Минэнерго России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(далее – Товар), оказать все необходимые сопутствующие услуги, а Заказчик принять и оплатить Товар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1.2. Характеристика, стоимость и количество Товара указаны в спецификации (Приложение № 1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Контракту), которая является неотъемлемой частью настоящего Контракта.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ind w:firstLine="709"/>
        <w:jc w:val="both"/>
        <w:spacing w:line="276" w:lineRule="auto"/>
        <w:tabs>
          <w:tab w:val="left" w:pos="-4068" w:leader="none"/>
          <w:tab w:val="left" w:pos="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0" w:name="_gjdgxs"/>
      <w:r/>
      <w:bookmarkEnd w:id="0"/>
      <w:r>
        <w:rPr>
          <w:color w:val="000000"/>
          <w:sz w:val="28"/>
          <w:szCs w:val="28"/>
        </w:rPr>
        <w:t xml:space="preserve">1.3. Товар, передаваемый по настоящему Контракту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свободен от прав третьих лиц.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ind w:firstLine="709"/>
        <w:jc w:val="both"/>
        <w:spacing w:line="276" w:lineRule="auto"/>
        <w:tabs>
          <w:tab w:val="left" w:pos="-4068" w:leader="none"/>
          <w:tab w:val="left" w:pos="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1.4. Право на Товар переходит к Заказчику с 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ты</w:t>
      </w:r>
      <w:r>
        <w:rPr>
          <w:color w:val="000000"/>
          <w:sz w:val="28"/>
          <w:szCs w:val="28"/>
        </w:rPr>
        <w:t xml:space="preserve"> его поставки Заказчику и оплаты полной стоимости Товара.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ind w:firstLine="709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 Весь Товар должен быть новым, неиспользованным.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709"/>
        <w:spacing w:line="276" w:lineRule="auto"/>
        <w:tabs>
          <w:tab w:val="left" w:pos="709" w:leader="none"/>
        </w:tabs>
        <w:rPr>
          <w:sz w:val="26"/>
          <w:szCs w:val="26"/>
        </w:rPr>
      </w:pPr>
      <w:r>
        <w:rPr>
          <w:sz w:val="28"/>
          <w:szCs w:val="28"/>
        </w:rPr>
        <w:t xml:space="preserve">1.6. Идентификационный код закупки: </w:t>
      </w:r>
      <w:r>
        <w:rPr>
          <w:sz w:val="24"/>
          <w:szCs w:val="24"/>
        </w:rPr>
        <w:t xml:space="preserve">261770584752977050100100360000000244</w:t>
      </w:r>
      <w:r>
        <w:rPr>
          <w:sz w:val="24"/>
          <w:szCs w:val="24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59"/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1.7. Заказчиком установлено требование об от</w:t>
      </w:r>
      <w:r>
        <w:rPr>
          <w:sz w:val="28"/>
          <w:szCs w:val="28"/>
        </w:rPr>
        <w:t xml:space="preserve">сутствии информации </w:t>
        <w:br w:type="textWrapping" w:clear="all"/>
        <w:t xml:space="preserve">о Поставщик</w:t>
      </w:r>
      <w:r>
        <w:rPr>
          <w:sz w:val="28"/>
          <w:szCs w:val="28"/>
        </w:rPr>
        <w:t xml:space="preserve">е, в том числе о лицах, указанных в подпункте «в» пункта 1 части 1 статьи 43 Закона о контрактной системе, включенной в предусмотренный Законом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Контрактной системе реестр недобросовестных поставщиков (подрядчиков, исполнителей), в связи с отказом от испо</w:t>
      </w:r>
      <w:r>
        <w:rPr>
          <w:sz w:val="28"/>
          <w:szCs w:val="28"/>
        </w:rPr>
        <w:t xml:space="preserve">лнения контракта по причине введения в отношении заказчика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</w:t>
      </w:r>
      <w:r>
        <w:rPr>
          <w:sz w:val="28"/>
          <w:szCs w:val="28"/>
        </w:rPr>
        <w:t xml:space="preserve">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9"/>
        <w:ind w:left="284" w:firstLine="0"/>
        <w:spacing w:line="276" w:lineRule="auto"/>
        <w:widowControl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2. Цена Контракта и порядок оплаты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5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 xml:space="preserve">Цена Контракта</w:t>
      </w:r>
      <w:r>
        <w:rPr>
          <w:color w:val="000000"/>
          <w:sz w:val="28"/>
          <w:szCs w:val="28"/>
        </w:rPr>
        <w:t xml:space="preserve"> устанавливается в рублях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и составляет </w:t>
      </w:r>
      <w:r>
        <w:rPr>
          <w:sz w:val="28"/>
          <w:szCs w:val="28"/>
        </w:rPr>
        <w:t xml:space="preserve">240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00 (двести сорок</w:t>
      </w:r>
      <w:r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) рублей 00 копеек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облагается, </w:t>
      </w:r>
      <w:r>
        <w:rPr>
          <w:color w:val="000000"/>
          <w:sz w:val="28"/>
          <w:szCs w:val="28"/>
        </w:rPr>
        <w:t xml:space="preserve">включает </w:t>
      </w:r>
      <w:r>
        <w:rPr>
          <w:color w:val="000000"/>
          <w:sz w:val="28"/>
          <w:szCs w:val="28"/>
        </w:rPr>
        <w:t xml:space="preserve">изготовление, </w:t>
      </w:r>
      <w:r>
        <w:rPr>
          <w:color w:val="000000"/>
          <w:sz w:val="28"/>
          <w:szCs w:val="28"/>
        </w:rPr>
        <w:t xml:space="preserve">постав</w:t>
      </w:r>
      <w:r>
        <w:rPr>
          <w:color w:val="000000"/>
          <w:sz w:val="28"/>
          <w:szCs w:val="28"/>
        </w:rPr>
        <w:t xml:space="preserve">ку, </w:t>
      </w:r>
      <w:r>
        <w:rPr>
          <w:color w:val="000000"/>
          <w:sz w:val="28"/>
          <w:szCs w:val="28"/>
        </w:rPr>
        <w:t xml:space="preserve">подъем, разгрузку товара силами и за счет Поставщика в офис Заказчика, расходы </w:t>
      </w:r>
      <w:r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уплату налогов</w:t>
      </w:r>
      <w:r>
        <w:rPr>
          <w:color w:val="000000"/>
          <w:sz w:val="28"/>
          <w:szCs w:val="28"/>
        </w:rPr>
        <w:t xml:space="preserve">, пошлин и иных обязательных платежей.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jc w:val="both"/>
        <w:spacing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ab/>
        <w:t xml:space="preserve">2.2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 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          2.3</w:t>
      </w:r>
      <w:r>
        <w:rPr>
          <w:color w:val="000000"/>
          <w:sz w:val="28"/>
          <w:szCs w:val="28"/>
        </w:rPr>
        <w:t xml:space="preserve">. Все расчеты за поставленный Товар осуществляются в рублях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и производятся путем безналичного перечисления денежных средств на расчетный счет Поставщика. </w:t>
      </w:r>
      <w:r>
        <w:rPr>
          <w:sz w:val="28"/>
          <w:szCs w:val="28"/>
        </w:rPr>
        <w:t xml:space="preserve">В случае неисполнения Поставщиком </w:t>
      </w:r>
      <w:r>
        <w:rPr>
          <w:sz w:val="28"/>
          <w:szCs w:val="28"/>
        </w:rPr>
        <w:t xml:space="preserve">предъявленных Заказчиком требований об уплате неустоек (пени)</w:t>
      </w:r>
      <w:r>
        <w:rPr>
          <w:sz w:val="28"/>
          <w:szCs w:val="28"/>
        </w:rPr>
        <w:t xml:space="preserve">, Заказчик производит оплату по Контракту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за вычетом соответствующего размера неустойки (пени). Исполнение обязательства Поставщиком по перечислению неустойки (пени) в доход бюджетной системы Российской Федерации в </w:t>
      </w:r>
      <w:r>
        <w:rPr>
          <w:sz w:val="28"/>
          <w:szCs w:val="28"/>
        </w:rPr>
        <w:t xml:space="preserve">указа</w:t>
      </w:r>
      <w:r>
        <w:rPr>
          <w:sz w:val="28"/>
          <w:szCs w:val="28"/>
        </w:rPr>
        <w:t xml:space="preserve">нном случае возлагается на Заказчика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осуществляется последним на основании платежного документа с указанием Поставщика, за которого осуществляется перечисление неустойки (пени) в доход соответствующего бюджета.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ab/>
        <w:t xml:space="preserve">2.4</w:t>
      </w:r>
      <w:r>
        <w:rPr>
          <w:color w:val="000000"/>
          <w:sz w:val="28"/>
          <w:szCs w:val="28"/>
        </w:rPr>
        <w:t xml:space="preserve">. Оплата по Контракту осуществляется на основании Акта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приема – передачи товара </w:t>
      </w:r>
      <w:r>
        <w:rPr>
          <w:color w:val="000000"/>
          <w:sz w:val="28"/>
          <w:szCs w:val="28"/>
        </w:rPr>
        <w:t xml:space="preserve">(Приложение №2 к Контракту) </w:t>
      </w:r>
      <w:r>
        <w:rPr>
          <w:color w:val="000000"/>
          <w:sz w:val="28"/>
          <w:szCs w:val="28"/>
        </w:rPr>
        <w:t xml:space="preserve">с приложением счета, счет-фактуры</w:t>
      </w:r>
      <w:r>
        <w:rPr>
          <w:color w:val="000000"/>
          <w:sz w:val="28"/>
          <w:szCs w:val="28"/>
          <w:vertAlign w:val="superscript"/>
        </w:rPr>
        <w:footnoteReference w:id="2"/>
      </w:r>
      <w:r>
        <w:rPr>
          <w:color w:val="000000"/>
          <w:sz w:val="28"/>
          <w:szCs w:val="28"/>
        </w:rPr>
        <w:t xml:space="preserve">, товарной накладной (или универсального передаточного документа) в течение 7</w:t>
      </w:r>
      <w:r>
        <w:rPr>
          <w:color w:val="000000"/>
          <w:sz w:val="28"/>
          <w:szCs w:val="28"/>
        </w:rPr>
        <w:t xml:space="preserve">-м</w:t>
      </w:r>
      <w:r>
        <w:rPr>
          <w:color w:val="000000"/>
          <w:sz w:val="28"/>
          <w:szCs w:val="28"/>
        </w:rPr>
        <w:t xml:space="preserve">и (семи) рабочих дней после подписания </w:t>
      </w:r>
      <w:r>
        <w:rPr>
          <w:sz w:val="28"/>
          <w:szCs w:val="28"/>
        </w:rPr>
        <w:t xml:space="preserve">Заказчиком</w:t>
      </w:r>
      <w:r>
        <w:rPr>
          <w:color w:val="000000"/>
          <w:sz w:val="28"/>
          <w:szCs w:val="28"/>
        </w:rPr>
        <w:t xml:space="preserve"> Акта приема-передачи товара</w:t>
      </w:r>
      <w:r>
        <w:rPr>
          <w:color w:val="000000"/>
          <w:sz w:val="28"/>
          <w:szCs w:val="28"/>
        </w:rPr>
        <w:t xml:space="preserve"> (Приложение №2 к Контракту)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ind w:firstLine="708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.5</w:t>
      </w:r>
      <w:r>
        <w:rPr>
          <w:sz w:val="28"/>
          <w:szCs w:val="28"/>
        </w:rPr>
        <w:t xml:space="preserve">. Финансирование настоящего </w:t>
      </w:r>
      <w:r>
        <w:rPr>
          <w:sz w:val="28"/>
          <w:szCs w:val="28"/>
        </w:rPr>
        <w:t xml:space="preserve">Контракта</w:t>
      </w:r>
      <w:r>
        <w:rPr>
          <w:sz w:val="28"/>
          <w:szCs w:val="28"/>
        </w:rPr>
        <w:t xml:space="preserve"> осуществляется за счет средств федерального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both"/>
        <w:spacing w:line="276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2.6</w:t>
      </w:r>
      <w:r>
        <w:rPr>
          <w:sz w:val="28"/>
          <w:szCs w:val="28"/>
          <w:lang w:eastAsia="ar-SA"/>
        </w:rPr>
        <w:t xml:space="preserve">. В случае, если поставка Товара приходится на декабрь финансового года,</w:t>
      </w:r>
      <w:r>
        <w:rPr>
          <w:sz w:val="28"/>
          <w:szCs w:val="28"/>
          <w:lang w:eastAsia="ar-SA"/>
        </w:rPr>
        <w:t xml:space="preserve"> оплата осуществляется в следующем порядке: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Style w:val="959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eastAsia="ar-SA"/>
        </w:rPr>
        <w:t xml:space="preserve">поставка Товара</w:t>
      </w:r>
      <w:r>
        <w:rPr>
          <w:sz w:val="28"/>
          <w:szCs w:val="28"/>
        </w:rPr>
        <w:t xml:space="preserve"> приходится на дату с 1 по 20 декабря финансового года включительно, – не позднее, чем за один рабочий день до окончания текущего финансового года в пределах лимитов бюджетных </w:t>
      </w:r>
      <w:r>
        <w:rPr>
          <w:sz w:val="28"/>
          <w:szCs w:val="28"/>
        </w:rPr>
        <w:t xml:space="preserve">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eastAsia="ar-SA"/>
        </w:rPr>
        <w:t xml:space="preserve">поставка Товара</w:t>
      </w:r>
      <w:r>
        <w:rPr>
          <w:sz w:val="28"/>
          <w:szCs w:val="28"/>
        </w:rPr>
        <w:t xml:space="preserve"> приходится на дату с 21 по 31 декабря финансового года включительно, – в очередном финансовом году в пределах лимитов бюджетных обязательств, доведенных до получателя средств федерального бюджета на очередной финансовый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3"/>
        <w:ind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3. Условия поставки Товара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3.1. Место поставки Товара – административное здание Заказчика (далее - офис), расположенное по адресу: г. Мо</w:t>
      </w:r>
      <w:r>
        <w:rPr>
          <w:color w:val="000000"/>
          <w:sz w:val="28"/>
          <w:szCs w:val="28"/>
        </w:rPr>
        <w:t xml:space="preserve">сква, ул. Щепкина, д. 42, стр.1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0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3.2</w:t>
      </w:r>
      <w:r>
        <w:rPr>
          <w:sz w:val="28"/>
          <w:szCs w:val="28"/>
        </w:rPr>
        <w:t xml:space="preserve">. Срок поставки товара: в течение 20</w:t>
      </w:r>
      <w:r>
        <w:rPr>
          <w:sz w:val="28"/>
          <w:szCs w:val="28"/>
        </w:rPr>
        <w:t xml:space="preserve"> рабочих дней с даты заключения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.3</w:t>
      </w:r>
      <w:r>
        <w:rPr>
          <w:color w:val="000000"/>
          <w:sz w:val="28"/>
          <w:szCs w:val="28"/>
        </w:rPr>
        <w:t xml:space="preserve">. Весь Товар должен быть в упаковках, гарантирующих сохранность продукции.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3.4</w:t>
      </w:r>
      <w:r>
        <w:rPr>
          <w:color w:val="000000"/>
          <w:sz w:val="28"/>
          <w:szCs w:val="28"/>
        </w:rPr>
        <w:t xml:space="preserve">. Поставщик обязуется собственными силами и за свой счет вывезти Товар со склада и доставить его Заказчику в офис.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3.5</w:t>
      </w:r>
      <w:r>
        <w:rPr>
          <w:color w:val="000000"/>
          <w:sz w:val="28"/>
          <w:szCs w:val="28"/>
        </w:rPr>
        <w:t xml:space="preserve">. Поставщик осуществляет поставку и подъем, а также разгрузку Товара своими силами и за свой счет в офис Заказчика.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3.6</w:t>
      </w:r>
      <w:r>
        <w:rPr>
          <w:color w:val="000000"/>
          <w:sz w:val="28"/>
          <w:szCs w:val="28"/>
        </w:rPr>
        <w:t xml:space="preserve">. Поставщик сопроводительным письмом предоставляет Заказчику в течение 5-ти рабочих дней после поставки Товара Акт приема-передачи товара </w:t>
        <w:br w:type="textWrapping" w:clear="all"/>
        <w:t xml:space="preserve">(Приложение № 2) с приложением счета, счет-фактуры</w:t>
      </w:r>
      <w:r>
        <w:rPr>
          <w:color w:val="000000"/>
          <w:sz w:val="28"/>
          <w:szCs w:val="28"/>
          <w:vertAlign w:val="superscript"/>
        </w:rPr>
        <w:footnoteReference w:id="3"/>
      </w:r>
      <w:r>
        <w:rPr>
          <w:color w:val="000000"/>
          <w:sz w:val="28"/>
          <w:szCs w:val="28"/>
        </w:rPr>
        <w:t xml:space="preserve">,  товарной накладной (или универсального передаточного документа).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3.7</w:t>
      </w:r>
      <w:r>
        <w:rPr>
          <w:color w:val="000000"/>
          <w:sz w:val="28"/>
          <w:szCs w:val="28"/>
        </w:rPr>
        <w:t xml:space="preserve">. Зака</w:t>
      </w:r>
      <w:r>
        <w:rPr>
          <w:color w:val="000000"/>
          <w:sz w:val="28"/>
          <w:szCs w:val="28"/>
        </w:rPr>
        <w:t xml:space="preserve">зчик в течение 10-ти рабочих дней со дня получения Акта приема-передачи товара обязан подписать представленный Поставщиком Акт приема-передачи товара (или дать мотивированный отказ) и отправить второй экземпляр по адресу, указанному в настоящем Контракте.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4. Права и обязанности Заказчика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4.1. Заказчик: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4.1.1. Дает поручение Поставщику об изготовлении и поставке Товара в соответствии с требованиями С</w:t>
      </w:r>
      <w:r>
        <w:rPr>
          <w:rFonts w:ascii="Times New Roman" w:hAnsi="Times New Roman" w:eastAsia="Times New Roman"/>
          <w:sz w:val="28"/>
          <w:szCs w:val="28"/>
        </w:rPr>
        <w:t xml:space="preserve">пецификации (Приложение № 1 к Контракту) и условиями настоящего Контракта.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4.1.2. Передает Поставщику в течение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в течение 1 (одного) рабочего дня после подписания Контракта по электронной почте исходные материалы, необходимые для разработки макетов</w:t>
      </w:r>
      <w:r>
        <w:rPr>
          <w:rFonts w:ascii="Times New Roman" w:hAnsi="Times New Roman" w:eastAsia="Times New Roman"/>
          <w:sz w:val="28"/>
          <w:szCs w:val="28"/>
        </w:rPr>
        <w:t xml:space="preserve"> Товара.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4.1.3. </w:t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8"/>
          <w:szCs w:val="28"/>
        </w:rPr>
        <w:t xml:space="preserve">В течение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 (двух) рабочих дней</w:t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8"/>
          <w:szCs w:val="28"/>
        </w:rPr>
        <w:t xml:space="preserve"> с даты получения по электронной почте от Поставщика разработанных эскизов/макетов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рассматривает и утверждает/согласовывает</w:t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8"/>
          <w:szCs w:val="28"/>
        </w:rPr>
        <w:t xml:space="preserve"> их.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наличия замечаний к эскизам/макетам,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Поставщик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обязан внести изменения в течение 1 рабочего дня.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4.2. В случае обнаружения недостатков Товара Заказчик вправе на свое усмотрение потребовать от Поставщика: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4.2.1. Безвозмездного устранения недостатков;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4.2.2. Возмещения понесенных Заказчиком расходов по исправлению недостатков своими силами или третьими лицами.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4.3. Обеспечивает оплату Товара в соответствии с порядком и условиями, предусмотренными разделом 2 настоящего Контракта.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widowControl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5.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Права и обязанности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Поставщика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5.1. Поставщик обязан: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/>
          <w:color w:val="000000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5.1.1.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Поставщик обязан в соответствии с законодательством Российской Федерации и Приложением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№ 1 к настоящему Контракту качественно и в срок поставить Товар.</w:t>
      </w:r>
      <w:r>
        <w:rPr>
          <w:rFonts w:ascii="Times New Roman" w:hAnsi="Times New Roman"/>
          <w:color w:val="000000"/>
          <w:spacing w:val="-2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2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highlight w:val="none"/>
        </w:rPr>
        <w:t xml:space="preserve">5.1.2.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Поставщик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обязан в течение 1 (одного) рабочего дня с даты заключения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Контракта назначает ответственное контактное лицо, сообщает электронную почту и номер телефона. Об изменении контактной информации ответственного лица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Поставщик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обязан уведомить в течение 1 (одного) рабочего дня со дня возникновения таких изменений.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none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5.1.3.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  <w:highlight w:val="white"/>
        </w:rPr>
        <w:t xml:space="preserve">Поставщик обязан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разработать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эскизы/макеты логот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ипа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учетом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/>
          <w:sz w:val="28"/>
          <w:szCs w:val="28"/>
        </w:rPr>
        <w:t xml:space="preserve">пецификации (Приложение № 1 к Контракту)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течение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 (трех) рабочих дней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даты получения заявки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представить Заказчику на утверждение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/согласование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Утверждение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/согласование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оригинал-макета Заказчиком выполняется в письменной форме.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pacing w:val="-2"/>
          <w:sz w:val="28"/>
          <w:szCs w:val="28"/>
          <w:highlight w:val="none"/>
        </w:rPr>
        <w:t xml:space="preserve">5.1.4.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Поставщик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обязан внести изменения в течение 1 рабочего дня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случае наличия замечаний к эскизам/макетам логотипов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5.1.6. Поставщик о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бязан в течение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срока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указанного в пункте 3.2 Контракта, обеспечить изготовление и поставку Товара.</w:t>
      </w:r>
      <w:r>
        <w:rPr>
          <w:rFonts w:ascii="Times New Roman" w:hAnsi="Times New Roman"/>
          <w:color w:val="000000"/>
          <w:spacing w:val="-2"/>
          <w:sz w:val="28"/>
          <w:szCs w:val="28"/>
        </w:rPr>
      </w:r>
      <w:r>
        <w:rPr>
          <w:rFonts w:ascii="Times New Roman" w:hAnsi="Times New Roman"/>
          <w:color w:val="000000"/>
          <w:spacing w:val="-2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5.2.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Поставщик вправе изготовить и поставить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Товар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указанный в Приложении № 1 к Контракту досрочно.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/>
          <w:bCs/>
          <w:color w:val="000000"/>
          <w:spacing w:val="-2"/>
          <w:sz w:val="28"/>
          <w:szCs w:val="28"/>
          <w:highlight w:val="yellow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5.3.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Поставщик имеет право требовать оплаты за поставленный Товар в соответствии с порядком, предусмотренным разделом 2 настоящего Контракта.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  <w:highlight w:val="yellow"/>
        </w:rPr>
      </w:r>
      <w:r>
        <w:rPr>
          <w:rFonts w:ascii="Times New Roman" w:hAnsi="Times New Roman"/>
          <w:bCs/>
          <w:color w:val="000000"/>
          <w:spacing w:val="-2"/>
          <w:sz w:val="28"/>
          <w:szCs w:val="28"/>
          <w:highlight w:val="yellow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6. Ответственность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6.1. За неисполнение или ненадлежащее исполнение своих обязательств по настоящему Контракту Заказчик и Поставщик несут ответственность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6.2. В случае возникновения споров Стороны обязуются принять все меры для их разрешения путем договоренности.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6.3. В случае просрочки исполнения Поставщиком обязательства, предусмотренного настоящим Контрактом, Заказчик вправе потребовать уплату неустойки (пени) в размере 1/300 действующей на день уплаты неустойки ключе</w:t>
      </w:r>
      <w:r>
        <w:rPr>
          <w:sz w:val="28"/>
          <w:szCs w:val="28"/>
        </w:rPr>
        <w:t xml:space="preserve">вой ставки Центрального банка Российской Федерации за каждый день просрочки исполнения обязательства, предусмотренного настоящим Контрактом, начиная со дня, следующего после дня истечения, установленного настоящим Контрактом срока исполнения обязательства.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6.4. В случае задержки платежей Заказчиком против срока, указанного в Контракте, Поставщик вправе потребовать от Заказчика выплату неустойки (п</w:t>
      </w:r>
      <w:r>
        <w:rPr>
          <w:sz w:val="28"/>
          <w:szCs w:val="28"/>
        </w:rPr>
        <w:t xml:space="preserve">ени) на сумму задержанного платежа в размере 1/300 действующей на день уплаты неустойки ключевой ставки Центрального банка Российской Федерации за каждый день просрочки, начиная со дня, следующего за днем истечения срока оплаты, установленного в Контракте.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6.5. При недостижении до</w:t>
      </w:r>
      <w:r>
        <w:rPr>
          <w:sz w:val="28"/>
          <w:szCs w:val="28"/>
        </w:rPr>
        <w:t xml:space="preserve">говоренности все споры, разногласия или требования, возникающие из настоящего Контракта или в связи с ним, в том числе касающиеся его заключения, исполнения, нарушения, прекращения или недействительности, подлежат рассмотрению в Арбитражном суде г. Москвы.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left="284" w:right="0" w:hanging="1"/>
        <w:spacing w:line="240" w:lineRule="auto"/>
        <w:rPr>
          <w:rFonts w:eastAsia="Courier New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Courier New"/>
          <w:b/>
          <w:color w:val="000000"/>
          <w:sz w:val="28"/>
          <w:szCs w:val="28"/>
        </w:rPr>
        <w:t xml:space="preserve">Срок действия Контракта</w:t>
      </w:r>
      <w:r>
        <w:rPr>
          <w:rFonts w:eastAsia="Courier New"/>
          <w:b/>
          <w:color w:val="000000"/>
          <w:sz w:val="28"/>
          <w:szCs w:val="28"/>
        </w:rPr>
      </w:r>
      <w:r>
        <w:rPr>
          <w:rFonts w:eastAsia="Courier New"/>
          <w:b/>
          <w:color w:val="000000"/>
          <w:sz w:val="28"/>
          <w:szCs w:val="28"/>
        </w:rPr>
      </w:r>
    </w:p>
    <w:p>
      <w:pPr>
        <w:ind w:firstLine="567"/>
        <w:jc w:val="both"/>
        <w:spacing w:line="240" w:lineRule="auto"/>
        <w:shd w:val="clear" w:color="auto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7.</w:t>
      </w:r>
      <w:r>
        <w:rPr>
          <w:sz w:val="28"/>
          <w:szCs w:val="28"/>
        </w:rPr>
        <w:t xml:space="preserve">1. Настоящий Контракт вступает в силу с даты его заключения Сторонами и действует до полного выполнения Сторонами свои</w:t>
      </w:r>
      <w:r>
        <w:rPr>
          <w:sz w:val="28"/>
          <w:szCs w:val="28"/>
        </w:rPr>
        <w:t xml:space="preserve">х обязательств, но не позднее </w:t>
      </w:r>
      <w:r>
        <w:rPr>
          <w:sz w:val="28"/>
          <w:szCs w:val="28"/>
        </w:rPr>
        <w:t xml:space="preserve">30</w:t>
      </w:r>
      <w:bookmarkStart w:id="0" w:name="undefined"/>
      <w:r/>
      <w:bookmarkEnd w:id="0"/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left="284" w:right="0" w:hanging="1"/>
        <w:spacing w:line="240" w:lineRule="auto"/>
        <w:rPr>
          <w:rFonts w:eastAsia="Courier New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Courier New"/>
          <w:b/>
          <w:color w:val="000000"/>
          <w:sz w:val="28"/>
          <w:szCs w:val="28"/>
        </w:rPr>
        <w:t xml:space="preserve">Досрочное прекращение Контракта</w:t>
      </w:r>
      <w:r>
        <w:rPr>
          <w:rFonts w:eastAsia="Courier New"/>
          <w:b/>
          <w:color w:val="000000"/>
          <w:sz w:val="28"/>
          <w:szCs w:val="28"/>
        </w:rPr>
      </w:r>
      <w:r>
        <w:rPr>
          <w:rFonts w:eastAsia="Courier New"/>
          <w:b/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8.1. </w:t>
      </w:r>
      <w:r>
        <w:rPr>
          <w:sz w:val="28"/>
          <w:szCs w:val="28"/>
        </w:rPr>
        <w:t xml:space="preserve">Настоящий Контракт может быть расторгнут по соглашению Сторон, в судебном порядке или в одностороннем порядке в соответствии с гражданским законодательством.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8.2. Ни одна из Сторон не будет иметь по отношению к другой Стороне никаких обязательств по Контракту после расторжения Контракта и урегулирования обязательств.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283"/>
        <w:jc w:val="both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9. Конфиденциальность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9.1. Поставщик обязан сохранить в тайне информацию, которая стала ему известна в ходе исполнения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142"/>
        <w:jc w:val="both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10. Обстоятельства непреодолимой силы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10.1. 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 (форс-мажор).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10.2. О наступлении форс-мажорных обстоятельств, а также о предполагаемом сроке их действия Стор</w:t>
      </w:r>
      <w:r>
        <w:rPr>
          <w:sz w:val="28"/>
          <w:szCs w:val="28"/>
        </w:rPr>
        <w:t xml:space="preserve">она, для которой они наступили, извещает в письменной форме другую Сторону не позднее трех рабочих дней с момента их наступления. Сроки исполнения обязательств переносятся пропорционально действию форс-мажорных обстоятельств, но не более чем на два месяца.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10.3. Неизвеще</w:t>
      </w:r>
      <w:r>
        <w:rPr>
          <w:sz w:val="28"/>
          <w:szCs w:val="28"/>
        </w:rPr>
        <w:t xml:space="preserve">ние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ответственности за несвоевременное исполнение обязательств по отношению к другой Стороне.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10.4. В случае если форс-мажорные обстоятельства продлятся более двух месяцев, Стороны вправе расторгнуть настоящий Контракт, создав комиссию из представителей Сторон для урегулирования всех споров.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142"/>
        <w:jc w:val="both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11. Заключительные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>
        <w:rPr>
          <w:color w:val="000000"/>
          <w:sz w:val="28"/>
          <w:szCs w:val="28"/>
        </w:rPr>
        <w:t xml:space="preserve">Настоящий Контракт составлен в </w:t>
      </w:r>
      <w:r>
        <w:rPr>
          <w:color w:val="000000"/>
          <w:sz w:val="28"/>
          <w:szCs w:val="28"/>
        </w:rPr>
        <w:t xml:space="preserve">форме электронного документа, подписанного усиленными электронными подписями Сторон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11.2. Изменения и дополнения к Контракту действительны, если они совершены в письменной форме, подписаны уполномоченными представителями Сторон.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11.3. Прекращение (окончание) срока действия Контракта не освобождает Стороны от ответственности за нарушения, если таковые имели место при исполнении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11.4. В случае изменения реквизитов Стороны обязаны в семидневный срок письменно уведомить об этом друг друга.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11.5. К настоящему Контракту прилагаются и являются его неотъемлемой частью: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1: Спецификация.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2: Форма Акта приема-передачи товара.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720"/>
        <w:spacing w:line="276" w:lineRule="auto"/>
        <w:widowControl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</w:r>
      <w:r>
        <w:rPr>
          <w:color w:val="000000"/>
          <w:sz w:val="28"/>
          <w:szCs w:val="28"/>
          <w:lang w:eastAsia="ar-SA"/>
        </w:rPr>
      </w:r>
      <w:r>
        <w:rPr>
          <w:color w:val="000000"/>
          <w:sz w:val="28"/>
          <w:szCs w:val="28"/>
          <w:lang w:eastAsia="ar-SA"/>
        </w:rPr>
      </w:r>
    </w:p>
    <w:p>
      <w:pPr>
        <w:pStyle w:val="959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  <w:highlight w:val="none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12</w:t>
      </w:r>
      <w:r>
        <w:rPr>
          <w:b/>
          <w:bCs/>
          <w:color w:val="000000"/>
          <w:spacing w:val="-2"/>
          <w:sz w:val="28"/>
          <w:szCs w:val="28"/>
        </w:rPr>
        <w:t xml:space="preserve">. ЮРИДИЧЕСКИЕ АДРЕСА И РЕКВИЗИТЫ СТОРОН</w:t>
      </w:r>
      <w:r>
        <w:rPr>
          <w:b/>
          <w:bCs/>
          <w:color w:val="000000"/>
          <w:spacing w:val="-2"/>
          <w:sz w:val="28"/>
          <w:szCs w:val="28"/>
          <w:highlight w:val="none"/>
        </w:rPr>
      </w:r>
      <w:r>
        <w:rPr>
          <w:b/>
          <w:bCs/>
          <w:color w:val="000000"/>
          <w:spacing w:val="-2"/>
          <w:sz w:val="28"/>
          <w:szCs w:val="28"/>
          <w:highlight w:val="none"/>
        </w:rPr>
      </w:r>
    </w:p>
    <w:p>
      <w:pPr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  <w:highlight w:val="none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tbl>
      <w:tblPr>
        <w:tblW w:w="9922" w:type="dxa"/>
        <w:tblInd w:w="28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81"/>
        <w:gridCol w:w="524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Заказчик: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Поставщик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Министерство энергетики Российской Федерации (Минэнерго России)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Индивидуальный предприниматель 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Ильина Оксана Александровна </w:t>
              <w:br/>
              <w:t xml:space="preserve">(ИП Ильина О.А.)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Китайгородский пр-д, д. 7, г. Москва,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109012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Московская обл., Воскресенский р-он,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с. Фаустово, ул. Садовая, д. 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Почтовый адрес: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Фактический адрес: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Щепкина ул., д. 42, стр. 1,2 г. Москва, ГСП-6 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29110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Московская обл., Воскресенский р-он,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с. Фаустово, ул. Садовая, д. 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Банковские реквизиты: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ИНН 7705847529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КПП 770501001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Межрегиональное операционное УФК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(Минэнерго России, л/с 03951000220)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р/с 40102810045370000002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Операционном департаменте Банка России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//Ме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жрегиональное операционное УФК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г. Москва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к/с 0321164300000001950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БИК 024501901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ОКПО/ОКТМО 00083641/45381000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minenergo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minenergo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тел. 8 (495)631 98 58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Дата постановки на учет в налоговом органе 24.06.2008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8"/>
                <w:szCs w:val="28"/>
              </w:rPr>
              <w:t xml:space="preserve">500504747451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Банковские реквизиты: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р\с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40802810801500053642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Банк получателя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Банк Точка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к\с 30101810745374525104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БИК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0445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25104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ОКПО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0148016499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ОКТМО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46710000446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ОГРНИП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319502700021473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ОКВЭД 69.20 18.12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е-mail: obsta@mail.ru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тел. +7(915) 232-30-47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Дата постановки на учет в налоговом органе 06.03.2019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Заказчик: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Министра энергетики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8"/>
                <w:szCs w:val="28"/>
              </w:rPr>
              <w:t xml:space="preserve">____________________ Е.П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Грабчак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Поставщик: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_________________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О.А. Ильина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М.П.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М.П.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68"/>
        <w:ind w:left="0"/>
        <w:jc w:val="right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left="0"/>
        <w:jc w:val="right"/>
        <w:spacing w:after="0"/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continuous"/>
          <w:pgSz w:w="11906" w:h="16838" w:orient="portrait"/>
          <w:pgMar w:top="142" w:right="566" w:bottom="426" w:left="1134" w:header="708" w:footer="708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Контракт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_____________ 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0"/>
        <w:jc w:val="right"/>
        <w:spacing w:before="0" w:after="0" w:line="420" w:lineRule="atLeast"/>
        <w:rPr>
          <w:rFonts w:ascii="Arial" w:hAnsi="Arial" w:cs="Arial"/>
          <w:bCs/>
          <w:color w:val="08373b"/>
          <w:szCs w:val="36"/>
          <w:lang w:val="ru-RU"/>
        </w:rPr>
      </w:pPr>
      <w:r>
        <w:rPr>
          <w:b w:val="0"/>
          <w:bCs/>
          <w:sz w:val="28"/>
          <w:szCs w:val="28"/>
        </w:rPr>
        <w:t xml:space="preserve">№ </w:t>
      </w:r>
      <w:r>
        <w:rPr>
          <w:b w:val="0"/>
          <w:bCs w:val="0"/>
          <w:spacing w:val="-3"/>
          <w:sz w:val="28"/>
          <w:szCs w:val="28"/>
        </w:rPr>
        <w:t xml:space="preserve">100201966126100102</w:t>
      </w:r>
      <w:r>
        <w:rPr>
          <w:rFonts w:ascii="Arial" w:hAnsi="Arial" w:cs="Arial"/>
          <w:bCs/>
          <w:color w:val="08373b"/>
          <w:szCs w:val="36"/>
          <w:lang w:val="ru-RU"/>
        </w:rPr>
      </w:r>
      <w:r>
        <w:rPr>
          <w:rFonts w:ascii="Arial" w:hAnsi="Arial" w:cs="Arial"/>
          <w:bCs/>
          <w:color w:val="08373b"/>
          <w:szCs w:val="36"/>
          <w:lang w:val="ru-RU"/>
        </w:rPr>
      </w:r>
    </w:p>
    <w:p>
      <w:pPr>
        <w:pStyle w:val="970"/>
        <w:jc w:val="right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Спецификация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pPr w:horzAnchor="page" w:tblpX="1019" w:vertAnchor="page" w:tblpY="2968" w:leftFromText="180" w:topFromText="0" w:rightFromText="180" w:bottomFromText="0"/>
        <w:tblW w:w="104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85"/>
        <w:gridCol w:w="1985"/>
        <w:gridCol w:w="2808"/>
        <w:gridCol w:w="851"/>
        <w:gridCol w:w="850"/>
        <w:gridCol w:w="992"/>
        <w:gridCol w:w="1141"/>
        <w:gridCol w:w="1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8"/>
        </w:trPr>
        <w:tc>
          <w:tcPr>
            <w:tcW w:w="585" w:type="dxa"/>
            <w:vAlign w:val="top"/>
            <w:textDirection w:val="lrTb"/>
            <w:noWrap w:val="false"/>
          </w:tcPr>
          <w:p>
            <w:pPr>
              <w:pStyle w:val="959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№ п/п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5" w:type="dxa"/>
            <w:vAlign w:val="center"/>
            <w:textDirection w:val="lrTb"/>
            <w:noWrap/>
          </w:tcPr>
          <w:p>
            <w:pPr>
              <w:pStyle w:val="959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Наименование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08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Характеристики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изм.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Кол-во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59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Цена за ед. (руб.)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Сумма (руб.)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59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Страна происхождения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pStyle w:val="959"/>
              <w:contextualSpacing/>
              <w:rPr>
                <w:color w:val="000000"/>
                <w:sz w:val="28"/>
                <w:szCs w:val="28"/>
                <w:lang w:val="en-US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1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1985" w:type="dxa"/>
            <w:vAlign w:val="center"/>
            <w:textDirection w:val="lrTb"/>
            <w:noWrap/>
          </w:tcPr>
          <w:p>
            <w:pPr>
              <w:pStyle w:val="959"/>
              <w:jc w:val="center"/>
              <w:rPr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808" w:type="dxa"/>
            <w:vAlign w:val="top"/>
            <w:textDirection w:val="lrTb"/>
            <w:noWrap w:val="false"/>
          </w:tcPr>
          <w:p>
            <w:pPr>
              <w:pStyle w:val="959"/>
              <w:jc w:val="center"/>
              <w:rPr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59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b/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b/>
                <w:color w:val="000000"/>
                <w:sz w:val="28"/>
                <w:szCs w:val="28"/>
              </w:rPr>
              <w:t xml:space="preserve">7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59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/>
        </w:trPr>
        <w:tc>
          <w:tcPr>
            <w:tcW w:w="585" w:type="dxa"/>
            <w:vAlign w:val="center"/>
            <w:textDirection w:val="lrTb"/>
            <w:noWrap w:val="false"/>
          </w:tcPr>
          <w:p>
            <w:pPr>
              <w:pStyle w:val="959"/>
              <w:contextualSpacing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 1.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</w:rPr>
              <w:t xml:space="preserve">Папка пластиковая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логотипом Минэнерго России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ОКПД 2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22.29.25.000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59"/>
              <w:jc w:val="center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808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Код КТРУ</w:t>
            </w:r>
            <w:r>
              <w:rPr>
                <w:color w:val="000000"/>
                <w:sz w:val="28"/>
                <w:szCs w:val="28"/>
              </w:rPr>
              <w:t xml:space="preserve"> 22.29.25.000-00000010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Тип – папка-уголок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Формат – А4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Дополнительные характеристики:*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Толщина пластика ≥ </w:t>
            </w:r>
            <w:r>
              <w:rPr>
                <w:sz w:val="28"/>
                <w:szCs w:val="28"/>
              </w:rPr>
              <w:t xml:space="preserve">180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40" w:lineRule="auto"/>
              <w:rPr>
                <w:iCs w:val="0"/>
              </w:rPr>
            </w:pPr>
            <w:r>
              <w:rPr>
                <w:sz w:val="28"/>
                <w:szCs w:val="28"/>
              </w:rPr>
              <w:t xml:space="preserve">Цвет -</w:t>
            </w:r>
            <w:r>
              <w:rPr>
                <w:sz w:val="28"/>
                <w:szCs w:val="28"/>
              </w:rPr>
              <w:t xml:space="preserve"> прозрачный,</w:t>
            </w:r>
            <w:r>
              <w:rPr>
                <w:iCs w:val="0"/>
              </w:rPr>
            </w:r>
            <w:r>
              <w:rPr>
                <w:iCs w:val="0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 лицевой стороне папки размещается 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зображение ведомств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енного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герба на фоне фирменного паттерна Министерства энергетики Российской Федерации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с учетом требований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ведомственного стиля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 Минэнерго России, утвержденного по результатам исполнения государственного контракта от 17.12.2025 </w:t>
              <w:br/>
              <w:t xml:space="preserve">№ 100201966125100215 на оказание услуг по разработке ведомственного стиля 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брендбука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) и созданию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гайдбука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 Министерства энергетики Российской Федерации (примеры ведомственного стиля размещены на официальном сайте Минэнерго России: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1"/>
                <w:szCs w:val="21"/>
              </w:rPr>
            </w:r>
          </w:p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</w:rPr>
            </w:r>
            <w:hyperlink r:id="rId11" w:tooltip="https://minenergo.gov.ru/ministry/o-geraldicheskom-znake-minenergo-rossii" w:history="1">
              <w:r>
                <w:rPr>
                  <w:rStyle w:val="941"/>
                  <w:rFonts w:ascii="Times New Roman" w:hAnsi="Times New Roman" w:eastAsia="Times New Roman" w:cs="Times New Roman"/>
                  <w:i w:val="0"/>
                  <w:iCs w:val="0"/>
                  <w:color w:val="000000" w:themeColor="text1"/>
                  <w:sz w:val="28"/>
                  <w:szCs w:val="28"/>
                </w:rPr>
                <w:t xml:space="preserve">https://minenergo.gov.ru/ministry/o-geraldicheskom-znake-minenergo-rossii</w:t>
              </w:r>
            </w:hyperlink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/>
          </w:p>
          <w:p>
            <w:pPr>
              <w:pStyle w:val="959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логотипа на папке: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spacing w:line="276" w:lineRule="auto"/>
              <w:rPr>
                <w:color w:val="000000"/>
                <w:sz w:val="28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29210</wp:posOffset>
                      </wp:positionV>
                      <wp:extent cx="1274445" cy="1335405"/>
                      <wp:effectExtent l="0" t="0" r="0" b="0"/>
                      <wp:wrapNone/>
                      <wp:docPr id="1" name="_x0000_s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74445" cy="1335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524288;o:allowoverlap:true;o:allowincell:true;mso-position-horizontal-relative:text;margin-left:3.70pt;mso-position-horizontal:absolute;mso-position-vertical-relative:text;margin-top:2.30pt;mso-position-vertical:absolute;width:100.35pt;height:105.15pt;mso-wrap-distance-left:9.00pt;mso-wrap-distance-top:0.00pt;mso-wrap-distance-right:9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МИНИСТЕРСТВО 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/>
                <w:bCs/>
                <w:color w:val="000000" w:themeColor="text1"/>
              </w:rPr>
              <w:t xml:space="preserve">    ЭНЕРГЕТИКИ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pStyle w:val="959"/>
              <w:jc w:val="center"/>
              <w:spacing w:line="276" w:lineRule="auto"/>
              <w:rPr>
                <w:b/>
                <w:bCs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b/>
                <w:bCs/>
                <w:color w:val="000000" w:themeColor="text1"/>
                <w:highlight w:val="none"/>
              </w:rPr>
              <w:t xml:space="preserve">     </w:t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none"/>
              </w:rPr>
              <w:t xml:space="preserve">РОССИЙСКОЙ ФЕДЕРАЦИИ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</w:p>
          <w:p>
            <w:pPr>
              <w:jc w:val="both"/>
              <w:spacing w:line="276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Цвет логотипа и текста – под серебро,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Флаг внутри логотипа – красный, синий, белый, исполняется фольгой,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Высота надписи с гербом на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бложке</w:t>
            </w:r>
            <w:r>
              <w:rPr>
                <w:color w:val="000000"/>
                <w:sz w:val="28"/>
                <w:szCs w:val="28"/>
              </w:rPr>
              <w:t xml:space="preserve"> – 125 мм,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sz w:val="28"/>
                <w:szCs w:val="28"/>
              </w:rPr>
            </w:r>
            <w:bookmarkStart w:id="0" w:name="undefined"/>
            <w:r>
              <w:rPr>
                <w:color w:val="000000"/>
                <w:sz w:val="28"/>
                <w:szCs w:val="28"/>
              </w:rPr>
              <w:t xml:space="preserve">Ширина надписи с гербом на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обложке – 80 мм,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Расстояние между логотипом и надписью 19 мм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етод нанесения логотипа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 тиснение фольгой под серебро, </w:t>
            </w: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асположение логотипа на обложке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>
              <w:rPr>
                <w:color w:val="000000"/>
                <w:sz w:val="28"/>
                <w:szCs w:val="28"/>
              </w:rPr>
              <w:t xml:space="preserve"> по центру блокнота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Расстояние от нижнего края логотипа с надписью до нижнего края папки</w:t>
            </w:r>
            <w:r>
              <w:rPr>
                <w:color w:val="000000"/>
                <w:sz w:val="28"/>
                <w:szCs w:val="28"/>
              </w:rPr>
              <w:t xml:space="preserve"> – 120 мм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  <w:t xml:space="preserve">Расстояние от верхнего края папки до логотипа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66 мм,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Язык надписи</w:t>
            </w:r>
            <w:r>
              <w:rPr>
                <w:color w:val="000000"/>
                <w:sz w:val="28"/>
                <w:szCs w:val="28"/>
              </w:rPr>
              <w:t xml:space="preserve"> – русский,</w:t>
            </w:r>
            <w:bookmarkEnd w:id="0"/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строк надписей</w:t>
            </w:r>
            <w:r>
              <w:rPr>
                <w:color w:val="000000"/>
                <w:sz w:val="28"/>
                <w:szCs w:val="28"/>
              </w:rPr>
              <w:t xml:space="preserve"> – 3,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Высота букв прописных (заглавных) надписи «МИНИСТЕРСТВО ЭНЕРГЕТИКИ»</w:t>
            </w:r>
            <w:r>
              <w:rPr>
                <w:color w:val="000000"/>
                <w:sz w:val="28"/>
                <w:szCs w:val="28"/>
              </w:rPr>
              <w:t xml:space="preserve"> – 6 мм, ширина надписи «МИНИСТЕРСТВО» - 55 мм,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ширина надписи «ЭНЕРГЕТИКИ» - 42 мм,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  <w:t xml:space="preserve">Высота букв прописных (заглавных) надписи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«РОССИЙСКАЯ ФЕДЕРАЦИЯ»</w:t>
            </w:r>
            <w:r>
              <w:rPr>
                <w:color w:val="000000"/>
                <w:sz w:val="28"/>
                <w:szCs w:val="28"/>
              </w:rPr>
              <w:t xml:space="preserve"> - 3 мм, </w:t>
            </w:r>
            <w:r>
              <w:rPr>
                <w:color w:val="000000"/>
                <w:sz w:val="28"/>
                <w:szCs w:val="28"/>
              </w:rPr>
              <w:t xml:space="preserve">ширина надписи - 43 мм.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sz w:val="24"/>
                <w:szCs w:val="24"/>
              </w:rPr>
              <w:framePr w:hSpace="180" w:wrap="around" w:vAnchor="text" w:hAnchor="margin" w:xAlign="center" w:y="80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2 000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59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120,00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141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rPr>
                <w:b w:val="0"/>
                <w:bCs w:val="0"/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240000,00</w:t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</w:p>
        </w:tc>
        <w:tc>
          <w:tcPr>
            <w:tcW w:w="1242" w:type="dxa"/>
            <w:vAlign w:val="top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  <w:p>
            <w:pPr>
              <w:pStyle w:val="959"/>
              <w:jc w:val="center"/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  <w:framePr w:hSpace="180" w:wrap="around" w:vAnchor="text" w:hAnchor="margin" w:xAlign="center" w:y="80"/>
            </w:pPr>
            <w:r>
              <w:rPr>
                <w:b w:val="0"/>
                <w:bCs w:val="0"/>
                <w:color w:val="000000"/>
                <w:sz w:val="28"/>
                <w:szCs w:val="28"/>
              </w:rPr>
              <w:t xml:space="preserve">Россия</w:t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color w:val="000000"/>
                <w:sz w:val="28"/>
                <w:szCs w:val="28"/>
                <w:highlight w:val="none"/>
              </w:rPr>
            </w:r>
          </w:p>
        </w:tc>
      </w:tr>
    </w:tbl>
    <w:p>
      <w:pPr>
        <w:ind w:firstLine="709"/>
        <w:jc w:val="both"/>
        <w:spacing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дополнительные требования к товар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 обусловлены требованиями к проведению международных протокольных мероприятий, совещаний, встреч иностранных делегаций, проведения коллегий.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       Общая стоимость Товара составляет </w:t>
      </w:r>
      <w:r>
        <w:rPr>
          <w:sz w:val="28"/>
          <w:szCs w:val="28"/>
        </w:rPr>
        <w:t xml:space="preserve">240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00 (двести сорок</w:t>
      </w:r>
      <w:r>
        <w:rPr>
          <w:sz w:val="28"/>
          <w:szCs w:val="28"/>
        </w:rPr>
        <w:t xml:space="preserve"> тысяч</w:t>
      </w:r>
      <w:r>
        <w:rPr>
          <w:sz w:val="28"/>
          <w:szCs w:val="28"/>
        </w:rPr>
        <w:t xml:space="preserve">) рублей 00 копеек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не облагается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1049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1"/>
        <w:gridCol w:w="48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Заказчик: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Министра энергетики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8"/>
                <w:szCs w:val="28"/>
              </w:rPr>
              <w:t xml:space="preserve">____________________ Е.П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Грабчак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Поставщик: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_________________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О.А. Ильина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1" w:type="dxa"/>
            <w:vAlign w:val="top"/>
            <w:textDirection w:val="lrTb"/>
            <w:noWrap w:val="false"/>
          </w:tcPr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М.П.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М.П.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59"/>
        <w:ind w:firstLine="720"/>
        <w:jc w:val="righ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709" w:right="566" w:bottom="426" w:left="1134" w:header="708" w:footer="708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1562" w:firstLine="6237"/>
        <w:jc w:val="right"/>
        <w:spacing w:before="20"/>
        <w:widowControl/>
        <w:tabs>
          <w:tab w:val="left" w:pos="6946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Приложение № 3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jc w:val="center"/>
        <w:widowControl/>
        <w:tabs>
          <w:tab w:val="center" w:pos="2420" w:leader="none"/>
          <w:tab w:val="left" w:pos="384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                                                                                   к Контракту № </w:t>
      </w:r>
      <w:r>
        <w:rPr>
          <w:b w:val="0"/>
          <w:bCs w:val="0"/>
          <w:spacing w:val="-3"/>
          <w:sz w:val="28"/>
          <w:szCs w:val="28"/>
        </w:rPr>
        <w:t xml:space="preserve">100201966126100102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jc w:val="right"/>
        <w:widowControl/>
        <w:tabs>
          <w:tab w:val="center" w:pos="2420" w:leader="none"/>
          <w:tab w:val="left" w:pos="384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от «     » _____________ 2026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jc w:val="right"/>
        <w:widowControl/>
        <w:tabs>
          <w:tab w:val="center" w:pos="2420" w:leader="none"/>
          <w:tab w:val="left" w:pos="384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jc w:val="center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Акта приема-передачи товара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jc w:val="center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jc w:val="center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Контракту от «___» ________ 2026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 № _________________________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jc w:val="center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Москва</w:t>
        <w:tab/>
        <w:tab/>
        <w:tab/>
        <w:tab/>
        <w:tab/>
        <w:tab/>
        <w:tab/>
        <w:tab/>
        <w:tab/>
        <w:t xml:space="preserve">«___» ________ 2026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9922" w:type="dxa"/>
        <w:tblInd w:w="28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81"/>
        <w:gridCol w:w="524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Заказчик: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Поставщик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Министерство энергетики Российской Федерации (Минэнерго России)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Индивидуальный предприниматель </w:t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 w:val="0"/>
                <w:bCs w:val="0"/>
                <w:sz w:val="28"/>
                <w:szCs w:val="28"/>
              </w:rPr>
              <w:t xml:space="preserve">Ильина Оксана Александровна </w:t>
              <w:br/>
              <w:t xml:space="preserve">(ИП Ильина О.А.)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Китайгородский пр-д, д. 7, г. Москва,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109012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Московская обл., Воскресенский р-он, с. Фаустово, ул. Садовая, д. 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Почтовый адрес: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Фактический адрес: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Щепкина ул., д. 42, стр. 1,2 г. Москва, ГСП-6 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29110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Московская обл., Воскресенский р-он, с. Фаустово, ул. Садовая, д. 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Банковские реквизиты: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ИНН 7705847529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КПП 770501001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Межрегиональное операционное УФК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(Минэнерго России, л/с 03951000220)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р/с 40102810045370000002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Операционном департаменте Банка России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//Ме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жрегиональное операционное УФК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г. Москва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к/с 0321164300000001950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БИК 024501901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ОКПО/ОКТМО 00083641/45381000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minenergo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minenergo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тел. 8 (495)631 98 58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Дата постановки на учет в налоговом органе 24.06.2008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b w:val="0"/>
                <w:bCs w:val="0"/>
                <w:color w:val="000000"/>
                <w:sz w:val="28"/>
                <w:szCs w:val="28"/>
              </w:rPr>
              <w:t xml:space="preserve">500504747451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Банковские реквизиты: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р\с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40802810801500053642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Банк получателя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ОО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Банк Точка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к\с 30101810745374525104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БИК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0445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25104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ОКПО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0148016499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ОКТМО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46710000446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ОГРНИП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319502700021473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ОКВЭД 69.20 18.12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е-mail: obsta@mail.ru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59"/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тел. +7(915) 232-30-47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ind w:right="34"/>
              <w:widowControl/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Дата постановки на учет в налоговом органе 06.03.2019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</w:tbl>
    <w:p>
      <w:pPr>
        <w:pStyle w:val="959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ind w:firstLine="709"/>
        <w:jc w:val="both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 энергетики Российской Федерации (Минэнерго России),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в дальнейшем именуемое «Заказчик», в лице заместителя Министра энергетики Российской Федерации Грабчака Евгения Петровича, действующего на основании приказа Минэнерго России от 24.11.2021 № 1286 и доверенности от 23.01.2024</w:t>
        <w:br w:type="textWrapping" w:clear="all"/>
        <w:t xml:space="preserve">№ НШ-900/05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 одной стороны, и 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ндивидуальный предприниматель Ильина Оксана Александровна (ИП Ильина О.А.),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именуемый в дальнейшем «Поставщик», действующ</w:t>
      </w:r>
      <w:r>
        <w:rPr>
          <w:rFonts w:ascii="Times New Roman" w:hAnsi="Times New Roman" w:eastAsia="Times New Roman"/>
          <w:sz w:val="28"/>
          <w:szCs w:val="28"/>
        </w:rPr>
        <w:t xml:space="preserve">ий</w:t>
      </w:r>
      <w:r>
        <w:rPr>
          <w:rFonts w:ascii="Times New Roman" w:hAnsi="Times New Roman" w:eastAsia="Times New Roman"/>
          <w:sz w:val="28"/>
          <w:szCs w:val="28"/>
        </w:rPr>
        <w:t xml:space="preserve"> на основании ОГРНИП 319502700021473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 другой стороны, </w:t>
        <w:br w:type="textWrapping" w:clear="all"/>
        <w:t xml:space="preserve">в</w:t>
      </w:r>
      <w:r>
        <w:rPr>
          <w:color w:val="000000"/>
          <w:sz w:val="28"/>
          <w:szCs w:val="28"/>
        </w:rPr>
        <w:t xml:space="preserve"> дальнейшем именуемые «Стороны»</w:t>
      </w:r>
      <w:r>
        <w:rPr>
          <w:color w:val="000000"/>
          <w:sz w:val="28"/>
          <w:szCs w:val="28"/>
        </w:rPr>
        <w:t xml:space="preserve">, составили настоящий Акт о нижеследующем: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9"/>
        <w:numPr>
          <w:ilvl w:val="0"/>
          <w:numId w:val="32"/>
        </w:numPr>
        <w:ind w:left="0" w:firstLine="709"/>
        <w:jc w:val="both"/>
        <w:spacing w:line="100" w:lineRule="atLeas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Контрактом предусмотрена </w:t>
      </w:r>
      <w:r>
        <w:rPr>
          <w:color w:val="000000"/>
          <w:sz w:val="28"/>
          <w:szCs w:val="28"/>
          <w:lang w:eastAsia="ar-SA"/>
        </w:rPr>
        <w:t xml:space="preserve">изготовление и поставка папок пластиковых </w:t>
      </w:r>
      <w:r>
        <w:rPr>
          <w:color w:val="000000"/>
          <w:sz w:val="28"/>
          <w:szCs w:val="28"/>
          <w:lang w:eastAsia="ar-SA"/>
        </w:rPr>
        <w:t xml:space="preserve">с логотипом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Минэнерго России</w:t>
      </w:r>
      <w:r>
        <w:rPr>
          <w:color w:val="000000"/>
          <w:sz w:val="28"/>
          <w:szCs w:val="28"/>
        </w:rPr>
        <w:t xml:space="preserve"> (далее – Товар):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10314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636"/>
        <w:gridCol w:w="796"/>
        <w:gridCol w:w="1713"/>
        <w:gridCol w:w="1454"/>
        <w:gridCol w:w="1410"/>
        <w:gridCol w:w="2305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Наименование товарной позиции</w:t>
            </w: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Ед. изм.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Цена за ед. (руб.), в т.ч. НДС (при наличии)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(в руб.), в т.ч. НДС (при наличии)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Страна происхождения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pStyle w:val="959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pStyle w:val="959"/>
        <w:numPr>
          <w:ilvl w:val="0"/>
          <w:numId w:val="32"/>
        </w:numPr>
        <w:jc w:val="both"/>
        <w:spacing w:line="100" w:lineRule="atLeast"/>
        <w:widowControl/>
        <w:rPr>
          <w:sz w:val="28"/>
          <w:szCs w:val="28"/>
        </w:rPr>
      </w:pPr>
      <w:r>
        <w:rPr>
          <w:sz w:val="28"/>
          <w:szCs w:val="28"/>
        </w:rPr>
        <w:t xml:space="preserve">Фактически поставлено по контракту: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14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636"/>
        <w:gridCol w:w="796"/>
        <w:gridCol w:w="1713"/>
        <w:gridCol w:w="1454"/>
        <w:gridCol w:w="1410"/>
        <w:gridCol w:w="2305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Наименование товарной позиции</w:t>
            </w: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Ед. изм.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Цена за ед. (руб.), в т.ч. НДС (при наличии)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(в руб.), в т.ч. НДС (при наличии)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Страна происхождения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pStyle w:val="959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959"/>
              <w:jc w:val="center"/>
              <w:widowControl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pStyle w:val="959"/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3. Качество поставленных товаров соответствует требованиям Контракта. </w:t>
        <w:br w:type="textWrapping" w:clear="all"/>
        <w:t xml:space="preserve">В ходе поставки Заказчик не выявил каких-либо отклонений от условий Контракта или других недостатков.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709"/>
        <w:widowControl/>
        <w:rPr>
          <w:sz w:val="28"/>
          <w:szCs w:val="28"/>
        </w:rPr>
      </w:pPr>
      <w:r>
        <w:rPr>
          <w:sz w:val="28"/>
          <w:szCs w:val="28"/>
        </w:rPr>
        <w:t xml:space="preserve">Вариант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709"/>
        <w:widowControl/>
        <w:rPr>
          <w:sz w:val="28"/>
          <w:szCs w:val="28"/>
        </w:rPr>
      </w:pPr>
      <w:r>
        <w:rPr>
          <w:sz w:val="28"/>
          <w:szCs w:val="28"/>
        </w:rPr>
        <w:t xml:space="preserve">Поставщику начислена неустойка: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709"/>
        <w:widowControl/>
        <w:rPr>
          <w:sz w:val="28"/>
          <w:szCs w:val="28"/>
        </w:rPr>
      </w:pPr>
      <w:r>
        <w:rPr>
          <w:sz w:val="28"/>
          <w:szCs w:val="28"/>
        </w:rPr>
        <w:tab/>
        <w:t xml:space="preserve">пени в соответствии с п.6.3 Контракта в сумме ____________руб.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709"/>
        <w:widowControl/>
        <w:rPr>
          <w:sz w:val="28"/>
          <w:szCs w:val="28"/>
        </w:rPr>
      </w:pPr>
      <w:r>
        <w:rPr>
          <w:sz w:val="28"/>
          <w:szCs w:val="28"/>
        </w:rPr>
        <w:t xml:space="preserve">Вариант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709"/>
        <w:widowControl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Неустойка Поставщику не начисляется.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59"/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Сумма, подлежащая уплате Поставщику, за товар, принятый по настоящему акту (с учетом удержания пени), в том числе НДС </w:t>
      </w:r>
      <w:r>
        <w:rPr>
          <w:sz w:val="28"/>
          <w:szCs w:val="28"/>
        </w:rPr>
        <w:t xml:space="preserve">облагается/не облагается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25" w:type="dxa"/>
        <w:tblInd w:w="99" w:type="dxa"/>
        <w:tblLayout w:type="fixed"/>
        <w:tblCellMar>
          <w:left w:w="45" w:type="dxa"/>
          <w:top w:w="0" w:type="dxa"/>
          <w:right w:w="45" w:type="dxa"/>
          <w:bottom w:w="0" w:type="dxa"/>
        </w:tblCellMar>
        <w:tblLook w:val="04A0" w:firstRow="1" w:lastRow="0" w:firstColumn="1" w:lastColumn="0" w:noHBand="0" w:noVBand="1"/>
      </w:tblPr>
      <w:tblGrid>
        <w:gridCol w:w="5309"/>
        <w:gridCol w:w="501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09" w:type="dxa"/>
            <w:vAlign w:val="top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Заказчик: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Министра энергетики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8"/>
                <w:szCs w:val="28"/>
              </w:rPr>
              <w:t xml:space="preserve">____________________ Е.П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Грабчак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16" w:type="dxa"/>
            <w:vAlign w:val="top"/>
            <w:textDirection w:val="lrTb"/>
            <w:noWrap w:val="false"/>
          </w:tcPr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Поставщик: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Индивидуальный предприниматель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_________________ 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  <w:t xml:space="preserve"> О.А. Ильина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09" w:type="dxa"/>
            <w:vAlign w:val="top"/>
            <w:vMerge w:val="restart"/>
            <w:textDirection w:val="lrTb"/>
            <w:noWrap w:val="false"/>
          </w:tcPr>
          <w:p>
            <w:pPr>
              <w:pStyle w:val="977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М.П.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16" w:type="dxa"/>
            <w:vAlign w:val="top"/>
            <w:vMerge w:val="restart"/>
            <w:textDirection w:val="lrTb"/>
            <w:noWrap w:val="false"/>
          </w:tcPr>
          <w:p>
            <w:pPr>
              <w:pStyle w:val="959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М.П.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09" w:right="566" w:bottom="426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59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 xml:space="preserve">Счет-фактура не предоставляется, если поставщик не является плательщиком налога на добавленную стоимость (в том числе находится на упрощенной системе налогообложения)</w:t>
      </w:r>
      <w:r>
        <w:rPr>
          <w:color w:val="000000"/>
        </w:rPr>
      </w:r>
      <w:r>
        <w:rPr>
          <w:color w:val="000000"/>
        </w:rPr>
      </w:r>
    </w:p>
  </w:footnote>
  <w:footnote w:id="3">
    <w:p>
      <w:pPr>
        <w:pStyle w:val="959"/>
        <w:ind w:left="284"/>
        <w:rPr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Счет-фактура не предоставляется, если Поставщик не является плательщиком налога на добавленную стоимость (в том числе находится на упрощенной системе налогообложения).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995"/>
      <w:tabs>
        <w:tab w:val="clear" w:pos="4677" w:leader="none"/>
        <w:tab w:val="center" w:pos="5103" w:leader="none"/>
        <w:tab w:val="clear" w:pos="9355" w:leader="none"/>
        <w:tab w:val="right" w:pos="10206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9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vertAlign w:val="baseli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9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600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</w:pPr>
    </w:lvl>
    <w:lvl w:ilvl="1">
      <w:start w:val="6"/>
      <w:numFmt w:val="decimal"/>
      <w:isLgl w:val="false"/>
      <w:suff w:val="tab"/>
      <w:lvlText w:val="%1.%2."/>
      <w:lvlJc w:val="left"/>
      <w:pPr>
        <w:ind w:left="111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5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6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3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</w:pPr>
      <w:rPr>
        <w:b w:val="0"/>
      </w:rPr>
    </w:lvl>
    <w:lvl w:ilvl="1">
      <w:start w:val="4"/>
      <w:numFmt w:val="decimal"/>
      <w:isLgl w:val="false"/>
      <w:suff w:val="tab"/>
      <w:lvlText w:val="%1.%2."/>
      <w:lvlJc w:val="left"/>
      <w:pPr>
        <w:ind w:left="390" w:hanging="39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60" w:hanging="180"/>
      </w:pPr>
    </w:lvl>
  </w:abstractNum>
  <w:abstractNum w:abstractNumId="1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6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3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0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7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4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2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9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6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365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00" w:hanging="480"/>
        <w:tabs>
          <w:tab w:val="num" w:pos="12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8.%1."/>
      <w:legacy w:legacy="1" w:legacyIndent="0" w:legacySpace="0"/>
      <w:lvlJc w:val="left"/>
      <w:pPr/>
      <w:rPr>
        <w:rFonts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4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9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ind w:left="142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6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6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0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0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4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4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88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8.%1."/>
      <w:legacy w:legacy="1" w:legacyIndent="0" w:legacySpace="0"/>
      <w:lvlJc w:val="left"/>
      <w:pPr/>
      <w:rPr>
        <w:rFonts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21"/>
  </w:num>
  <w:num w:numId="5">
    <w:abstractNumId w:val="30"/>
  </w:num>
  <w:num w:numId="6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7">
    <w:abstractNumId w:val="27"/>
  </w:num>
  <w:num w:numId="8">
    <w:abstractNumId w:val="19"/>
  </w:num>
  <w:num w:numId="9">
    <w:abstractNumId w:val="22"/>
  </w:num>
  <w:num w:numId="10">
    <w:abstractNumId w:val="5"/>
  </w:num>
  <w:num w:numId="11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3"/>
  </w:num>
  <w:num w:numId="15">
    <w:abstractNumId w:val="29"/>
  </w:num>
  <w:num w:numId="16">
    <w:abstractNumId w:val="24"/>
  </w:num>
  <w:num w:numId="17">
    <w:abstractNumId w:val="9"/>
  </w:num>
  <w:num w:numId="18">
    <w:abstractNumId w:val="13"/>
  </w:num>
  <w:num w:numId="19">
    <w:abstractNumId w:val="12"/>
  </w:num>
  <w:num w:numId="20">
    <w:abstractNumId w:val="10"/>
  </w:num>
  <w:num w:numId="21">
    <w:abstractNumId w:val="15"/>
  </w:num>
  <w:num w:numId="22">
    <w:abstractNumId w:val="16"/>
  </w:num>
  <w:num w:numId="23">
    <w:abstractNumId w:val="6"/>
  </w:num>
  <w:num w:numId="24">
    <w:abstractNumId w:val="8"/>
  </w:num>
  <w:num w:numId="25">
    <w:abstractNumId w:val="1"/>
  </w:num>
  <w:num w:numId="26">
    <w:abstractNumId w:val="7"/>
  </w:num>
  <w:num w:numId="27">
    <w:abstractNumId w:val="18"/>
  </w:num>
  <w:num w:numId="28">
    <w:abstractNumId w:val="4"/>
  </w:num>
  <w:num w:numId="29">
    <w:abstractNumId w:val="2"/>
  </w:num>
  <w:num w:numId="3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>
    <w:name w:val="Heading 1"/>
    <w:basedOn w:val="959"/>
    <w:next w:val="959"/>
    <w:link w:val="78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2">
    <w:name w:val="Heading 1 Char"/>
    <w:link w:val="781"/>
    <w:uiPriority w:val="9"/>
    <w:rPr>
      <w:rFonts w:ascii="Arial" w:hAnsi="Arial" w:eastAsia="Arial" w:cs="Arial"/>
      <w:sz w:val="40"/>
      <w:szCs w:val="40"/>
    </w:rPr>
  </w:style>
  <w:style w:type="paragraph" w:styleId="783">
    <w:name w:val="Heading 2"/>
    <w:basedOn w:val="959"/>
    <w:next w:val="959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4">
    <w:name w:val="Heading 2 Char"/>
    <w:link w:val="783"/>
    <w:uiPriority w:val="9"/>
    <w:rPr>
      <w:rFonts w:ascii="Arial" w:hAnsi="Arial" w:eastAsia="Arial" w:cs="Arial"/>
      <w:sz w:val="34"/>
    </w:rPr>
  </w:style>
  <w:style w:type="paragraph" w:styleId="785">
    <w:name w:val="Heading 3"/>
    <w:basedOn w:val="959"/>
    <w:next w:val="959"/>
    <w:link w:val="78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6">
    <w:name w:val="Heading 3 Char"/>
    <w:link w:val="785"/>
    <w:uiPriority w:val="9"/>
    <w:rPr>
      <w:rFonts w:ascii="Arial" w:hAnsi="Arial" w:eastAsia="Arial" w:cs="Arial"/>
      <w:sz w:val="30"/>
      <w:szCs w:val="30"/>
    </w:rPr>
  </w:style>
  <w:style w:type="paragraph" w:styleId="787">
    <w:name w:val="Heading 4"/>
    <w:basedOn w:val="959"/>
    <w:next w:val="959"/>
    <w:link w:val="78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8">
    <w:name w:val="Heading 4 Char"/>
    <w:link w:val="787"/>
    <w:uiPriority w:val="9"/>
    <w:rPr>
      <w:rFonts w:ascii="Arial" w:hAnsi="Arial" w:eastAsia="Arial" w:cs="Arial"/>
      <w:b/>
      <w:bCs/>
      <w:sz w:val="26"/>
      <w:szCs w:val="26"/>
    </w:rPr>
  </w:style>
  <w:style w:type="paragraph" w:styleId="789">
    <w:name w:val="Heading 5"/>
    <w:basedOn w:val="959"/>
    <w:next w:val="959"/>
    <w:link w:val="79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0">
    <w:name w:val="Heading 5 Char"/>
    <w:link w:val="789"/>
    <w:uiPriority w:val="9"/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basedOn w:val="959"/>
    <w:next w:val="959"/>
    <w:link w:val="79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2">
    <w:name w:val="Heading 6 Char"/>
    <w:link w:val="791"/>
    <w:uiPriority w:val="9"/>
    <w:rPr>
      <w:rFonts w:ascii="Arial" w:hAnsi="Arial" w:eastAsia="Arial" w:cs="Arial"/>
      <w:b/>
      <w:bCs/>
      <w:sz w:val="22"/>
      <w:szCs w:val="22"/>
    </w:rPr>
  </w:style>
  <w:style w:type="paragraph" w:styleId="793">
    <w:name w:val="Heading 7"/>
    <w:basedOn w:val="959"/>
    <w:next w:val="959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4">
    <w:name w:val="Heading 7 Char"/>
    <w:link w:val="79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5">
    <w:name w:val="Heading 8"/>
    <w:basedOn w:val="959"/>
    <w:next w:val="959"/>
    <w:link w:val="79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6">
    <w:name w:val="Heading 8 Char"/>
    <w:link w:val="795"/>
    <w:uiPriority w:val="9"/>
    <w:rPr>
      <w:rFonts w:ascii="Arial" w:hAnsi="Arial" w:eastAsia="Arial" w:cs="Arial"/>
      <w:i/>
      <w:iCs/>
      <w:sz w:val="22"/>
      <w:szCs w:val="22"/>
    </w:rPr>
  </w:style>
  <w:style w:type="paragraph" w:styleId="797">
    <w:name w:val="Heading 9"/>
    <w:basedOn w:val="959"/>
    <w:next w:val="959"/>
    <w:link w:val="7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8">
    <w:name w:val="Heading 9 Char"/>
    <w:link w:val="797"/>
    <w:uiPriority w:val="9"/>
    <w:rPr>
      <w:rFonts w:ascii="Arial" w:hAnsi="Arial" w:eastAsia="Arial" w:cs="Arial"/>
      <w:i/>
      <w:iCs/>
      <w:sz w:val="21"/>
      <w:szCs w:val="21"/>
    </w:rPr>
  </w:style>
  <w:style w:type="paragraph" w:styleId="799">
    <w:name w:val="List Paragraph"/>
    <w:basedOn w:val="959"/>
    <w:uiPriority w:val="34"/>
    <w:qFormat/>
    <w:pPr>
      <w:contextualSpacing/>
      <w:ind w:left="720"/>
    </w:pPr>
  </w:style>
  <w:style w:type="paragraph" w:styleId="800">
    <w:name w:val="No Spacing"/>
    <w:uiPriority w:val="1"/>
    <w:qFormat/>
    <w:pPr>
      <w:spacing w:before="0" w:after="0" w:line="240" w:lineRule="auto"/>
    </w:pPr>
  </w:style>
  <w:style w:type="paragraph" w:styleId="801">
    <w:name w:val="Title"/>
    <w:basedOn w:val="959"/>
    <w:next w:val="959"/>
    <w:link w:val="8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2">
    <w:name w:val="Title Char"/>
    <w:link w:val="801"/>
    <w:uiPriority w:val="10"/>
    <w:rPr>
      <w:sz w:val="48"/>
      <w:szCs w:val="48"/>
    </w:rPr>
  </w:style>
  <w:style w:type="paragraph" w:styleId="803">
    <w:name w:val="Subtitle"/>
    <w:basedOn w:val="959"/>
    <w:next w:val="959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804">
    <w:name w:val="Subtitle Char"/>
    <w:link w:val="803"/>
    <w:uiPriority w:val="11"/>
    <w:rPr>
      <w:sz w:val="24"/>
      <w:szCs w:val="24"/>
    </w:rPr>
  </w:style>
  <w:style w:type="paragraph" w:styleId="805">
    <w:name w:val="Quote"/>
    <w:basedOn w:val="959"/>
    <w:next w:val="959"/>
    <w:link w:val="806"/>
    <w:uiPriority w:val="29"/>
    <w:qFormat/>
    <w:pPr>
      <w:ind w:left="720" w:right="720"/>
    </w:pPr>
    <w:rPr>
      <w:i/>
    </w:rPr>
  </w:style>
  <w:style w:type="character" w:styleId="806">
    <w:name w:val="Quote Char"/>
    <w:link w:val="805"/>
    <w:uiPriority w:val="29"/>
    <w:rPr>
      <w:i/>
    </w:rPr>
  </w:style>
  <w:style w:type="paragraph" w:styleId="807">
    <w:name w:val="Intense Quote"/>
    <w:basedOn w:val="959"/>
    <w:next w:val="959"/>
    <w:link w:val="8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>
    <w:name w:val="Intense Quote Char"/>
    <w:link w:val="807"/>
    <w:uiPriority w:val="30"/>
    <w:rPr>
      <w:i/>
    </w:rPr>
  </w:style>
  <w:style w:type="paragraph" w:styleId="809">
    <w:name w:val="Header"/>
    <w:basedOn w:val="959"/>
    <w:link w:val="8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0">
    <w:name w:val="Header Char"/>
    <w:link w:val="809"/>
    <w:uiPriority w:val="99"/>
  </w:style>
  <w:style w:type="paragraph" w:styleId="811">
    <w:name w:val="Footer"/>
    <w:basedOn w:val="959"/>
    <w:link w:val="8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12">
    <w:name w:val="Footer Char"/>
    <w:link w:val="811"/>
    <w:uiPriority w:val="99"/>
  </w:style>
  <w:style w:type="paragraph" w:styleId="813">
    <w:name w:val="Caption"/>
    <w:basedOn w:val="959"/>
    <w:next w:val="959"/>
    <w:link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4">
    <w:name w:val="Caption Char"/>
    <w:link w:val="813"/>
    <w:uiPriority w:val="35"/>
    <w:rPr>
      <w:b/>
      <w:bCs/>
      <w:color w:val="4f81bd" w:themeColor="accent1"/>
      <w:sz w:val="18"/>
      <w:szCs w:val="18"/>
    </w:rPr>
  </w:style>
  <w:style w:type="table" w:styleId="8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1">
    <w:name w:val="Hyperlink"/>
    <w:uiPriority w:val="99"/>
    <w:unhideWhenUsed/>
    <w:rPr>
      <w:color w:val="0000ff" w:themeColor="hyperlink"/>
      <w:u w:val="single"/>
    </w:rPr>
  </w:style>
  <w:style w:type="paragraph" w:styleId="942">
    <w:name w:val="footnote text"/>
    <w:basedOn w:val="959"/>
    <w:link w:val="943"/>
    <w:uiPriority w:val="99"/>
    <w:semiHidden/>
    <w:unhideWhenUsed/>
    <w:pPr>
      <w:spacing w:after="40" w:line="240" w:lineRule="auto"/>
    </w:pPr>
    <w:rPr>
      <w:sz w:val="18"/>
    </w:rPr>
  </w:style>
  <w:style w:type="character" w:styleId="943">
    <w:name w:val="Footnote Text Char"/>
    <w:link w:val="942"/>
    <w:uiPriority w:val="99"/>
    <w:rPr>
      <w:sz w:val="18"/>
    </w:rPr>
  </w:style>
  <w:style w:type="character" w:styleId="944">
    <w:name w:val="footnote reference"/>
    <w:uiPriority w:val="99"/>
    <w:unhideWhenUsed/>
    <w:rPr>
      <w:vertAlign w:val="superscript"/>
    </w:rPr>
  </w:style>
  <w:style w:type="paragraph" w:styleId="945">
    <w:name w:val="endnote text"/>
    <w:basedOn w:val="959"/>
    <w:link w:val="946"/>
    <w:uiPriority w:val="99"/>
    <w:semiHidden/>
    <w:unhideWhenUsed/>
    <w:pPr>
      <w:spacing w:after="0" w:line="240" w:lineRule="auto"/>
    </w:pPr>
    <w:rPr>
      <w:sz w:val="20"/>
    </w:rPr>
  </w:style>
  <w:style w:type="character" w:styleId="946">
    <w:name w:val="Endnote Text Char"/>
    <w:link w:val="945"/>
    <w:uiPriority w:val="99"/>
    <w:rPr>
      <w:sz w:val="20"/>
    </w:rPr>
  </w:style>
  <w:style w:type="character" w:styleId="947">
    <w:name w:val="endnote reference"/>
    <w:uiPriority w:val="99"/>
    <w:semiHidden/>
    <w:unhideWhenUsed/>
    <w:rPr>
      <w:vertAlign w:val="superscript"/>
    </w:rPr>
  </w:style>
  <w:style w:type="paragraph" w:styleId="948">
    <w:name w:val="toc 1"/>
    <w:basedOn w:val="959"/>
    <w:next w:val="959"/>
    <w:uiPriority w:val="39"/>
    <w:unhideWhenUsed/>
    <w:pPr>
      <w:ind w:left="0" w:right="0" w:firstLine="0"/>
      <w:spacing w:after="57"/>
    </w:pPr>
  </w:style>
  <w:style w:type="paragraph" w:styleId="949">
    <w:name w:val="toc 2"/>
    <w:basedOn w:val="959"/>
    <w:next w:val="959"/>
    <w:uiPriority w:val="39"/>
    <w:unhideWhenUsed/>
    <w:pPr>
      <w:ind w:left="283" w:right="0" w:firstLine="0"/>
      <w:spacing w:after="57"/>
    </w:pPr>
  </w:style>
  <w:style w:type="paragraph" w:styleId="950">
    <w:name w:val="toc 3"/>
    <w:basedOn w:val="959"/>
    <w:next w:val="959"/>
    <w:uiPriority w:val="39"/>
    <w:unhideWhenUsed/>
    <w:pPr>
      <w:ind w:left="567" w:right="0" w:firstLine="0"/>
      <w:spacing w:after="57"/>
    </w:pPr>
  </w:style>
  <w:style w:type="paragraph" w:styleId="951">
    <w:name w:val="toc 4"/>
    <w:basedOn w:val="959"/>
    <w:next w:val="959"/>
    <w:uiPriority w:val="39"/>
    <w:unhideWhenUsed/>
    <w:pPr>
      <w:ind w:left="850" w:right="0" w:firstLine="0"/>
      <w:spacing w:after="57"/>
    </w:pPr>
  </w:style>
  <w:style w:type="paragraph" w:styleId="952">
    <w:name w:val="toc 5"/>
    <w:basedOn w:val="959"/>
    <w:next w:val="959"/>
    <w:uiPriority w:val="39"/>
    <w:unhideWhenUsed/>
    <w:pPr>
      <w:ind w:left="1134" w:right="0" w:firstLine="0"/>
      <w:spacing w:after="57"/>
    </w:pPr>
  </w:style>
  <w:style w:type="paragraph" w:styleId="953">
    <w:name w:val="toc 6"/>
    <w:basedOn w:val="959"/>
    <w:next w:val="959"/>
    <w:uiPriority w:val="39"/>
    <w:unhideWhenUsed/>
    <w:pPr>
      <w:ind w:left="1417" w:right="0" w:firstLine="0"/>
      <w:spacing w:after="57"/>
    </w:pPr>
  </w:style>
  <w:style w:type="paragraph" w:styleId="954">
    <w:name w:val="toc 7"/>
    <w:basedOn w:val="959"/>
    <w:next w:val="959"/>
    <w:uiPriority w:val="39"/>
    <w:unhideWhenUsed/>
    <w:pPr>
      <w:ind w:left="1701" w:right="0" w:firstLine="0"/>
      <w:spacing w:after="57"/>
    </w:pPr>
  </w:style>
  <w:style w:type="paragraph" w:styleId="955">
    <w:name w:val="toc 8"/>
    <w:basedOn w:val="959"/>
    <w:next w:val="959"/>
    <w:uiPriority w:val="39"/>
    <w:unhideWhenUsed/>
    <w:pPr>
      <w:ind w:left="1984" w:right="0" w:firstLine="0"/>
      <w:spacing w:after="57"/>
    </w:pPr>
  </w:style>
  <w:style w:type="paragraph" w:styleId="956">
    <w:name w:val="toc 9"/>
    <w:basedOn w:val="959"/>
    <w:next w:val="959"/>
    <w:uiPriority w:val="39"/>
    <w:unhideWhenUsed/>
    <w:pPr>
      <w:ind w:left="2268" w:right="0" w:firstLine="0"/>
      <w:spacing w:after="57"/>
    </w:pPr>
  </w:style>
  <w:style w:type="paragraph" w:styleId="957">
    <w:name w:val="TOC Heading"/>
    <w:uiPriority w:val="39"/>
    <w:unhideWhenUsed/>
  </w:style>
  <w:style w:type="paragraph" w:styleId="958">
    <w:name w:val="table of figures"/>
    <w:basedOn w:val="959"/>
    <w:next w:val="959"/>
    <w:uiPriority w:val="99"/>
    <w:unhideWhenUsed/>
    <w:pPr>
      <w:spacing w:after="0" w:afterAutospacing="0"/>
    </w:pPr>
  </w:style>
  <w:style w:type="paragraph" w:styleId="959" w:default="1">
    <w:name w:val="Normal"/>
    <w:next w:val="959"/>
    <w:link w:val="959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paragraph" w:styleId="960">
    <w:name w:val="Заголовок 1,Заголовок 1 Знак Знак Знак Знак Знак Знак Знак Знак Знак,H1,Раздел Договора,&quot;Алмаз&quot;,Document Header1,Заголовок 1 Знак2 Знак,Заголовок 1 Знак1 Знак Знак,Заголовок 1 Знак Знак Знак Знак,Заголовок 1 Знак Знак1 Знак Знак,Заголовок 1 Знак1 Знак1"/>
    <w:basedOn w:val="959"/>
    <w:next w:val="959"/>
    <w:link w:val="965"/>
    <w:qFormat/>
    <w:pPr>
      <w:jc w:val="center"/>
      <w:keepNext/>
      <w:spacing w:before="240" w:after="60"/>
      <w:widowControl/>
      <w:outlineLvl w:val="0"/>
    </w:pPr>
    <w:rPr>
      <w:b/>
      <w:sz w:val="36"/>
      <w:lang w:val="en-US"/>
    </w:rPr>
  </w:style>
  <w:style w:type="paragraph" w:styleId="961">
    <w:name w:val="Заголовок 2,H2"/>
    <w:basedOn w:val="959"/>
    <w:next w:val="959"/>
    <w:link w:val="1000"/>
    <w:qFormat/>
    <w:pPr>
      <w:jc w:val="center"/>
      <w:keepNext/>
      <w:widowControl/>
      <w:outlineLvl w:val="1"/>
    </w:pPr>
    <w:rPr>
      <w:b/>
      <w:bCs/>
      <w:sz w:val="24"/>
      <w:szCs w:val="24"/>
    </w:rPr>
  </w:style>
  <w:style w:type="character" w:styleId="962">
    <w:name w:val="Основной шрифт абзаца"/>
    <w:next w:val="962"/>
    <w:link w:val="959"/>
    <w:uiPriority w:val="1"/>
    <w:semiHidden/>
    <w:unhideWhenUsed/>
  </w:style>
  <w:style w:type="table" w:styleId="963">
    <w:name w:val="Обычная таблица"/>
    <w:next w:val="963"/>
    <w:link w:val="959"/>
    <w:uiPriority w:val="99"/>
    <w:semiHidden/>
    <w:unhideWhenUsed/>
    <w:tblPr/>
  </w:style>
  <w:style w:type="numbering" w:styleId="964">
    <w:name w:val="Нет списка"/>
    <w:next w:val="964"/>
    <w:link w:val="959"/>
    <w:uiPriority w:val="99"/>
    <w:semiHidden/>
    <w:unhideWhenUsed/>
  </w:style>
  <w:style w:type="character" w:styleId="965">
    <w:name w:val="Заголовок 1 Знак,Заголовок 1 Знак Знак Знак Знак Знак Знак Знак Знак Знак Знак,H1 Знак,Раздел Договора Знак,&quot;Алмаз&quot; Знак,Document Header1 Знак,Заголовок 1 Знак2 Знак Знак,Заголовок 1 Знак1 Знак Знак Знак,Заголовок 1 Знак Знак Знак Знак Знак"/>
    <w:next w:val="965"/>
    <w:link w:val="960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966">
    <w:name w:val="Основной текст"/>
    <w:basedOn w:val="959"/>
    <w:next w:val="966"/>
    <w:link w:val="967"/>
    <w:unhideWhenUsed/>
    <w:pPr>
      <w:jc w:val="both"/>
      <w:spacing w:after="120"/>
      <w:widowControl/>
    </w:pPr>
    <w:rPr>
      <w:sz w:val="24"/>
      <w:szCs w:val="24"/>
      <w:lang w:val="en-US"/>
    </w:rPr>
  </w:style>
  <w:style w:type="character" w:styleId="967">
    <w:name w:val="Основной текст Знак"/>
    <w:next w:val="967"/>
    <w:link w:val="96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8">
    <w:name w:val="Основной текст с отступом"/>
    <w:basedOn w:val="959"/>
    <w:next w:val="968"/>
    <w:link w:val="969"/>
    <w:uiPriority w:val="99"/>
    <w:semiHidden/>
    <w:unhideWhenUsed/>
    <w:pPr>
      <w:ind w:left="283"/>
      <w:spacing w:after="120"/>
    </w:pPr>
    <w:rPr>
      <w:lang w:val="en-US"/>
    </w:rPr>
  </w:style>
  <w:style w:type="character" w:styleId="969">
    <w:name w:val="Основной текст с отступом Знак"/>
    <w:next w:val="969"/>
    <w:link w:val="96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70">
    <w:name w:val="Стандартный HTML1"/>
    <w:basedOn w:val="959"/>
    <w:next w:val="970"/>
    <w:link w:val="959"/>
    <w:pPr>
      <w:spacing w:line="100" w:lineRule="atLeast"/>
      <w:widowControl/>
    </w:pPr>
    <w:rPr>
      <w:lang w:eastAsia="ar-SA"/>
    </w:rPr>
  </w:style>
  <w:style w:type="character" w:styleId="971">
    <w:name w:val="Font Style27"/>
    <w:next w:val="971"/>
    <w:link w:val="959"/>
    <w:uiPriority w:val="99"/>
    <w:rPr>
      <w:rFonts w:ascii="Times New Roman" w:hAnsi="Times New Roman" w:cs="Times New Roman"/>
      <w:sz w:val="22"/>
      <w:szCs w:val="22"/>
    </w:rPr>
  </w:style>
  <w:style w:type="paragraph" w:styleId="972">
    <w:name w:val="Style13"/>
    <w:basedOn w:val="959"/>
    <w:next w:val="972"/>
    <w:link w:val="959"/>
    <w:uiPriority w:val="99"/>
    <w:pPr>
      <w:jc w:val="both"/>
    </w:pPr>
    <w:rPr>
      <w:sz w:val="24"/>
      <w:szCs w:val="24"/>
    </w:rPr>
  </w:style>
  <w:style w:type="paragraph" w:styleId="973">
    <w:name w:val="Style15"/>
    <w:basedOn w:val="959"/>
    <w:next w:val="973"/>
    <w:link w:val="959"/>
    <w:uiPriority w:val="99"/>
    <w:pPr>
      <w:ind w:firstLine="720"/>
      <w:jc w:val="both"/>
      <w:spacing w:line="282" w:lineRule="exact"/>
    </w:pPr>
    <w:rPr>
      <w:sz w:val="24"/>
      <w:szCs w:val="24"/>
    </w:rPr>
  </w:style>
  <w:style w:type="character" w:styleId="974">
    <w:name w:val="apple-converted-space"/>
    <w:basedOn w:val="962"/>
    <w:next w:val="974"/>
    <w:link w:val="959"/>
  </w:style>
  <w:style w:type="paragraph" w:styleId="975">
    <w:name w:val="Текст выноски"/>
    <w:basedOn w:val="959"/>
    <w:next w:val="975"/>
    <w:link w:val="976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76">
    <w:name w:val="Текст выноски Знак"/>
    <w:next w:val="976"/>
    <w:link w:val="975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77">
    <w:name w:val="Heading"/>
    <w:next w:val="977"/>
    <w:link w:val="959"/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styleId="978">
    <w:name w:val="Default"/>
    <w:next w:val="978"/>
    <w:link w:val="959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styleId="979">
    <w:name w:val="Абзац списка,Подпись рисунка,Маркированный список_уровень1,Bullet List,FooterText,numbered,Paragraphe de liste1,lp1,it_List1,Абзац списка литеральный"/>
    <w:basedOn w:val="959"/>
    <w:next w:val="979"/>
    <w:link w:val="989"/>
    <w:uiPriority w:val="34"/>
    <w:qFormat/>
    <w:pPr>
      <w:contextualSpacing/>
      <w:ind w:left="720"/>
    </w:pPr>
    <w:rPr>
      <w:lang w:val="en-US" w:eastAsia="en-US"/>
    </w:rPr>
  </w:style>
  <w:style w:type="paragraph" w:styleId="980">
    <w:name w:val="head21"/>
    <w:basedOn w:val="959"/>
    <w:next w:val="980"/>
    <w:link w:val="959"/>
    <w:pPr>
      <w:spacing w:line="100" w:lineRule="atLeast"/>
      <w:widowControl/>
    </w:pPr>
    <w:rPr>
      <w:lang w:eastAsia="ar-SA"/>
    </w:rPr>
  </w:style>
  <w:style w:type="character" w:styleId="981">
    <w:name w:val="Знак примечания"/>
    <w:next w:val="981"/>
    <w:link w:val="959"/>
    <w:uiPriority w:val="99"/>
    <w:semiHidden/>
    <w:unhideWhenUsed/>
    <w:rPr>
      <w:sz w:val="16"/>
      <w:szCs w:val="16"/>
    </w:rPr>
  </w:style>
  <w:style w:type="paragraph" w:styleId="982">
    <w:name w:val="Текст примечания"/>
    <w:basedOn w:val="959"/>
    <w:next w:val="982"/>
    <w:link w:val="983"/>
    <w:uiPriority w:val="99"/>
    <w:semiHidden/>
    <w:unhideWhenUsed/>
    <w:rPr>
      <w:lang w:val="en-US"/>
    </w:rPr>
  </w:style>
  <w:style w:type="character" w:styleId="983">
    <w:name w:val="Текст примечания Знак"/>
    <w:next w:val="983"/>
    <w:link w:val="98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4">
    <w:name w:val="Тема примечания"/>
    <w:basedOn w:val="982"/>
    <w:next w:val="982"/>
    <w:link w:val="985"/>
    <w:uiPriority w:val="99"/>
    <w:semiHidden/>
    <w:unhideWhenUsed/>
    <w:rPr>
      <w:b/>
      <w:bCs/>
    </w:rPr>
  </w:style>
  <w:style w:type="character" w:styleId="985">
    <w:name w:val="Тема примечания Знак"/>
    <w:next w:val="985"/>
    <w:link w:val="98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86">
    <w:name w:val="ConsPlusNormal"/>
    <w:next w:val="986"/>
    <w:link w:val="959"/>
    <w:pPr>
      <w:widowControl w:val="off"/>
    </w:pPr>
    <w:rPr>
      <w:rFonts w:ascii="Times New Roman" w:hAnsi="Times New Roman" w:eastAsia="Times New Roman"/>
      <w:sz w:val="24"/>
      <w:lang w:val="ru-RU" w:eastAsia="ru-RU" w:bidi="ar-SA"/>
    </w:rPr>
  </w:style>
  <w:style w:type="paragraph" w:styleId="987">
    <w:name w:val="Без интервала"/>
    <w:next w:val="987"/>
    <w:link w:val="959"/>
    <w:uiPriority w:val="1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paragraph" w:styleId="988">
    <w:name w:val="UserStyle_17"/>
    <w:basedOn w:val="959"/>
    <w:next w:val="966"/>
    <w:link w:val="959"/>
    <w:pPr>
      <w:jc w:val="center"/>
      <w:keepNext/>
      <w:spacing w:before="240" w:line="100" w:lineRule="atLeast"/>
      <w:widowControl/>
    </w:pPr>
    <w:rPr>
      <w:rFonts w:ascii="Arial" w:hAnsi="Arial" w:cs="Arial"/>
      <w:b/>
      <w:bCs/>
      <w:sz w:val="28"/>
      <w:szCs w:val="24"/>
      <w:lang w:eastAsia="ar-SA"/>
    </w:rPr>
  </w:style>
  <w:style w:type="character" w:styleId="989">
    <w:name w:val="Абзац списка Знак,Подпись рисунка Знак,Маркированный список_уровень1 Знак,Bullet List Знак,FooterText Знак,numbered Знак,Paragraphe de liste1 Знак,lp1 Знак,it_List1 Знак,Абзац списка литеральный Знак"/>
    <w:next w:val="989"/>
    <w:link w:val="979"/>
    <w:uiPriority w:val="34"/>
    <w:rPr>
      <w:rFonts w:ascii="Times New Roman" w:hAnsi="Times New Roman" w:eastAsia="Times New Roman"/>
    </w:rPr>
  </w:style>
  <w:style w:type="paragraph" w:styleId="990">
    <w:name w:val="Обычный1"/>
    <w:next w:val="990"/>
    <w:link w:val="959"/>
    <w:rPr>
      <w:rFonts w:ascii="Times New Roman" w:hAnsi="Times New Roman" w:eastAsia="Times New Roman"/>
      <w:lang w:val="ru-RU" w:eastAsia="ru-RU" w:bidi="ar-SA"/>
    </w:rPr>
  </w:style>
  <w:style w:type="paragraph" w:styleId="991">
    <w:name w:val="Текст сноски"/>
    <w:basedOn w:val="959"/>
    <w:next w:val="991"/>
    <w:link w:val="992"/>
    <w:uiPriority w:val="99"/>
    <w:unhideWhenUsed/>
    <w:pPr>
      <w:widowControl/>
    </w:pPr>
  </w:style>
  <w:style w:type="character" w:styleId="992">
    <w:name w:val="Текст сноски Знак"/>
    <w:next w:val="992"/>
    <w:link w:val="991"/>
    <w:uiPriority w:val="99"/>
    <w:rPr>
      <w:rFonts w:ascii="Times New Roman" w:hAnsi="Times New Roman" w:eastAsia="Times New Roman"/>
    </w:rPr>
  </w:style>
  <w:style w:type="paragraph" w:styleId="993">
    <w:name w:val="Название объекта"/>
    <w:basedOn w:val="959"/>
    <w:next w:val="959"/>
    <w:link w:val="959"/>
    <w:uiPriority w:val="35"/>
    <w:unhideWhenUsed/>
    <w:qFormat/>
    <w:rPr>
      <w:b/>
      <w:bCs/>
    </w:rPr>
  </w:style>
  <w:style w:type="character" w:styleId="994">
    <w:name w:val="Знак сноски"/>
    <w:next w:val="994"/>
    <w:link w:val="959"/>
    <w:uiPriority w:val="99"/>
    <w:semiHidden/>
    <w:unhideWhenUsed/>
    <w:rPr>
      <w:vertAlign w:val="superscript"/>
    </w:rPr>
  </w:style>
  <w:style w:type="paragraph" w:styleId="995">
    <w:name w:val="Верхний колонтитул"/>
    <w:basedOn w:val="959"/>
    <w:next w:val="995"/>
    <w:link w:val="9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96">
    <w:name w:val="Верхний колонтитул Знак"/>
    <w:next w:val="996"/>
    <w:link w:val="995"/>
    <w:uiPriority w:val="99"/>
    <w:rPr>
      <w:rFonts w:ascii="Times New Roman" w:hAnsi="Times New Roman" w:eastAsia="Times New Roman"/>
    </w:rPr>
  </w:style>
  <w:style w:type="paragraph" w:styleId="997">
    <w:name w:val="Нижний колонтитул"/>
    <w:basedOn w:val="959"/>
    <w:next w:val="997"/>
    <w:link w:val="99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98">
    <w:name w:val="Нижний колонтитул Знак"/>
    <w:next w:val="998"/>
    <w:link w:val="997"/>
    <w:uiPriority w:val="99"/>
    <w:semiHidden/>
    <w:rPr>
      <w:rFonts w:ascii="Times New Roman" w:hAnsi="Times New Roman" w:eastAsia="Times New Roman"/>
    </w:rPr>
  </w:style>
  <w:style w:type="table" w:styleId="999">
    <w:name w:val="Сетка таблицы"/>
    <w:basedOn w:val="963"/>
    <w:next w:val="999"/>
    <w:link w:val="959"/>
    <w:uiPriority w:val="59"/>
    <w:rPr>
      <w:rFonts w:ascii="Times New Roman" w:hAnsi="Times New Roman"/>
    </w:rPr>
    <w:tblPr/>
  </w:style>
  <w:style w:type="character" w:styleId="1000">
    <w:name w:val="Заголовок 2 Знак,H2 Знак"/>
    <w:next w:val="1000"/>
    <w:link w:val="961"/>
    <w:rPr>
      <w:rFonts w:ascii="Times New Roman" w:hAnsi="Times New Roman" w:eastAsia="Times New Roman"/>
      <w:b/>
      <w:bCs/>
      <w:sz w:val="24"/>
      <w:szCs w:val="24"/>
    </w:rPr>
  </w:style>
  <w:style w:type="paragraph" w:styleId="1001">
    <w:name w:val="Нумерованный список 2"/>
    <w:basedOn w:val="959"/>
    <w:next w:val="1001"/>
    <w:link w:val="959"/>
    <w:uiPriority w:val="99"/>
    <w:unhideWhenUsed/>
    <w:pPr>
      <w:contextualSpacing/>
      <w:ind w:left="1410" w:hanging="1410"/>
      <w:jc w:val="both"/>
      <w:widowControl/>
      <w:tabs>
        <w:tab w:val="num" w:pos="1410" w:leader="none"/>
      </w:tabs>
    </w:pPr>
    <w:rPr>
      <w:sz w:val="28"/>
      <w:szCs w:val="28"/>
    </w:rPr>
  </w:style>
  <w:style w:type="character" w:styleId="1002">
    <w:name w:val="ConsNormal Знак"/>
    <w:next w:val="1002"/>
    <w:link w:val="1003"/>
    <w:rPr>
      <w:rFonts w:ascii="Arial" w:hAnsi="Arial" w:cs="Arial"/>
      <w:sz w:val="22"/>
      <w:szCs w:val="22"/>
    </w:rPr>
  </w:style>
  <w:style w:type="paragraph" w:styleId="1003">
    <w:name w:val="ConsNormal"/>
    <w:next w:val="1003"/>
    <w:link w:val="1002"/>
    <w:pPr>
      <w:ind w:right="19772" w:firstLine="720"/>
    </w:pPr>
    <w:rPr>
      <w:rFonts w:ascii="Arial" w:hAnsi="Arial" w:cs="Arial"/>
      <w:sz w:val="22"/>
      <w:szCs w:val="22"/>
      <w:lang w:val="ru-RU" w:eastAsia="ru-RU" w:bidi="ar-SA"/>
    </w:rPr>
  </w:style>
  <w:style w:type="character" w:styleId="1004" w:default="1">
    <w:name w:val="Default Paragraph Font"/>
    <w:uiPriority w:val="1"/>
    <w:semiHidden/>
    <w:unhideWhenUsed/>
  </w:style>
  <w:style w:type="numbering" w:styleId="1005" w:default="1">
    <w:name w:val="No List"/>
    <w:uiPriority w:val="99"/>
    <w:semiHidden/>
    <w:unhideWhenUsed/>
  </w:style>
  <w:style w:type="table" w:styleId="100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minenergo.gov.ru/ministry/o-geraldicheskom-znake-minenergo-rossii" TargetMode="External"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ShokinNV</dc:creator>
  <cp:lastModifiedBy>savichav</cp:lastModifiedBy>
  <cp:revision>122</cp:revision>
  <dcterms:created xsi:type="dcterms:W3CDTF">2021-04-19T14:04:00Z</dcterms:created>
  <dcterms:modified xsi:type="dcterms:W3CDTF">2026-06-30T12:26:25Z</dcterms:modified>
  <cp:version>983040</cp:version>
</cp:coreProperties>
</file>