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4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017"/>
        <w:gridCol w:w="3931"/>
        <w:gridCol w:w="396"/>
        <w:gridCol w:w="855"/>
        <w:gridCol w:w="832"/>
        <w:gridCol w:w="832"/>
        <w:gridCol w:w="1641"/>
        <w:gridCol w:w="1376"/>
        <w:gridCol w:w="1334"/>
        <w:gridCol w:w="1756"/>
        <w:gridCol w:w="832"/>
      </w:tblGrid>
      <w:tr>
        <w:tblPrEx/>
        <w:trPr>
          <w:trHeight w:val="3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3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Описание объекта закупки: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5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6107" w:type="dxa"/>
            <w:vAlign w:val="bottom"/>
            <w:vMerge w:val="restart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Оказание услуг по комплексному внутреннему и наружному содержанию административных зданий Управления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3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3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5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3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3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5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6107" w:type="dxa"/>
            <w:vAlign w:val="bottom"/>
            <w:vMerge w:val="restart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3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3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5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96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3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Используемый метод определения НМЦК с обоснованием: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5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4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Метод сопоставимых рыночных цен (анализа рынка)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7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34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5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3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3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5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4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7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34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5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727"/>
        </w:trPr>
        <w:tc>
          <w:tcPr>
            <w:gridSpan w:val="11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8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Определение и обоснование начальной цены единицы товара, работы, услуги, начальной суммы цен единиц товара, работы, услуги, максимального значения цены контракта на услуги по Оказание услуг по техническому обслуживанию систем кондиционирования. , проведено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 в порядке, установленном Федерального закона от 05.04.2013 N 44-ФЗ и требованиями ст. 22 Федерального закона от 05.04.2013 N 44-ФЗ. </w:t>
            </w:r>
            <w:r/>
          </w:p>
        </w:tc>
      </w:tr>
      <w:tr>
        <w:tblPrEx/>
        <w:trPr>
          <w:trHeight w:val="441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3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Наименование объекта закупки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Ед. изм</w:t>
            </w:r>
            <w:r/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52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Стоимость товара, работы, услуги (руб./ за 1 ед.изм.) Источники информации для расчета:</w:t>
              <w:br/>
              <w:t xml:space="preserve">Начальная цена единиц товара, работы, услуги установлена на основании информации о ценах, источником которых послужили коммерческие предложения предоставленные Заказчик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у Исполнителями аналогичных тру</w:t>
              <w:br/>
              <w:t xml:space="preserve"> </w:t>
              <w:br/>
            </w:r>
            <w:r/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351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Оценка однородности совокупности значений выявленных цен, используемых в расчете НМЦК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588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Начальная цена единиц товара, работы, услуги, определяемая методом сопоставимых рыночных цен (анализа рынка)*</w:t>
            </w:r>
            <w:r/>
          </w:p>
        </w:tc>
      </w:tr>
      <w:tr>
        <w:tblPrEx/>
        <w:trPr>
          <w:trHeight w:val="383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 (Цена - n1)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 (Цена - n2)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 (Цена - n3)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41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Средняя арифметическая цена за единицу &lt;ц&gt;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76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Среднее квадратичное отклонение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34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коэффициент вариации цен V (%) (не должен превышать 33%)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56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Расчет НМЦК по формуле v - количество (объем) закупаемого товара (работы, услуги);</w:t>
              <w:br/>
              <w:t xml:space="preserve">n - количество значений, используемых в расчете;</w:t>
              <w:br/>
              <w:t xml:space="preserve">i - номер источника ценовой информации;</w:t>
              <w:br/>
              <w:t xml:space="preserve"> - цена единицы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НМЦК, (руб.)</w:t>
            </w:r>
            <w:r/>
          </w:p>
        </w:tc>
      </w:tr>
      <w:tr>
        <w:tblPrEx/>
        <w:trPr>
          <w:trHeight w:val="2394"/>
        </w:trPr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7" w:type="dxa"/>
            <w:vAlign w:val="center"/>
            <w:textDirection w:val="lrTb"/>
            <w:noWrap w:val="false"/>
          </w:tcPr>
          <w:p>
            <w:pPr>
              <w:jc w:val="right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1</w:t>
            </w:r>
            <w:r/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3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Оказание услуг по комплексному внутреннему и наружному содержанию административных зданий Управления</w:t>
            </w:r>
            <w:r/>
          </w:p>
        </w:tc>
        <w:tc>
          <w:tcPr>
            <w:tcBorders>
              <w:top w:val="single" w:color="000000" w:sz="12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шт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44000,00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44000,00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44000,00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41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44000,00000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7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3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5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44000,00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44000,00</w:t>
            </w:r>
            <w:r/>
          </w:p>
        </w:tc>
      </w:tr>
      <w:tr>
        <w:tblPrEx/>
        <w:trPr>
          <w:trHeight w:val="40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3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5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4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7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34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5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3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3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5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4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7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34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5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3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3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6" w:type="dxa"/>
            <w:vAlign w:val="center"/>
            <w:textDirection w:val="lrTb"/>
            <w:noWrap w:val="false"/>
          </w:tcPr>
          <w:p>
            <w:pPr>
              <w:jc w:val="right"/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5" w:type="dxa"/>
            <w:vAlign w:val="center"/>
            <w:textDirection w:val="lrTb"/>
            <w:noWrap w:val="false"/>
          </w:tcPr>
          <w:p>
            <w:pPr>
              <w:jc w:val="right"/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center"/>
            <w:textDirection w:val="lrTb"/>
            <w:noWrap w:val="false"/>
          </w:tcPr>
          <w:p>
            <w:pPr>
              <w:jc w:val="right"/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center"/>
            <w:textDirection w:val="lrTb"/>
            <w:noWrap w:val="false"/>
          </w:tcPr>
          <w:p>
            <w:pPr>
              <w:jc w:val="right"/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4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7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34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5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3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3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5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4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7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34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5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115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3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Ответственное лицо за определение и обоснование НМЦК: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5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4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7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34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5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3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327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5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4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7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34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5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48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Начальник МТО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182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_____________________________________________О.В. Яшин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4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7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34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5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3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182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13.08.2026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4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7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34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5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3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3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5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4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7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34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56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2026-08-20T03:28:04Z</dcterms:modified>
</cp:coreProperties>
</file>