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1"/>
        <w:numPr>
          <w:ilvl w:val="0"/>
          <w:numId w:val="2"/>
        </w:numPr>
        <w:ind w:right="2" w:hanging="0"/>
        <w:rPr>
          <w:rFonts w:ascii="Times New Roman" w:hAnsi="Times New Roman" w:cs="Times New Roman"/>
          <w:sz w:val="21"/>
          <w:szCs w:val="21"/>
        </w:rPr>
      </w:pPr>
      <w:r>
        <w:rPr>
          <w:rFonts w:cs="Times New Roman"/>
          <w:sz w:val="21"/>
          <w:szCs w:val="21"/>
        </w:rPr>
      </w:r>
    </w:p>
    <w:p>
      <w:pPr>
        <w:pStyle w:val="1"/>
        <w:numPr>
          <w:ilvl w:val="0"/>
          <w:numId w:val="2"/>
        </w:numPr>
        <w:ind w:right="2" w:hanging="0"/>
        <w:rPr>
          <w:rFonts w:ascii="Times New Roman" w:hAnsi="Times New Roman" w:cs="Times New Roman"/>
          <w:sz w:val="21"/>
          <w:szCs w:val="21"/>
        </w:rPr>
      </w:pPr>
      <w:r>
        <w:rPr>
          <w:rFonts w:cs="Times New Roman"/>
          <w:sz w:val="21"/>
          <w:szCs w:val="21"/>
        </w:rPr>
      </w:r>
    </w:p>
    <w:p>
      <w:pPr>
        <w:pStyle w:val="1"/>
        <w:numPr>
          <w:ilvl w:val="0"/>
          <w:numId w:val="2"/>
        </w:numPr>
        <w:ind w:right="2" w:hanging="0"/>
        <w:rPr>
          <w:rFonts w:ascii="Times New Roman" w:hAnsi="Times New Roman"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>ДОГОВОР</w:t>
      </w:r>
    </w:p>
    <w:p>
      <w:pPr>
        <w:pStyle w:val="Normal"/>
        <w:widowControl w:val="false"/>
        <w:jc w:val="center"/>
        <w:rPr>
          <w:sz w:val="21"/>
          <w:szCs w:val="21"/>
        </w:rPr>
      </w:pPr>
      <w:r>
        <w:rPr>
          <w:rFonts w:cs="Times New Roman" w:ascii="Times New Roman" w:hAnsi="Times New Roman"/>
          <w:b/>
          <w:sz w:val="21"/>
          <w:szCs w:val="21"/>
        </w:rPr>
        <w:t>проведения работ (оказания услуг) по инструментальному контролю технического состояния изделий медицинской техники, имеющих нормированные технические характеристики</w:t>
      </w:r>
      <w:r>
        <w:rPr>
          <w:rFonts w:cs="Times New Roman" w:ascii="Times New Roman" w:hAnsi="Times New Roman"/>
          <w:sz w:val="21"/>
          <w:szCs w:val="21"/>
        </w:rPr>
        <w:t xml:space="preserve"> </w:t>
      </w:r>
    </w:p>
    <w:p>
      <w:pPr>
        <w:pStyle w:val="Normal"/>
        <w:widowControl w:val="false"/>
        <w:jc w:val="center"/>
        <w:rPr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 xml:space="preserve">ИКЗ </w:t>
      </w:r>
      <w:r>
        <w:rPr>
          <w:rFonts w:cs="Times New Roman" w:ascii="Times New Roman" w:hAnsi="Times New Roman"/>
          <w:bCs/>
          <w:sz w:val="21"/>
          <w:szCs w:val="21"/>
        </w:rPr>
        <w:t>261212701279421300100100370000000244</w:t>
      </w:r>
    </w:p>
    <w:p>
      <w:pPr>
        <w:pStyle w:val="Normal"/>
        <w:widowControl w:val="false"/>
        <w:jc w:val="center"/>
        <w:rPr>
          <w:rFonts w:ascii="Times New Roman" w:hAnsi="Times New Roman" w:cs="Times New Roman"/>
          <w:bCs/>
          <w:sz w:val="21"/>
          <w:szCs w:val="21"/>
        </w:rPr>
      </w:pPr>
      <w:r>
        <w:rPr>
          <w:rFonts w:cs="Times New Roman" w:ascii="Times New Roman" w:hAnsi="Times New Roman"/>
          <w:bCs/>
          <w:sz w:val="21"/>
          <w:szCs w:val="21"/>
        </w:rPr>
      </w:r>
    </w:p>
    <w:p>
      <w:pPr>
        <w:pStyle w:val="Normal"/>
        <w:widowControl w:val="false"/>
        <w:jc w:val="center"/>
        <w:rPr>
          <w:rFonts w:ascii="Times New Roman" w:hAnsi="Times New Roman" w:cs="Times New Roman"/>
          <w:bCs/>
          <w:sz w:val="21"/>
          <w:szCs w:val="21"/>
        </w:rPr>
      </w:pPr>
      <w:r>
        <w:rPr>
          <w:rFonts w:cs="Times New Roman" w:ascii="Times New Roman" w:hAnsi="Times New Roman"/>
          <w:bCs/>
          <w:sz w:val="21"/>
          <w:szCs w:val="21"/>
        </w:rPr>
      </w:r>
    </w:p>
    <w:p>
      <w:pPr>
        <w:pStyle w:val="26"/>
        <w:ind w:left="0" w:right="-284" w:firstLine="567"/>
        <w:rPr>
          <w:rFonts w:ascii="Times New Roman" w:hAnsi="Times New Roman" w:cs="Times New Roman"/>
          <w:b/>
          <w:b/>
          <w:sz w:val="21"/>
          <w:szCs w:val="21"/>
        </w:rPr>
      </w:pPr>
      <w:r>
        <w:rPr>
          <w:rFonts w:cs="Times New Roman" w:ascii="Times New Roman" w:hAnsi="Times New Roman"/>
          <w:b/>
          <w:sz w:val="21"/>
          <w:szCs w:val="21"/>
        </w:rPr>
        <w:t xml:space="preserve">г. Чебоксары                    </w:t>
        <w:tab/>
        <w:tab/>
        <w:t xml:space="preserve">                                                                 «     »                 2026 г.</w:t>
      </w:r>
    </w:p>
    <w:p>
      <w:pPr>
        <w:pStyle w:val="Normal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sz w:val="21"/>
          <w:szCs w:val="21"/>
        </w:rPr>
        <w:t xml:space="preserve">                                         </w:t>
      </w:r>
    </w:p>
    <w:p>
      <w:pPr>
        <w:pStyle w:val="Style26"/>
        <w:ind w:left="0" w:right="0" w:firstLine="567"/>
        <w:jc w:val="both"/>
        <w:rPr/>
      </w:pPr>
      <w:r>
        <w:rPr>
          <w:rFonts w:cs="Times New Roman"/>
          <w:bCs/>
          <w:sz w:val="21"/>
          <w:szCs w:val="21"/>
        </w:rPr>
        <w:t xml:space="preserve">, именуемое в дальнейшем «Исполнитель», в лице , действующего на основании , и Федеральное казенное учреждение «Главное бюро медико-социальной экспертизы по Чувашской Республике - Чувашии» Министерства труда и социальной защиты Российской Федерации, именуемое в дальнейшем «Заказчик»,  в лице заместителя руководителя по реабилитации инвалидов Смолиной Людмилы Геннадьевны, действующей на основании доверенности №         , с другой стороны, совместно именуемые в дальнейшем Стороны, заключили настоящий Договор о нижеследующем </w:t>
      </w:r>
      <w:r>
        <w:rPr>
          <w:rFonts w:cs="Times New Roman"/>
          <w:bCs/>
          <w:sz w:val="21"/>
          <w:szCs w:val="21"/>
          <w:lang w:eastAsia="ru-RU"/>
        </w:rPr>
        <w:t>в соответствии с п.4 ч.1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</w:t>
      </w:r>
      <w:r>
        <w:rPr>
          <w:rFonts w:cs="Times New Roman"/>
          <w:bCs/>
          <w:sz w:val="21"/>
          <w:szCs w:val="21"/>
        </w:rPr>
        <w:t xml:space="preserve"> </w:t>
      </w:r>
      <w:r>
        <w:rPr>
          <w:rFonts w:cs="Times New Roman"/>
          <w:bCs/>
          <w:sz w:val="21"/>
          <w:szCs w:val="21"/>
          <w:lang w:eastAsia="ru-RU"/>
        </w:rPr>
        <w:t xml:space="preserve">номер закупочной сессии на ЕАТ  №  заключили настоящий </w:t>
      </w:r>
      <w:r>
        <w:rPr>
          <w:rFonts w:cs="Times New Roman"/>
          <w:bCs/>
          <w:sz w:val="21"/>
          <w:szCs w:val="21"/>
        </w:rPr>
        <w:t xml:space="preserve"> договор </w:t>
      </w:r>
      <w:r>
        <w:rPr>
          <w:rFonts w:cs="Times New Roman"/>
          <w:bCs/>
          <w:sz w:val="21"/>
          <w:szCs w:val="21"/>
          <w:lang w:eastAsia="ru-RU"/>
        </w:rPr>
        <w:t xml:space="preserve"> </w:t>
      </w:r>
      <w:r>
        <w:rPr>
          <w:rFonts w:cs="Times New Roman"/>
          <w:bCs/>
          <w:sz w:val="21"/>
          <w:szCs w:val="21"/>
        </w:rPr>
        <w:t>о нижеследующем</w:t>
      </w:r>
      <w:r>
        <w:rPr>
          <w:rFonts w:cs="Times New Roman"/>
          <w:bCs/>
          <w:sz w:val="21"/>
          <w:szCs w:val="21"/>
          <w:lang w:eastAsia="ru-RU"/>
        </w:rPr>
        <w:t xml:space="preserve"> </w:t>
      </w:r>
      <w:r>
        <w:rPr>
          <w:rFonts w:cs="Times New Roman"/>
          <w:bCs/>
          <w:sz w:val="21"/>
          <w:szCs w:val="21"/>
        </w:rPr>
        <w:t>:</w:t>
      </w:r>
    </w:p>
    <w:p>
      <w:pPr>
        <w:pStyle w:val="Normal"/>
        <w:widowControl w:val="false"/>
        <w:ind w:left="0" w:right="-284" w:hanging="0"/>
        <w:jc w:val="center"/>
        <w:rPr>
          <w:rFonts w:ascii="Times New Roman" w:hAnsi="Times New Roman" w:cs="Times New Roman"/>
          <w:b/>
          <w:b/>
          <w:sz w:val="21"/>
          <w:szCs w:val="21"/>
          <w:u w:val="single"/>
        </w:rPr>
      </w:pPr>
      <w:r>
        <w:rPr>
          <w:rFonts w:cs="Times New Roman" w:ascii="Times New Roman" w:hAnsi="Times New Roman"/>
          <w:b/>
          <w:sz w:val="21"/>
          <w:szCs w:val="21"/>
          <w:u w:val="single"/>
        </w:rPr>
        <w:t>1. Основные понятия</w:t>
      </w:r>
    </w:p>
    <w:p>
      <w:pPr>
        <w:pStyle w:val="Normal"/>
        <w:widowControl w:val="false"/>
        <w:ind w:left="0" w:right="-1"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1.1. Следующие определения взяты из методических рекомендаций «Техническое обслуживание медицинской техники», утвержденных Министерством здравоохранения и Министерством промышленности, науки и технологий Российской Федерации в 2003 г.</w:t>
      </w:r>
    </w:p>
    <w:p>
      <w:pPr>
        <w:pStyle w:val="Normal"/>
        <w:widowControl w:val="false"/>
        <w:ind w:left="0" w:right="-1"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1.2. Изделие медицинской техники (ИМТ) – медицинское изделие: приборы, аппараты, оборудование, устройства, установки, комплекты, комплексы, системы с программными средствами, приспособления, механизированные и другие инструменты, предназначенные для применения в медицинских целях по отдельности или в сочетании между собой, для которых эксплуатационной документацией предусмотрено их техническое обслуживание при эксплуатации.</w:t>
      </w:r>
    </w:p>
    <w:p>
      <w:pPr>
        <w:pStyle w:val="Normal"/>
        <w:widowControl w:val="false"/>
        <w:ind w:left="0" w:right="-1"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1.3. Эксплуатационные документы – документы, прилагаемые к ИМТ при поставке (паспорт, формуляр, руководство по эксплуатации и др.), содержащие сведения о назначении, принципе действия, параметрах, характеристиках (свойствах) изделия, указания, необходимые для правильной и безопасной эксплуатации изделия (использования по назначению, технического обслуживания, хранения и транспортирования).</w:t>
      </w:r>
    </w:p>
    <w:p>
      <w:pPr>
        <w:pStyle w:val="Normal"/>
        <w:widowControl w:val="false"/>
        <w:ind w:left="0" w:right="-1"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1.4. Техническое обслуживание медицинской техники (ТО) - комплекс регламентированных нормативной и эксплуатационной документацией мероприятий и операций по поддержанию и восстановлению исправности и работоспособности медицинской техники при ее использовании по назначению, а также при хранении и транспортировании.</w:t>
      </w:r>
    </w:p>
    <w:p>
      <w:pPr>
        <w:pStyle w:val="Normal"/>
        <w:widowControl w:val="false"/>
        <w:ind w:left="0" w:right="-1" w:hanging="0"/>
        <w:jc w:val="both"/>
        <w:rPr>
          <w:sz w:val="21"/>
          <w:szCs w:val="21"/>
        </w:rPr>
      </w:pPr>
      <w:r>
        <w:rPr>
          <w:rFonts w:eastAsia="Times New Roman" w:cs="Times New Roman" w:ascii="Times New Roman" w:hAnsi="Times New Roman"/>
          <w:sz w:val="21"/>
          <w:szCs w:val="21"/>
        </w:rPr>
        <w:t xml:space="preserve">            </w:t>
      </w:r>
      <w:r>
        <w:rPr>
          <w:rFonts w:cs="Times New Roman" w:ascii="Times New Roman" w:hAnsi="Times New Roman"/>
          <w:sz w:val="21"/>
          <w:szCs w:val="21"/>
        </w:rPr>
        <w:t>1.5. Инструментальный контроль технического состояния (ИКТС) – проверка соответствия значений основных эксплуатационных и технических характеристик ИМТ требованиям нормативной и эксплуатационной документации с применением средств инструментального контроля.</w:t>
      </w:r>
    </w:p>
    <w:p>
      <w:pPr>
        <w:pStyle w:val="Normal"/>
        <w:widowControl w:val="false"/>
        <w:ind w:left="0" w:right="-1" w:hanging="0"/>
        <w:jc w:val="both"/>
        <w:rPr>
          <w:sz w:val="21"/>
          <w:szCs w:val="21"/>
        </w:rPr>
      </w:pPr>
      <w:r>
        <w:rPr>
          <w:rFonts w:eastAsia="Times New Roman" w:cs="Times New Roman" w:ascii="Times New Roman" w:hAnsi="Times New Roman"/>
          <w:sz w:val="21"/>
          <w:szCs w:val="21"/>
        </w:rPr>
        <w:t xml:space="preserve">            </w:t>
      </w:r>
      <w:r>
        <w:rPr>
          <w:rFonts w:cs="Times New Roman" w:ascii="Times New Roman" w:hAnsi="Times New Roman"/>
          <w:sz w:val="21"/>
          <w:szCs w:val="21"/>
        </w:rPr>
        <w:t>1.6. Предельное состояние медицинской техники - техническое состояние изделия медицинской техники, при котором значение хотя бы одного параметра (характеристики) изделия не соответствует требованиям нормативной или эксплуатационной документации, а проведение ремонта технически невозможно или экономически нецелесообразно.</w:t>
      </w:r>
    </w:p>
    <w:p>
      <w:pPr>
        <w:pStyle w:val="Normal"/>
        <w:widowControl w:val="false"/>
        <w:ind w:left="0" w:right="-1" w:hanging="0"/>
        <w:jc w:val="center"/>
        <w:rPr>
          <w:rFonts w:ascii="Times New Roman" w:hAnsi="Times New Roman" w:cs="Times New Roman"/>
          <w:b/>
          <w:b/>
          <w:sz w:val="21"/>
          <w:szCs w:val="21"/>
          <w:u w:val="single"/>
        </w:rPr>
      </w:pPr>
      <w:r>
        <w:rPr>
          <w:rFonts w:cs="Times New Roman" w:ascii="Times New Roman" w:hAnsi="Times New Roman"/>
          <w:b/>
          <w:sz w:val="21"/>
          <w:szCs w:val="21"/>
          <w:u w:val="single"/>
        </w:rPr>
        <w:t>2. Предмет договора</w:t>
      </w:r>
    </w:p>
    <w:p>
      <w:pPr>
        <w:pStyle w:val="27"/>
        <w:ind w:left="0" w:right="-1" w:firstLine="567"/>
        <w:rPr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 xml:space="preserve">2.1. Исполнитель принимает на себя по поручению Заказчика </w:t>
      </w:r>
      <w:bookmarkStart w:id="0" w:name="OLE_LINK1"/>
      <w:r>
        <w:rPr>
          <w:rFonts w:cs="Times New Roman" w:ascii="Times New Roman" w:hAnsi="Times New Roman"/>
          <w:sz w:val="21"/>
          <w:szCs w:val="21"/>
        </w:rPr>
        <w:t>проведение работ (оказание услуг) по инструментальному контролю технического состояния ИМТ</w:t>
      </w:r>
      <w:bookmarkEnd w:id="0"/>
      <w:r>
        <w:rPr>
          <w:rFonts w:cs="Times New Roman" w:ascii="Times New Roman" w:hAnsi="Times New Roman"/>
          <w:sz w:val="21"/>
          <w:szCs w:val="21"/>
        </w:rPr>
        <w:t xml:space="preserve"> (далее – работы), а Заказчик обязуется принять результат выполненных работ и оплатить его. </w:t>
      </w:r>
    </w:p>
    <w:p>
      <w:pPr>
        <w:pStyle w:val="27"/>
        <w:ind w:left="0" w:right="-1" w:firstLine="567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Перечень представляемых для инструментального контроля ИМТ с указанием наименования, количества и места нахождения согласовываются Сторонами в Приложении к настоящему договору, являющемся его неотъемлемой частью (Приложение № 1).</w:t>
      </w:r>
    </w:p>
    <w:p>
      <w:pPr>
        <w:pStyle w:val="Normal"/>
        <w:widowControl w:val="false"/>
        <w:ind w:left="0" w:right="-1"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2.2. ИКТС по общему правилу проводится с выездом Специалиста Исполнителя на место эксплуатации ИМТ. При невозможности оказания услуг на месте эксплуатации ИМТ Заказчик обязуется доставить ИМТ до места нахождения Исполнителя.</w:t>
      </w:r>
    </w:p>
    <w:p>
      <w:pPr>
        <w:pStyle w:val="Normal"/>
        <w:widowControl w:val="false"/>
        <w:ind w:left="0" w:right="-1"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На принятые ИМТ Исполнитель выдает Заказчику документ установленной формы, в котором проставляется дата принятия ИМТ. По результатам оказанных услуг Заказчику выдается Акт выполненных работ/оказанных услуг. Доставка ИМТ до места нахождения Исполнителя и обратно относится на счет Заказчика.</w:t>
      </w:r>
    </w:p>
    <w:p>
      <w:pPr>
        <w:pStyle w:val="Normal"/>
        <w:widowControl w:val="false"/>
        <w:ind w:left="0" w:right="-1"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В случае проведения работ на месте эксплуатации ИМТ, указанном Заказчиком, Исполнитель оформляет Акт выполненных работ/оказанных услуг.</w:t>
      </w:r>
    </w:p>
    <w:p>
      <w:pPr>
        <w:pStyle w:val="Normal"/>
        <w:widowControl w:val="false"/>
        <w:ind w:left="0" w:right="-1" w:firstLine="567"/>
        <w:jc w:val="both"/>
        <w:rPr>
          <w:rFonts w:ascii="Times New Roman" w:hAnsi="Times New Roman" w:cs="Times New Roman"/>
          <w:bCs/>
          <w:sz w:val="21"/>
          <w:szCs w:val="21"/>
        </w:rPr>
      </w:pPr>
      <w:r>
        <w:rPr>
          <w:rFonts w:cs="Times New Roman" w:ascii="Times New Roman" w:hAnsi="Times New Roman"/>
          <w:bCs/>
          <w:sz w:val="21"/>
          <w:szCs w:val="21"/>
        </w:rPr>
        <w:t>2.3. В случае увеличения объема услуг по Договору, Сторонами заключается дополнительное соглашение к Договору.</w:t>
      </w:r>
    </w:p>
    <w:p>
      <w:pPr>
        <w:pStyle w:val="Normal"/>
        <w:widowControl w:val="false"/>
        <w:ind w:left="0" w:right="-1" w:hanging="0"/>
        <w:jc w:val="center"/>
        <w:rPr>
          <w:rFonts w:ascii="Times New Roman" w:hAnsi="Times New Roman" w:cs="Times New Roman"/>
          <w:b/>
          <w:b/>
          <w:sz w:val="21"/>
          <w:szCs w:val="21"/>
          <w:u w:val="single"/>
        </w:rPr>
      </w:pPr>
      <w:r>
        <w:rPr>
          <w:rFonts w:cs="Times New Roman" w:ascii="Times New Roman" w:hAnsi="Times New Roman"/>
          <w:b/>
          <w:sz w:val="21"/>
          <w:szCs w:val="21"/>
          <w:u w:val="single"/>
        </w:rPr>
        <w:t>3. Срок выполнения работ</w:t>
      </w:r>
    </w:p>
    <w:p>
      <w:pPr>
        <w:pStyle w:val="Normal"/>
        <w:ind w:left="0" w:right="-1" w:hanging="0"/>
        <w:jc w:val="both"/>
        <w:rPr>
          <w:sz w:val="21"/>
          <w:szCs w:val="21"/>
        </w:rPr>
      </w:pPr>
      <w:r>
        <w:rPr>
          <w:rFonts w:eastAsia="Times New Roman" w:cs="Times New Roman" w:ascii="Times New Roman" w:hAnsi="Times New Roman"/>
          <w:sz w:val="21"/>
          <w:szCs w:val="21"/>
        </w:rPr>
        <w:t xml:space="preserve">      </w:t>
      </w:r>
      <w:r>
        <w:rPr>
          <w:rFonts w:cs="Times New Roman" w:ascii="Times New Roman" w:hAnsi="Times New Roman"/>
          <w:sz w:val="21"/>
          <w:szCs w:val="21"/>
        </w:rPr>
        <w:t>3.1. Срок действия настоящего Договора устанавливается с момента подписания Договора обеими Сторонами и действует до «</w:t>
      </w:r>
      <w:r>
        <w:rPr>
          <w:rFonts w:cs="Times New Roman" w:ascii="Times New Roman" w:hAnsi="Times New Roman"/>
          <w:sz w:val="21"/>
          <w:szCs w:val="21"/>
          <w:u w:val="single"/>
        </w:rPr>
        <w:t>31» декабря 2026 г.</w:t>
      </w:r>
    </w:p>
    <w:p>
      <w:pPr>
        <w:pStyle w:val="Normal"/>
        <w:widowControl w:val="false"/>
        <w:ind w:left="0" w:right="-1" w:firstLine="567"/>
        <w:jc w:val="both"/>
        <w:rPr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 xml:space="preserve">3.2. Исполнитель выполняет работы в течение 5 рабочих дней с момента принятия ИМТ на инструментальный контроль по заявке Заказчика (по телефону, по электронной почте и т.д), </w:t>
      </w:r>
      <w:r>
        <w:rPr>
          <w:rFonts w:cs="Times New Roman" w:ascii="Times New Roman" w:hAnsi="Times New Roman"/>
          <w:sz w:val="21"/>
          <w:szCs w:val="21"/>
          <w:shd w:fill="auto" w:val="clear"/>
        </w:rPr>
        <w:t>не позднее 30.09.2026 года, а в случае выполнения работ на месте эксплуатации ИМТ - с момента предоставления допуска Исполнителя к месту проведения работ. В случае невозможности по</w:t>
      </w:r>
      <w:r>
        <w:rPr>
          <w:rFonts w:cs="Times New Roman" w:ascii="Times New Roman" w:hAnsi="Times New Roman"/>
          <w:sz w:val="21"/>
          <w:szCs w:val="21"/>
        </w:rPr>
        <w:t xml:space="preserve"> техническим причинам выполнения работ в установленные сроки Исполнитель извещает об этом Заказчика. </w:t>
      </w:r>
    </w:p>
    <w:p>
      <w:pPr>
        <w:pStyle w:val="Normal"/>
        <w:widowControl w:val="false"/>
        <w:ind w:left="0" w:right="-1" w:hanging="0"/>
        <w:jc w:val="center"/>
        <w:rPr>
          <w:rFonts w:ascii="Times New Roman" w:hAnsi="Times New Roman" w:cs="Times New Roman"/>
          <w:b/>
          <w:b/>
          <w:sz w:val="21"/>
          <w:szCs w:val="21"/>
          <w:u w:val="single"/>
        </w:rPr>
      </w:pPr>
      <w:r>
        <w:rPr>
          <w:rFonts w:cs="Times New Roman" w:ascii="Times New Roman" w:hAnsi="Times New Roman"/>
          <w:b/>
          <w:sz w:val="21"/>
          <w:szCs w:val="21"/>
          <w:u w:val="single"/>
        </w:rPr>
        <w:t>4. Права и обязанности сторон</w:t>
      </w:r>
    </w:p>
    <w:p>
      <w:pPr>
        <w:pStyle w:val="Normal"/>
        <w:spacing w:lineRule="auto" w:line="252"/>
        <w:ind w:left="0" w:right="-1"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4.1. Исполнитель обязан:</w:t>
      </w:r>
    </w:p>
    <w:p>
      <w:pPr>
        <w:pStyle w:val="Normal"/>
        <w:spacing w:lineRule="auto" w:line="252"/>
        <w:ind w:left="0" w:right="-1"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4.1.1. В установленные Договором сроки выполнить работы:</w:t>
      </w:r>
    </w:p>
    <w:p>
      <w:pPr>
        <w:pStyle w:val="Normal"/>
        <w:spacing w:lineRule="auto" w:line="252"/>
        <w:ind w:left="0" w:right="-1"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-  осуществлять инструментальный контроль в соответствии с технической документацией;</w:t>
      </w:r>
    </w:p>
    <w:p>
      <w:pPr>
        <w:pStyle w:val="Normal"/>
        <w:spacing w:lineRule="auto" w:line="252"/>
        <w:ind w:left="0" w:right="-1"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- услуги должны оказываться на основании методических рекомендаций «Техническое обслуживание медицинской техники» (письмо Министерства здравоохранения РФ от 27 октября 2003г. № 293-22/233);</w:t>
      </w:r>
    </w:p>
    <w:p>
      <w:pPr>
        <w:pStyle w:val="Normal"/>
        <w:spacing w:lineRule="auto" w:line="252"/>
        <w:ind w:left="0" w:right="-1"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- периодичность, объем и технология контроля технического состояния медицинского оборудования, выбор методов и средств контроля определяются соответствующей нормативной и эксплуатационной документацией;</w:t>
        <w:tab/>
      </w:r>
    </w:p>
    <w:p>
      <w:pPr>
        <w:pStyle w:val="Normal"/>
        <w:spacing w:lineRule="auto" w:line="252"/>
        <w:ind w:left="0" w:right="-1"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- результаты контроля технического состояния служат основой для принятия решения о необходимости проведения и объеме работ по техническому обслуживанию медицинского оборудования;</w:t>
      </w:r>
    </w:p>
    <w:p>
      <w:pPr>
        <w:pStyle w:val="Normal"/>
        <w:spacing w:lineRule="auto" w:line="252"/>
        <w:ind w:left="0" w:right="-1"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-  при проведении инструментального контроля определяют значения основных эксплуатационных и технических характеристик медицинского оборудования;</w:t>
      </w:r>
    </w:p>
    <w:p>
      <w:pPr>
        <w:pStyle w:val="Normal"/>
        <w:spacing w:lineRule="auto" w:line="252"/>
        <w:ind w:left="0" w:right="-1"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- работы должны выполняться квалифицированными специалистами, имеющими соответствующие допуски и разрешения для данного вида услуг.</w:t>
      </w:r>
    </w:p>
    <w:p>
      <w:pPr>
        <w:pStyle w:val="Normal"/>
        <w:spacing w:lineRule="auto" w:line="252"/>
        <w:ind w:left="0" w:right="-1"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4.1.2. По завершении выполнения работ по настоящему Договору передать Заказчику прошедшие инструментальный контроль ИМТ, протоколы о проведении инструментального контроля с указанием решения о дальнейшей эксплуатации ИМТ, если они предусмотрены нормативной документацией, Акты на выполненные работы/оказанные услуги (далее – Акты) в течение 3 рабочих дней.</w:t>
      </w:r>
    </w:p>
    <w:p>
      <w:pPr>
        <w:pStyle w:val="Normal"/>
        <w:spacing w:lineRule="auto" w:line="252"/>
        <w:ind w:left="0" w:right="-1"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 xml:space="preserve">4.1.3. Обеспечить сохранность переданных ИМТ в течение срока выполнения работ и одного месяца после его истечения. По истечении указанных сроков применяются положения п. 2 ст. 897 ГК РФ. </w:t>
      </w:r>
    </w:p>
    <w:p>
      <w:pPr>
        <w:pStyle w:val="Normal"/>
        <w:spacing w:lineRule="auto" w:line="252"/>
        <w:ind w:left="0" w:right="-1"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4.2. Исполнитель имеет право:</w:t>
      </w:r>
    </w:p>
    <w:p>
      <w:pPr>
        <w:pStyle w:val="Normal"/>
        <w:spacing w:lineRule="auto" w:line="252"/>
        <w:ind w:left="0" w:right="-1"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4.2.1. самостоятельно определять количество специалистов, необходимых для выполнения работ, а также график их работы;</w:t>
      </w:r>
    </w:p>
    <w:p>
      <w:pPr>
        <w:pStyle w:val="Normal"/>
        <w:spacing w:lineRule="auto" w:line="252"/>
        <w:ind w:left="0" w:right="-1"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4.2.2. требовать от Заказчика подписания документов об исполнении им обязательств;</w:t>
      </w:r>
    </w:p>
    <w:p>
      <w:pPr>
        <w:pStyle w:val="Normal"/>
        <w:spacing w:lineRule="auto" w:line="252"/>
        <w:ind w:left="0" w:right="-1"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4.2.3. требовать своевременной оплаты исполненных им обязательств.</w:t>
      </w:r>
    </w:p>
    <w:p>
      <w:pPr>
        <w:pStyle w:val="Normal"/>
        <w:spacing w:lineRule="auto" w:line="252"/>
        <w:ind w:left="0" w:right="-1"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4.3. Заказчик обязан:</w:t>
      </w:r>
    </w:p>
    <w:p>
      <w:pPr>
        <w:pStyle w:val="27"/>
        <w:ind w:left="0" w:right="-1" w:firstLine="567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4.3.1. Представить Исполнителю ИМТ в комплектности, оговоренной Исполнителем, в упаковке, исключающей повреждение ИМТ при транспортировке (в случае оказания услуг в месте нахождения Исполнителя), в состоянии, соответствующем требованиям нормативно-технической документации на методики, а также свидетельства о предыдущих поверках, при необходимости.</w:t>
      </w:r>
    </w:p>
    <w:p>
      <w:pPr>
        <w:pStyle w:val="27"/>
        <w:ind w:left="0" w:right="-1" w:firstLine="567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4.3.2. Оплатить выполненные работы (оказанные услуги) в установленном Договором размере и порядке, в том числе в случаях признания ИМТ непригодными к применению.</w:t>
      </w:r>
    </w:p>
    <w:p>
      <w:pPr>
        <w:pStyle w:val="Normal"/>
        <w:spacing w:lineRule="auto" w:line="252"/>
        <w:ind w:left="0" w:right="-1"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4.3.3. В случае оказания услуг в месте нахождения Исполнителя не позднее 15 (пятнадцати) рабочих дней от даты оформления Акта выполненных работ/оказанных услуг, получить ИМТ, протоколы о проведении инструментального контроля технического состояния или извещение о непригодности, если они предусмотрены нормативной документацией, Акты. При получении ИМТ представить оформленный при сдаче ИМТ документ установленного образца и надлежаще оформленную доверенность на представителя Заказчика, проверить состояние ИМТ и документацию на них, их комплектность.</w:t>
      </w:r>
    </w:p>
    <w:p>
      <w:pPr>
        <w:pStyle w:val="Normal"/>
        <w:widowControl w:val="false"/>
        <w:ind w:left="0" w:right="-1"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4.3.4. В течение 5 (пяти) рабочих дней с момента получения подписать и вернуть один экземпляр Актов Исполнителю, либо представить мотивированный отказ от их подписания. Если Заказчик не предоставляет в установленный срок Исполнителю подписанные Акты, то работы считаются принятыми за подписью Исполнителя и претензии к Исполнителю отсутствуют. Мотивированный отказ от подписания Актов считается направленным своевременно, если он поступил Исполнителю или направлен почтой не позднее дня указанного срока.</w:t>
      </w:r>
    </w:p>
    <w:p>
      <w:pPr>
        <w:pStyle w:val="Normal"/>
        <w:widowControl w:val="false"/>
        <w:ind w:left="0" w:right="-1"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4.3.5. При выполнении работ по месту эксплуатации ИМТ, указанному Заказчиком, обеспечить допуск к месту выполнения работ, выделить рабочие места или помещения, приспособленные для выполнения работ в соответствии с требованиями методик, обеспечить сохранность оборудования (эталонов) Исполнителя, при необходимости предоставить государственные стандартные образцы и вспомогательный персонал.</w:t>
      </w:r>
    </w:p>
    <w:p>
      <w:pPr>
        <w:pStyle w:val="Normal"/>
        <w:widowControl w:val="false"/>
        <w:ind w:left="0" w:right="-1"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4.4. Заказчик имеет право:</w:t>
      </w:r>
    </w:p>
    <w:p>
      <w:pPr>
        <w:pStyle w:val="Normal"/>
        <w:ind w:left="0" w:right="-1"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4.4.1. Расторгнуть Договор в одностороннем порядке, уведомив Исполнителя не позднее, чем за 10 (десять) дней до предполагаемой даты расторжения, в случае если Исполнитель без уважительных причин не приступает к выполнению работ по Договору в установленный срок.</w:t>
      </w:r>
    </w:p>
    <w:p>
      <w:pPr>
        <w:pStyle w:val="Normal"/>
        <w:widowControl w:val="false"/>
        <w:ind w:left="0" w:right="-1" w:hanging="0"/>
        <w:jc w:val="center"/>
        <w:rPr>
          <w:rFonts w:ascii="Times New Roman" w:hAnsi="Times New Roman" w:cs="Times New Roman"/>
          <w:b/>
          <w:b/>
          <w:sz w:val="21"/>
          <w:szCs w:val="21"/>
          <w:u w:val="single"/>
        </w:rPr>
      </w:pPr>
      <w:r>
        <w:rPr>
          <w:rFonts w:cs="Times New Roman" w:ascii="Times New Roman" w:hAnsi="Times New Roman"/>
          <w:b/>
          <w:sz w:val="21"/>
          <w:szCs w:val="21"/>
          <w:u w:val="single"/>
        </w:rPr>
        <w:t>5. Стоимость работ и порядок расчетов</w:t>
      </w:r>
    </w:p>
    <w:p>
      <w:pPr>
        <w:pStyle w:val="Normal"/>
        <w:ind w:left="0" w:right="-1" w:firstLine="567"/>
        <w:jc w:val="both"/>
        <w:rPr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 xml:space="preserve">5.1. Стоимость работ по Договору составляет </w:t>
      </w:r>
      <w:r>
        <w:rPr>
          <w:rFonts w:cs="Times New Roman" w:ascii="Times New Roman" w:hAnsi="Times New Roman"/>
          <w:b/>
          <w:sz w:val="21"/>
          <w:szCs w:val="21"/>
        </w:rPr>
        <w:t xml:space="preserve">(  ) руб.  коп. </w:t>
      </w:r>
      <w:r>
        <w:rPr>
          <w:rFonts w:cs="Times New Roman" w:ascii="Times New Roman" w:hAnsi="Times New Roman"/>
          <w:sz w:val="21"/>
          <w:szCs w:val="21"/>
        </w:rPr>
        <w:t xml:space="preserve">НДС к оплате не предъявляется на основании п. 2 ст. 346.11 НК РФ в связи с применением упрощенной системы налогообложения. </w:t>
      </w:r>
      <w:r>
        <w:rPr>
          <w:rFonts w:cs="Times New Roman" w:ascii="Times New Roman" w:hAnsi="Times New Roman"/>
          <w:b/>
          <w:sz w:val="21"/>
          <w:szCs w:val="21"/>
        </w:rPr>
        <w:t xml:space="preserve"> </w:t>
      </w:r>
    </w:p>
    <w:p>
      <w:pPr>
        <w:pStyle w:val="Normal"/>
        <w:ind w:left="0" w:right="-1"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5.2. Оплата работ по Договору производится в течение 7 (семи) рабочих дней с момента подписания Сторонами Акта выполненных работ/оказанных услуг. В случаях, предусмотренных п. 2.3.5 настоящего Договора (при отсутствии мотивированного отказа Заказчика от подписания Акта Исполнителя) указанный срок начинает течь с момента оформления Актов Исполнителем.</w:t>
      </w:r>
    </w:p>
    <w:p>
      <w:pPr>
        <w:pStyle w:val="Normal"/>
        <w:ind w:left="0" w:right="-1"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 xml:space="preserve">5.3. </w:t>
      </w:r>
      <w:r>
        <w:rPr>
          <w:rFonts w:cs="Times New Roman" w:ascii="Times New Roman" w:hAnsi="Times New Roman"/>
          <w:color w:val="000000"/>
          <w:sz w:val="21"/>
          <w:szCs w:val="21"/>
        </w:rPr>
        <w:t xml:space="preserve">Источник финансирования – Федеральный бюджет в пределах лимитов бюджетных обязательств на 2026 год. </w:t>
      </w:r>
    </w:p>
    <w:p>
      <w:pPr>
        <w:pStyle w:val="Normal"/>
        <w:spacing w:lineRule="auto" w:line="252"/>
        <w:ind w:left="0" w:right="-1"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5.</w:t>
      </w:r>
      <w:r>
        <w:rPr>
          <w:rFonts w:cs="Times New Roman" w:ascii="Times New Roman" w:hAnsi="Times New Roman"/>
          <w:sz w:val="21"/>
          <w:szCs w:val="21"/>
        </w:rPr>
        <w:t>4</w:t>
      </w:r>
      <w:r>
        <w:rPr>
          <w:rFonts w:cs="Times New Roman" w:ascii="Times New Roman" w:hAnsi="Times New Roman"/>
          <w:sz w:val="21"/>
          <w:szCs w:val="21"/>
        </w:rPr>
        <w:t>. Стороны пришли к соглашению о том, что предусмотренный настоящим договором порядок расчетов не является коммерческим кредитом. Положения ч.1 ст. 317.1 Гражданского кодекса Российской Федерации к отношениям сторон не применяются.</w:t>
      </w:r>
    </w:p>
    <w:p>
      <w:pPr>
        <w:pStyle w:val="Normal"/>
        <w:spacing w:lineRule="atLeast" w:line="200"/>
        <w:ind w:left="0" w:right="0"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5.</w:t>
      </w:r>
      <w:r>
        <w:rPr>
          <w:rFonts w:cs="Times New Roman" w:ascii="Times New Roman" w:hAnsi="Times New Roman"/>
          <w:sz w:val="21"/>
          <w:szCs w:val="21"/>
        </w:rPr>
        <w:t>5</w:t>
      </w:r>
      <w:r>
        <w:rPr>
          <w:rFonts w:cs="Times New Roman" w:ascii="Times New Roman" w:hAnsi="Times New Roman"/>
          <w:sz w:val="21"/>
          <w:szCs w:val="21"/>
        </w:rPr>
        <w:t xml:space="preserve">. Стороны договариваются не реже 1 (одного) раза в полугодие проводить сверку расчетов. Акт сверки составляется в бумажном виде, подписывается руководителем юридического лица либо уполномоченными лицами. </w:t>
      </w:r>
    </w:p>
    <w:p>
      <w:pPr>
        <w:pStyle w:val="Normal"/>
        <w:widowControl w:val="false"/>
        <w:ind w:left="0" w:right="-1" w:hanging="0"/>
        <w:jc w:val="center"/>
        <w:rPr>
          <w:rFonts w:ascii="Times New Roman" w:hAnsi="Times New Roman" w:cs="Times New Roman"/>
          <w:b/>
          <w:b/>
          <w:sz w:val="21"/>
          <w:szCs w:val="21"/>
          <w:u w:val="single"/>
        </w:rPr>
      </w:pPr>
      <w:r>
        <w:rPr>
          <w:rFonts w:cs="Times New Roman" w:ascii="Times New Roman" w:hAnsi="Times New Roman"/>
          <w:b/>
          <w:sz w:val="21"/>
          <w:szCs w:val="21"/>
          <w:u w:val="single"/>
        </w:rPr>
        <w:t>6. Ответственность сторон</w:t>
      </w:r>
    </w:p>
    <w:p>
      <w:pPr>
        <w:pStyle w:val="Normal"/>
        <w:widowControl/>
        <w:suppressAutoHyphens w:val="true"/>
        <w:bidi w:val="0"/>
        <w:spacing w:lineRule="atLeast" w:line="200"/>
        <w:ind w:left="0" w:right="0"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6.1. За неисполнение или ненадлежащее исполнение обязательств, предусмотренных настоящим Договором, стороны несут   ответственность в соответствии с законодательством РФ.</w:t>
      </w:r>
    </w:p>
    <w:p>
      <w:pPr>
        <w:pStyle w:val="Normal"/>
        <w:widowControl w:val="false"/>
        <w:suppressAutoHyphens w:val="true"/>
        <w:bidi w:val="0"/>
        <w:spacing w:lineRule="atLeast" w:line="200" w:before="0" w:after="0"/>
        <w:ind w:left="0" w:right="0" w:firstLine="567"/>
        <w:jc w:val="both"/>
        <w:rPr>
          <w:sz w:val="21"/>
          <w:szCs w:val="21"/>
        </w:rPr>
      </w:pPr>
      <w:r>
        <w:rPr>
          <w:rFonts w:eastAsia="Calibri" w:cs="Times New Roman" w:ascii="Times New Roman" w:hAnsi="Times New Roman"/>
          <w:sz w:val="21"/>
          <w:szCs w:val="21"/>
          <w:lang w:eastAsia="en-US"/>
        </w:rPr>
        <w:t>6.2. В случае если в результате нарушения одной из сторон любого из обязательств, вытекающих из настоящего договора, другой стороне были причинены убытки, последняя имеет право взыскать со стороны, нарушившей обязательство, указанные убытки в полном объеме.</w:t>
      </w:r>
    </w:p>
    <w:p>
      <w:pPr>
        <w:pStyle w:val="Normal"/>
        <w:spacing w:lineRule="atLeast" w:line="200"/>
        <w:jc w:val="both"/>
        <w:rPr>
          <w:sz w:val="21"/>
          <w:szCs w:val="21"/>
        </w:rPr>
      </w:pPr>
      <w:r>
        <w:rPr>
          <w:rFonts w:eastAsia="Times New Roman" w:cs="Times New Roman" w:ascii="Times New Roman" w:hAnsi="Times New Roman"/>
          <w:sz w:val="21"/>
          <w:szCs w:val="21"/>
          <w:lang w:eastAsia="en-US"/>
        </w:rPr>
        <w:t xml:space="preserve">         </w:t>
      </w:r>
      <w:r>
        <w:rPr>
          <w:rFonts w:eastAsia="Times New Roman" w:cs="Times New Roman" w:ascii="Times New Roman" w:hAnsi="Times New Roman"/>
          <w:sz w:val="21"/>
          <w:szCs w:val="21"/>
          <w:lang w:eastAsia="en-US"/>
        </w:rPr>
        <w:t>6</w:t>
      </w:r>
      <w:r>
        <w:rPr>
          <w:rFonts w:eastAsia="Calibri" w:cs="Times New Roman" w:ascii="Times New Roman" w:hAnsi="Times New Roman"/>
          <w:sz w:val="21"/>
          <w:szCs w:val="21"/>
          <w:lang w:eastAsia="en-US"/>
        </w:rPr>
        <w:t>.3. За нарушение сроков выполнения работ Заказчик имеет право взыскать с Исполнителя неустойку в размере 0,1% от стоимости невыполненных работ по настоящему Договору за каждый день просрочки исполнения обязательства.</w:t>
      </w:r>
    </w:p>
    <w:p>
      <w:pPr>
        <w:pStyle w:val="Normal"/>
        <w:spacing w:lineRule="atLeast" w:line="200"/>
        <w:jc w:val="both"/>
        <w:rPr>
          <w:sz w:val="21"/>
          <w:szCs w:val="21"/>
        </w:rPr>
      </w:pPr>
      <w:r>
        <w:rPr>
          <w:rFonts w:eastAsia="Times New Roman" w:cs="Times New Roman" w:ascii="Times New Roman" w:hAnsi="Times New Roman"/>
          <w:sz w:val="21"/>
          <w:szCs w:val="21"/>
          <w:lang w:eastAsia="en-US"/>
        </w:rPr>
        <w:t xml:space="preserve">         </w:t>
      </w:r>
      <w:r>
        <w:rPr>
          <w:rFonts w:eastAsia="Calibri" w:cs="Times New Roman" w:ascii="Times New Roman" w:hAnsi="Times New Roman"/>
          <w:sz w:val="21"/>
          <w:szCs w:val="21"/>
          <w:lang w:eastAsia="en-US"/>
        </w:rPr>
        <w:t>6.4. Взыскание любых неустоек, штрафов, пеней, процентов, предусмотренных законодательством РФ, за нарушение любого обязательства, вытекающего из настоящего Договора, не освобождает Стороны от исполнения такого обязательства в натуре.</w:t>
      </w:r>
    </w:p>
    <w:p>
      <w:pPr>
        <w:pStyle w:val="Normal"/>
        <w:spacing w:lineRule="auto" w:line="240" w:before="0" w:after="0"/>
        <w:ind w:left="-142" w:right="567" w:firstLine="567"/>
        <w:jc w:val="center"/>
        <w:rPr>
          <w:rFonts w:ascii="Times New Roman" w:hAnsi="Times New Roman" w:cs="Times New Roman"/>
          <w:b/>
          <w:b/>
          <w:sz w:val="21"/>
          <w:szCs w:val="21"/>
          <w:u w:val="single"/>
        </w:rPr>
      </w:pPr>
      <w:r>
        <w:rPr>
          <w:rFonts w:cs="Times New Roman" w:ascii="Times New Roman" w:hAnsi="Times New Roman"/>
          <w:b/>
          <w:sz w:val="21"/>
          <w:szCs w:val="21"/>
          <w:u w:val="single"/>
        </w:rPr>
        <w:t>7.Антикорупционная оговорка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7</w:t>
      </w:r>
      <w:r>
        <w:rPr>
          <w:rFonts w:cs="Times New Roman" w:ascii="Times New Roman" w:hAnsi="Times New Roman"/>
          <w:sz w:val="21"/>
          <w:szCs w:val="21"/>
        </w:rPr>
        <w:t>.1. При исполнении обязательств по Контракту Стороны, их аффилированные лица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7</w:t>
      </w:r>
      <w:r>
        <w:rPr>
          <w:rFonts w:cs="Times New Roman" w:ascii="Times New Roman" w:hAnsi="Times New Roman"/>
          <w:sz w:val="21"/>
          <w:szCs w:val="21"/>
        </w:rPr>
        <w:t>.2. При исполнении обязательств по  Контракту Стороны, их аффилированные лица не осуществляют действия, квалифицируемые применимым для целей  Контракта   законодательством Российской Федерации, как дача/получение взятки, коммерческий подкуп, а также иные действия, нарушающие требования применимого законодательства Российской Федерации и международных актов о противодействии коррупции.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-57"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7</w:t>
      </w:r>
      <w:r>
        <w:rPr>
          <w:rFonts w:cs="Times New Roman" w:ascii="Times New Roman" w:hAnsi="Times New Roman"/>
          <w:sz w:val="21"/>
          <w:szCs w:val="21"/>
        </w:rPr>
        <w:t xml:space="preserve">.3. В случае возникновения у Стороны обоснованных подозрений, что произошло или может произойти нарушение каких-либо положений раздела  8 Контракта, соответствующая Сторона обязуется уведомить об этом другую Сторону в письменной форме. После получения письменного уведомления другая Сторона обязана направить подтверждение того, что нарушения не произошло или не произойдет. Это подтверждение должно быть направлено в течение 10 рабочих дней с даты письменного уведомления о нарушении.                                      </w:t>
        <w:br/>
        <w:t xml:space="preserve">          В письменном уведомлении другая Сторона обязана сослаться на обоснованные факты или предоставить материалы, достоверно подтверждающие или не дающие основание предполагать, что произошло или может произойти нарушение каких-либо положений Контракта Стороной, ее аффилированными лицами, выражающееся в действиях, квалифицируемых применимым законодательством Российской Федерации, как дача или получение взятки, коммерческий подкуп, а также иных действиях, нарушающих требования применимого законодательства Российской Федерации и международных актов о противодействии коррупции.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57"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7</w:t>
      </w:r>
      <w:r>
        <w:rPr>
          <w:rFonts w:cs="Times New Roman" w:ascii="Times New Roman" w:hAnsi="Times New Roman"/>
          <w:sz w:val="21"/>
          <w:szCs w:val="21"/>
        </w:rPr>
        <w:t>.4. В случае нарушения одной Стороной обязательств воздерживаться от запрещенных в разделе 8 Контракта действий и/или неполучения другой Стороной в установленный  Контрактом  срок подтверждения, что нарушения не произошло или не произойдет,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Федерации.</w:t>
      </w:r>
    </w:p>
    <w:p>
      <w:pPr>
        <w:pStyle w:val="Normal"/>
        <w:widowControl w:val="false"/>
        <w:ind w:left="0" w:right="-1" w:hanging="0"/>
        <w:jc w:val="center"/>
        <w:rPr>
          <w:rFonts w:ascii="Times New Roman" w:hAnsi="Times New Roman" w:cs="Times New Roman"/>
          <w:b/>
          <w:b/>
          <w:sz w:val="21"/>
          <w:szCs w:val="21"/>
          <w:u w:val="single"/>
        </w:rPr>
      </w:pPr>
      <w:r>
        <w:rPr>
          <w:rFonts w:cs="Times New Roman" w:ascii="Times New Roman" w:hAnsi="Times New Roman"/>
          <w:b/>
          <w:sz w:val="21"/>
          <w:szCs w:val="21"/>
          <w:u w:val="single"/>
        </w:rPr>
        <w:t>8. Прочие условия</w:t>
      </w:r>
    </w:p>
    <w:p>
      <w:pPr>
        <w:pStyle w:val="Normal"/>
        <w:widowControl w:val="false"/>
        <w:ind w:left="0" w:right="-1"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8</w:t>
      </w:r>
      <w:r>
        <w:rPr>
          <w:rFonts w:cs="Times New Roman" w:ascii="Times New Roman" w:hAnsi="Times New Roman"/>
          <w:sz w:val="21"/>
          <w:szCs w:val="21"/>
        </w:rPr>
        <w:t>.1. Любые изменения и дополнения к настоящему Договору имеют силу в том случае, если они оформлены в письменном виде и подписаны обеими Сторонами.  Срок действия договора устанавливается с момента его подписания по 31 декабря 2026 г. Окончание срока действия Договора  не влечет прекращения неисполненных обязательств Сторон по договору, в том числе обязательств заказчика по оплате оказанных услуг, обязательств Исполнителя по уплате неустойки (пени, штрафов).</w:t>
      </w:r>
    </w:p>
    <w:p>
      <w:pPr>
        <w:pStyle w:val="Normal"/>
        <w:widowControl w:val="false"/>
        <w:ind w:left="0" w:right="-1" w:firstLine="567"/>
        <w:jc w:val="both"/>
        <w:rPr/>
      </w:pPr>
      <w:r>
        <w:rPr>
          <w:rFonts w:cs="Times New Roman" w:ascii="Times New Roman" w:hAnsi="Times New Roman"/>
          <w:sz w:val="21"/>
          <w:szCs w:val="21"/>
        </w:rPr>
        <w:t>8</w:t>
      </w:r>
      <w:r>
        <w:rPr>
          <w:rFonts w:cs="Times New Roman" w:ascii="Times New Roman" w:hAnsi="Times New Roman"/>
          <w:sz w:val="21"/>
          <w:szCs w:val="21"/>
        </w:rPr>
        <w:t xml:space="preserve">.2. Изменение существенных условий Контракта при его исполнении не допускается, за исключением случаев, предусмотренных </w:t>
      </w:r>
      <w:hyperlink r:id="rId2">
        <w:r>
          <w:rPr>
            <w:rStyle w:val="Style14"/>
            <w:rFonts w:cs="Times New Roman" w:ascii="Times New Roman" w:hAnsi="Times New Roman"/>
            <w:b/>
            <w:sz w:val="21"/>
            <w:szCs w:val="21"/>
          </w:rPr>
          <w:t>статьей 95</w:t>
        </w:r>
      </w:hyperlink>
      <w:r>
        <w:rPr>
          <w:rFonts w:cs="Times New Roman" w:ascii="Times New Roman" w:hAnsi="Times New Roman"/>
          <w:sz w:val="21"/>
          <w:szCs w:val="21"/>
        </w:rPr>
        <w:t xml:space="preserve"> Закона №44-ФЗ.</w:t>
      </w:r>
    </w:p>
    <w:p>
      <w:pPr>
        <w:pStyle w:val="Normal"/>
        <w:widowControl w:val="false"/>
        <w:ind w:left="0" w:right="-1"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8</w:t>
      </w:r>
      <w:r>
        <w:rPr>
          <w:rFonts w:cs="Times New Roman" w:ascii="Times New Roman" w:hAnsi="Times New Roman"/>
          <w:sz w:val="21"/>
          <w:szCs w:val="21"/>
        </w:rPr>
        <w:t>.2</w:t>
      </w:r>
      <w:r>
        <w:rPr>
          <w:rFonts w:cs="Times New Roman" w:ascii="Times New Roman" w:hAnsi="Times New Roman"/>
          <w:sz w:val="21"/>
          <w:szCs w:val="21"/>
        </w:rPr>
        <w:t>83</w:t>
      </w:r>
      <w:r>
        <w:rPr>
          <w:rFonts w:cs="Times New Roman" w:ascii="Times New Roman" w:hAnsi="Times New Roman"/>
          <w:sz w:val="21"/>
          <w:szCs w:val="21"/>
        </w:rPr>
        <w:t>. Настоящий Договор составлен в двух экземплярах, имеющих одинаковую юридическую силу, по одному экземпляру для каждой из Сторон. Настоящий Договор, заключенный посредством факсимильной связи, имеет юридическую силу для каждой из Сторон с последующим обязательным обменом оригиналами.</w:t>
      </w:r>
    </w:p>
    <w:p>
      <w:pPr>
        <w:pStyle w:val="Normal"/>
        <w:widowControl w:val="false"/>
        <w:ind w:left="0" w:right="-1"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8</w:t>
      </w:r>
      <w:r>
        <w:rPr>
          <w:rFonts w:cs="Times New Roman" w:ascii="Times New Roman" w:hAnsi="Times New Roman"/>
          <w:sz w:val="21"/>
          <w:szCs w:val="21"/>
        </w:rPr>
        <w:t>.</w:t>
      </w:r>
      <w:r>
        <w:rPr>
          <w:rFonts w:cs="Times New Roman" w:ascii="Times New Roman" w:hAnsi="Times New Roman"/>
          <w:sz w:val="21"/>
          <w:szCs w:val="21"/>
        </w:rPr>
        <w:t>4</w:t>
      </w:r>
      <w:r>
        <w:rPr>
          <w:rFonts w:cs="Times New Roman" w:ascii="Times New Roman" w:hAnsi="Times New Roman"/>
          <w:sz w:val="21"/>
          <w:szCs w:val="21"/>
        </w:rPr>
        <w:t>. После выполнения работ по настоящему Договору все претензии по состоянию ИМТ и документации на них, их комплектности указываются в письменном виде при приемке ИМТ представителем Заказчика. После выдачи ИМТ представителю Заказчика или выезда представителей Исполнителя с места выполнения работ по Договору претензии Исполнителем не принимаются.</w:t>
      </w:r>
    </w:p>
    <w:p>
      <w:pPr>
        <w:pStyle w:val="Normal"/>
        <w:widowControl w:val="false"/>
        <w:ind w:left="0" w:right="-1" w:firstLine="567"/>
        <w:jc w:val="both"/>
        <w:rPr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8</w:t>
      </w:r>
      <w:r>
        <w:rPr>
          <w:rFonts w:cs="Times New Roman" w:ascii="Times New Roman" w:hAnsi="Times New Roman"/>
          <w:sz w:val="21"/>
          <w:szCs w:val="21"/>
        </w:rPr>
        <w:t>.</w:t>
      </w:r>
      <w:r>
        <w:rPr>
          <w:rFonts w:cs="Times New Roman" w:ascii="Times New Roman" w:hAnsi="Times New Roman"/>
          <w:sz w:val="21"/>
          <w:szCs w:val="21"/>
        </w:rPr>
        <w:t>5</w:t>
      </w:r>
      <w:r>
        <w:rPr>
          <w:rFonts w:cs="Times New Roman" w:ascii="Times New Roman" w:hAnsi="Times New Roman"/>
          <w:sz w:val="21"/>
          <w:szCs w:val="21"/>
        </w:rPr>
        <w:t>. Все споры и разногласия, возникающие между Сторонами по настоящему Договору или в связи с ним, разрешаются путем переговоров.</w:t>
      </w:r>
      <w:r>
        <w:rPr>
          <w:rFonts w:cs="Times New Roman" w:ascii="Times New Roman" w:hAnsi="Times New Roman"/>
          <w:bCs/>
          <w:i/>
          <w:iCs/>
          <w:sz w:val="21"/>
          <w:szCs w:val="21"/>
        </w:rPr>
        <w:t xml:space="preserve"> </w:t>
      </w:r>
      <w:r>
        <w:rPr>
          <w:rFonts w:cs="Times New Roman" w:ascii="Times New Roman" w:hAnsi="Times New Roman"/>
          <w:sz w:val="21"/>
          <w:szCs w:val="21"/>
        </w:rPr>
        <w:t>В случае невозможности разрешения споров путем переговоров, они подлежат рассмотрению в Арбитражном суде Чувашской Республики.</w:t>
      </w:r>
    </w:p>
    <w:p>
      <w:pPr>
        <w:pStyle w:val="Normal"/>
        <w:widowControl w:val="false"/>
        <w:ind w:left="0" w:right="-1" w:hanging="0"/>
        <w:jc w:val="both"/>
        <w:rPr>
          <w:sz w:val="21"/>
          <w:szCs w:val="21"/>
        </w:rPr>
      </w:pPr>
      <w:r>
        <w:rPr>
          <w:rFonts w:eastAsia="Times New Roman" w:cs="Times New Roman" w:ascii="Times New Roman" w:hAnsi="Times New Roman"/>
          <w:sz w:val="21"/>
          <w:szCs w:val="21"/>
        </w:rPr>
        <w:t xml:space="preserve">     </w:t>
      </w:r>
      <w:r>
        <w:rPr>
          <w:rFonts w:eastAsia="Times New Roman" w:cs="Times New Roman" w:ascii="Times New Roman" w:hAnsi="Times New Roman"/>
          <w:sz w:val="21"/>
          <w:szCs w:val="21"/>
        </w:rPr>
        <w:t>8</w:t>
      </w:r>
      <w:r>
        <w:rPr>
          <w:rFonts w:cs="Times New Roman" w:ascii="Times New Roman" w:hAnsi="Times New Roman"/>
          <w:sz w:val="21"/>
          <w:szCs w:val="21"/>
        </w:rPr>
        <w:t>.</w:t>
      </w:r>
      <w:r>
        <w:rPr>
          <w:rFonts w:cs="Times New Roman" w:ascii="Times New Roman" w:hAnsi="Times New Roman"/>
          <w:sz w:val="21"/>
          <w:szCs w:val="21"/>
        </w:rPr>
        <w:t>6</w:t>
      </w:r>
      <w:r>
        <w:rPr>
          <w:rFonts w:cs="Times New Roman" w:ascii="Times New Roman" w:hAnsi="Times New Roman"/>
          <w:sz w:val="21"/>
          <w:szCs w:val="21"/>
        </w:rPr>
        <w:t>. Во всем остальном,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Normal"/>
        <w:widowControl w:val="false"/>
        <w:tabs>
          <w:tab w:val="clear" w:pos="708"/>
          <w:tab w:val="left" w:pos="851" w:leader="none"/>
        </w:tabs>
        <w:ind w:left="0" w:right="0"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Normal"/>
        <w:widowControl w:val="false"/>
        <w:ind w:left="0" w:right="-284" w:hanging="0"/>
        <w:jc w:val="center"/>
        <w:rPr>
          <w:rFonts w:ascii="Times New Roman" w:hAnsi="Times New Roman" w:cs="Times New Roman"/>
          <w:b/>
          <w:b/>
          <w:sz w:val="21"/>
          <w:szCs w:val="21"/>
          <w:u w:val="single"/>
        </w:rPr>
      </w:pPr>
      <w:r>
        <w:rPr>
          <w:rFonts w:cs="Times New Roman" w:ascii="Times New Roman" w:hAnsi="Times New Roman"/>
          <w:b/>
          <w:sz w:val="21"/>
          <w:szCs w:val="21"/>
          <w:u w:val="single"/>
        </w:rPr>
        <w:t>9. Юридические адреса и расчетные счета сторон</w:t>
      </w:r>
    </w:p>
    <w:p>
      <w:pPr>
        <w:pStyle w:val="Normal"/>
        <w:widowControl w:val="false"/>
        <w:ind w:left="0" w:right="-284" w:hanging="0"/>
        <w:jc w:val="center"/>
        <w:rPr>
          <w:rFonts w:ascii="Times New Roman" w:hAnsi="Times New Roman" w:cs="Times New Roman"/>
          <w:b/>
          <w:b/>
          <w:sz w:val="21"/>
          <w:szCs w:val="21"/>
          <w:u w:val="single"/>
        </w:rPr>
      </w:pPr>
      <w:r>
        <w:rPr>
          <w:rFonts w:cs="Times New Roman" w:ascii="Times New Roman" w:hAnsi="Times New Roman"/>
          <w:b/>
          <w:sz w:val="21"/>
          <w:szCs w:val="21"/>
          <w:u w:val="single"/>
        </w:rPr>
      </w:r>
    </w:p>
    <w:tbl>
      <w:tblPr>
        <w:tblW w:w="1074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34"/>
        <w:gridCol w:w="5505"/>
      </w:tblGrid>
      <w:tr>
        <w:trPr/>
        <w:tc>
          <w:tcPr>
            <w:tcW w:w="52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Normal"/>
              <w:widowControl w:val="false"/>
              <w:ind w:left="320" w:right="-284" w:hanging="260"/>
              <w:rPr>
                <w:rFonts w:ascii="Times New Roman" w:hAnsi="Times New Roman" w:cs="Times New Roman"/>
                <w:b/>
                <w:b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</w:rPr>
              <w:t>Исполнитель:</w:t>
            </w:r>
          </w:p>
          <w:p>
            <w:pPr>
              <w:pStyle w:val="Normal"/>
              <w:widowControl w:val="false"/>
              <w:ind w:left="320" w:right="-284" w:hanging="26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ind w:left="0" w:right="-284" w:hanging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ind w:left="320" w:right="-284" w:hanging="2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ind w:left="320" w:right="-284" w:hanging="2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ind w:left="320" w:right="-284" w:hanging="2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ind w:left="320" w:right="-284" w:hanging="2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ind w:left="320" w:right="-284" w:hanging="2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ind w:left="320" w:right="-284" w:hanging="2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ind w:left="320" w:right="-284" w:hanging="2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ind w:left="320" w:right="-284" w:hanging="2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ind w:left="320" w:right="-284" w:hanging="2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ind w:left="320" w:right="-284" w:hanging="2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ind w:left="320" w:right="-284" w:hanging="2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ind w:left="320" w:right="-284" w:hanging="2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ind w:left="60" w:right="-284" w:hanging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ind w:left="320" w:right="-284" w:hanging="2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ind w:left="320" w:right="-284" w:hanging="2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ind w:left="320" w:right="-284" w:hanging="2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ind w:left="320" w:right="-284" w:hanging="2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ind w:left="320" w:right="-284" w:hanging="2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ind w:left="320" w:right="-284" w:hanging="2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ind w:left="320" w:right="-284" w:hanging="2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ind w:left="0" w:right="-284" w:hanging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______________________________ / /</w:t>
            </w:r>
          </w:p>
          <w:p>
            <w:pPr>
              <w:pStyle w:val="Normal"/>
              <w:widowControl w:val="false"/>
              <w:ind w:left="0" w:right="-284" w:hanging="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ind w:left="0" w:right="-284" w:hanging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М.П.</w:t>
            </w:r>
          </w:p>
          <w:p>
            <w:pPr>
              <w:pStyle w:val="Normal"/>
              <w:widowControl w:val="false"/>
              <w:ind w:left="0" w:right="-284" w:hanging="0"/>
              <w:rPr>
                <w:rFonts w:ascii="Times New Roman" w:hAnsi="Times New Roman" w:cs="Times New Roman"/>
                <w:b/>
                <w:b/>
                <w:sz w:val="21"/>
                <w:szCs w:val="21"/>
                <w:lang w:val="en-US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en-US"/>
              </w:rPr>
            </w:r>
          </w:p>
          <w:p>
            <w:pPr>
              <w:pStyle w:val="Normal"/>
              <w:widowControl w:val="false"/>
              <w:ind w:left="0" w:right="-284" w:hanging="0"/>
              <w:rPr>
                <w:rFonts w:ascii="Times New Roman" w:hAnsi="Times New Roman" w:cs="Times New Roman"/>
                <w:b/>
                <w:b/>
                <w:sz w:val="21"/>
                <w:szCs w:val="21"/>
                <w:lang w:val="en-US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en-US"/>
              </w:rPr>
            </w:r>
          </w:p>
          <w:p>
            <w:pPr>
              <w:pStyle w:val="Normal"/>
              <w:widowControl w:val="false"/>
              <w:ind w:left="0" w:right="-284" w:hanging="0"/>
              <w:rPr>
                <w:rFonts w:ascii="Times New Roman" w:hAnsi="Times New Roman" w:cs="Times New Roman"/>
                <w:b/>
                <w:b/>
                <w:sz w:val="21"/>
                <w:szCs w:val="21"/>
                <w:lang w:val="en-US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en-US"/>
              </w:rPr>
            </w:r>
          </w:p>
          <w:p>
            <w:pPr>
              <w:pStyle w:val="Normal"/>
              <w:widowControl w:val="false"/>
              <w:ind w:left="0" w:right="-284" w:hanging="0"/>
              <w:rPr>
                <w:rFonts w:ascii="Times New Roman" w:hAnsi="Times New Roman" w:cs="Times New Roman"/>
                <w:b/>
                <w:b/>
                <w:sz w:val="21"/>
                <w:szCs w:val="21"/>
                <w:lang w:val="en-US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en-US"/>
              </w:rPr>
            </w:r>
          </w:p>
          <w:p>
            <w:pPr>
              <w:pStyle w:val="Normal"/>
              <w:widowControl w:val="false"/>
              <w:ind w:left="0" w:right="-284" w:hanging="0"/>
              <w:rPr>
                <w:rFonts w:ascii="Times New Roman" w:hAnsi="Times New Roman" w:cs="Times New Roman"/>
                <w:b/>
                <w:b/>
                <w:sz w:val="21"/>
                <w:szCs w:val="21"/>
                <w:lang w:val="en-US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en-US"/>
              </w:rPr>
            </w:r>
          </w:p>
        </w:tc>
        <w:tc>
          <w:tcPr>
            <w:tcW w:w="55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Normal"/>
              <w:widowControl w:val="false"/>
              <w:spacing w:lineRule="auto" w:line="276"/>
              <w:ind w:left="0" w:right="-284" w:hanging="0"/>
              <w:rPr>
                <w:rFonts w:ascii="Times New Roman" w:hAnsi="Times New Roman" w:eastAsia="Calibri" w:cs="Times New Roman"/>
                <w:b/>
                <w:b/>
                <w:sz w:val="21"/>
                <w:szCs w:val="21"/>
                <w:lang w:eastAsia="en-US"/>
              </w:rPr>
            </w:pPr>
            <w:r>
              <w:rPr>
                <w:rFonts w:eastAsia="Calibri" w:cs="Times New Roman" w:ascii="Times New Roman" w:hAnsi="Times New Roman"/>
                <w:b/>
                <w:sz w:val="21"/>
                <w:szCs w:val="21"/>
                <w:lang w:eastAsia="en-US"/>
              </w:rPr>
              <w:t>Заказчик:</w:t>
            </w:r>
          </w:p>
          <w:p>
            <w:pPr>
              <w:pStyle w:val="Normal"/>
              <w:widowControl w:val="false"/>
              <w:spacing w:lineRule="auto" w:line="216" w:before="0" w:after="12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ФКУ «ГБ МСЭ по Чувашской Республике – Чувашии» Минтруда России</w:t>
            </w:r>
          </w:p>
          <w:p>
            <w:pPr>
              <w:pStyle w:val="Normal"/>
              <w:widowControl w:val="false"/>
              <w:spacing w:lineRule="auto" w:line="216" w:before="0" w:after="12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Адрес: 428018, Чувашская Республика,</w:t>
            </w:r>
          </w:p>
          <w:p>
            <w:pPr>
              <w:pStyle w:val="Normal"/>
              <w:widowControl w:val="false"/>
              <w:spacing w:lineRule="auto" w:line="216" w:before="0" w:after="12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г. Чебоксары, ул. Нижегородская, д. 6</w:t>
            </w:r>
          </w:p>
          <w:p>
            <w:pPr>
              <w:pStyle w:val="Normal"/>
              <w:widowControl w:val="false"/>
              <w:spacing w:lineRule="auto" w:line="216" w:before="0" w:after="12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Тел.: (8352) 25-03-91,</w:t>
            </w:r>
          </w:p>
          <w:p>
            <w:pPr>
              <w:pStyle w:val="Normal"/>
              <w:widowControl w:val="false"/>
              <w:spacing w:lineRule="auto" w:line="216" w:before="0" w:after="12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Эл.почта: gbmse21@fbmse.ru</w:t>
            </w:r>
          </w:p>
          <w:p>
            <w:pPr>
              <w:pStyle w:val="Normal"/>
              <w:widowControl w:val="false"/>
              <w:spacing w:lineRule="auto" w:line="216" w:before="0" w:after="12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ИНН 2127012794</w:t>
            </w:r>
          </w:p>
          <w:p>
            <w:pPr>
              <w:pStyle w:val="Normal"/>
              <w:widowControl w:val="false"/>
              <w:spacing w:lineRule="auto" w:line="216" w:before="0" w:after="12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КПП 213001001</w:t>
            </w:r>
          </w:p>
          <w:p>
            <w:pPr>
              <w:pStyle w:val="Normal"/>
              <w:widowControl w:val="false"/>
              <w:spacing w:lineRule="auto" w:line="216" w:before="0" w:after="12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ОКПО 75691016</w:t>
            </w:r>
          </w:p>
          <w:p>
            <w:pPr>
              <w:pStyle w:val="Normal"/>
              <w:widowControl w:val="false"/>
              <w:spacing w:lineRule="auto" w:line="216" w:before="0" w:after="12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ОГРН 1042127028096</w:t>
            </w:r>
          </w:p>
          <w:p>
            <w:pPr>
              <w:pStyle w:val="Normal"/>
              <w:widowControl w:val="false"/>
              <w:spacing w:lineRule="auto" w:line="216" w:before="0" w:after="12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Банковские реквизиты:</w:t>
            </w:r>
          </w:p>
          <w:p>
            <w:pPr>
              <w:pStyle w:val="Normal"/>
              <w:widowControl w:val="false"/>
              <w:spacing w:lineRule="auto" w:line="216" w:before="0" w:after="12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л/с 03151А75340</w:t>
            </w:r>
          </w:p>
          <w:p>
            <w:pPr>
              <w:pStyle w:val="Normal"/>
              <w:widowControl w:val="false"/>
              <w:spacing w:lineRule="auto" w:line="216" w:before="0" w:after="12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р/с 03211643000000013201</w:t>
            </w:r>
          </w:p>
          <w:p>
            <w:pPr>
              <w:pStyle w:val="Normal"/>
              <w:widowControl w:val="false"/>
              <w:spacing w:lineRule="auto" w:line="216" w:before="0" w:after="12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Наименование банка ОКЦ № 1 Волго-Вятского ГУ Банка России//УФК по Нижегородской области, г. Нижний Новгород</w:t>
            </w:r>
          </w:p>
          <w:p>
            <w:pPr>
              <w:pStyle w:val="Normal"/>
              <w:widowControl w:val="false"/>
              <w:spacing w:lineRule="auto" w:line="216" w:before="0" w:after="12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Кор.счет 40102810745370000024</w:t>
            </w:r>
          </w:p>
          <w:p>
            <w:pPr>
              <w:pStyle w:val="Normal"/>
              <w:widowControl w:val="false"/>
              <w:spacing w:lineRule="auto" w:line="216" w:before="0" w:after="12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БИК 012202102</w:t>
            </w:r>
          </w:p>
          <w:p>
            <w:pPr>
              <w:pStyle w:val="Normal"/>
              <w:widowControl w:val="false"/>
              <w:ind w:left="0" w:right="-284" w:hanging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ind w:left="0" w:right="-284" w:hanging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Заместитель руководителя по реабилитации инвалидов</w:t>
            </w:r>
          </w:p>
          <w:p>
            <w:pPr>
              <w:pStyle w:val="Normal"/>
              <w:widowControl w:val="false"/>
              <w:ind w:left="34" w:right="-284" w:hanging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ind w:left="34" w:right="-284" w:hanging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ind w:left="34" w:right="-284" w:hanging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ind w:left="34" w:right="-284" w:hanging="0"/>
              <w:rPr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 xml:space="preserve">______________________________ / </w:t>
            </w:r>
            <w:r>
              <w:rPr>
                <w:rFonts w:cs="Times New Roman" w:ascii="Times New Roman" w:hAnsi="Times New Roman"/>
                <w:sz w:val="21"/>
                <w:szCs w:val="21"/>
                <w:lang w:val="en-US"/>
              </w:rPr>
              <w:t>Л.Г. Смолина</w:t>
            </w:r>
            <w:r>
              <w:rPr>
                <w:rFonts w:cs="Times New Roman" w:ascii="Times New Roman" w:hAnsi="Times New Roman"/>
                <w:sz w:val="21"/>
                <w:szCs w:val="21"/>
              </w:rPr>
              <w:t>/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</w:r>
          </w:p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  <w:t>М.П.</w:t>
            </w:r>
          </w:p>
          <w:p>
            <w:pPr>
              <w:pStyle w:val="Normal"/>
              <w:widowControl w:val="false"/>
              <w:ind w:left="10" w:right="0" w:hanging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</w:r>
          </w:p>
          <w:p>
            <w:pPr>
              <w:pStyle w:val="Normal"/>
              <w:widowControl w:val="false"/>
              <w:ind w:left="10" w:right="0" w:hanging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</w:r>
          </w:p>
          <w:p>
            <w:pPr>
              <w:pStyle w:val="Normal"/>
              <w:widowControl w:val="false"/>
              <w:ind w:left="10" w:right="0" w:hanging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</w:r>
          </w:p>
          <w:p>
            <w:pPr>
              <w:pStyle w:val="Normal"/>
              <w:widowControl w:val="false"/>
              <w:ind w:left="0" w:right="0" w:hanging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</w:r>
          </w:p>
          <w:p>
            <w:pPr>
              <w:pStyle w:val="Normal"/>
              <w:widowControl w:val="false"/>
              <w:ind w:left="0" w:right="0" w:hanging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</w:r>
          </w:p>
          <w:p>
            <w:pPr>
              <w:pStyle w:val="Normal"/>
              <w:widowControl w:val="false"/>
              <w:ind w:left="0" w:right="0" w:hanging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</w:r>
          </w:p>
          <w:p>
            <w:pPr>
              <w:pStyle w:val="Normal"/>
              <w:widowControl w:val="false"/>
              <w:ind w:left="0" w:right="0" w:hanging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</w:r>
          </w:p>
        </w:tc>
      </w:tr>
    </w:tbl>
    <w:p>
      <w:pPr>
        <w:pStyle w:val="Normal"/>
        <w:widowControl w:val="false"/>
        <w:tabs>
          <w:tab w:val="clear" w:pos="708"/>
          <w:tab w:val="left" w:pos="300" w:leader="none"/>
          <w:tab w:val="center" w:pos="5269" w:leader="none"/>
        </w:tabs>
        <w:ind w:left="0" w:right="-284" w:hanging="0"/>
        <w:jc w:val="right"/>
        <w:rPr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ab/>
        <w:tab/>
        <w:tab/>
        <w:tab/>
        <w:t xml:space="preserve">               </w:t>
      </w:r>
    </w:p>
    <w:p>
      <w:pPr>
        <w:pStyle w:val="Normal"/>
        <w:widowControl w:val="false"/>
        <w:tabs>
          <w:tab w:val="clear" w:pos="708"/>
          <w:tab w:val="left" w:pos="300" w:leader="none"/>
          <w:tab w:val="center" w:pos="5269" w:leader="none"/>
        </w:tabs>
        <w:suppressAutoHyphens w:val="true"/>
        <w:bidi w:val="0"/>
        <w:spacing w:before="0" w:after="0"/>
        <w:ind w:left="0" w:right="0" w:hanging="0"/>
        <w:jc w:val="right"/>
        <w:rPr/>
      </w:pPr>
      <w:r>
        <w:rPr>
          <w:rFonts w:cs="Times New Roman" w:ascii="Times New Roman" w:hAnsi="Times New Roman"/>
          <w:sz w:val="22"/>
          <w:szCs w:val="22"/>
        </w:rPr>
        <w:t xml:space="preserve">   </w:t>
      </w:r>
      <w:r>
        <w:rPr>
          <w:rFonts w:cs="Times New Roman" w:ascii="Times New Roman" w:hAnsi="Times New Roman"/>
          <w:b/>
          <w:sz w:val="22"/>
          <w:szCs w:val="22"/>
        </w:rPr>
        <w:t>Приложение № 1 к Договору №</w:t>
      </w:r>
    </w:p>
    <w:p>
      <w:pPr>
        <w:pStyle w:val="Normal"/>
        <w:widowControl w:val="false"/>
        <w:ind w:left="0" w:right="-1" w:hanging="0"/>
        <w:jc w:val="right"/>
        <w:rPr/>
      </w:pPr>
      <w:r>
        <w:rPr>
          <w:rFonts w:eastAsia="Times New Roman" w:cs="Times New Roman" w:ascii="Times New Roman" w:hAnsi="Times New Roman"/>
          <w:sz w:val="22"/>
          <w:szCs w:val="22"/>
        </w:rPr>
        <w:t xml:space="preserve">                        </w:t>
      </w:r>
      <w:r>
        <w:rPr>
          <w:rFonts w:cs="Times New Roman" w:ascii="Times New Roman" w:hAnsi="Times New Roman"/>
          <w:sz w:val="22"/>
          <w:szCs w:val="22"/>
        </w:rPr>
        <w:tab/>
      </w:r>
      <w:r>
        <w:rPr>
          <w:rFonts w:cs="Times New Roman" w:ascii="Times New Roman" w:hAnsi="Times New Roman"/>
          <w:b/>
          <w:sz w:val="22"/>
          <w:szCs w:val="22"/>
        </w:rPr>
        <w:t xml:space="preserve">                                                                           проведения работ (оказания услуг) по инструментальному контролю технического состояния изделий медицинской техники, </w:t>
      </w:r>
    </w:p>
    <w:p>
      <w:pPr>
        <w:pStyle w:val="Normal"/>
        <w:widowControl w:val="false"/>
        <w:ind w:left="0" w:right="-1" w:hanging="0"/>
        <w:jc w:val="right"/>
        <w:rPr>
          <w:rFonts w:ascii="Times New Roman" w:hAnsi="Times New Roman" w:cs="Times New Roman"/>
          <w:b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имеющих нормированные технические характеристики</w:t>
      </w:r>
    </w:p>
    <w:p>
      <w:pPr>
        <w:pStyle w:val="26"/>
        <w:ind w:left="0" w:right="-1" w:firstLine="720"/>
        <w:jc w:val="right"/>
        <w:rPr>
          <w:sz w:val="21"/>
          <w:szCs w:val="21"/>
        </w:rPr>
      </w:pPr>
      <w:r>
        <w:rPr>
          <w:rFonts w:cs="Times New Roman" w:ascii="Times New Roman" w:hAnsi="Times New Roman"/>
          <w:b/>
          <w:sz w:val="21"/>
          <w:szCs w:val="21"/>
        </w:rPr>
        <w:t>№</w:t>
      </w:r>
      <w:r>
        <w:rPr>
          <w:rFonts w:eastAsia="Times New Roman" w:cs="Times New Roman" w:ascii="Times New Roman" w:hAnsi="Times New Roman"/>
          <w:b/>
          <w:sz w:val="21"/>
          <w:szCs w:val="21"/>
        </w:rPr>
        <w:t xml:space="preserve"> </w:t>
      </w:r>
      <w:r>
        <w:rPr>
          <w:rFonts w:cs="Times New Roman" w:ascii="Times New Roman" w:hAnsi="Times New Roman"/>
          <w:b/>
          <w:sz w:val="21"/>
          <w:szCs w:val="21"/>
        </w:rPr>
        <w:t>__________ от «</w:t>
      </w:r>
      <w:r>
        <w:rPr>
          <w:rFonts w:cs="Times New Roman" w:ascii="Times New Roman" w:hAnsi="Times New Roman"/>
          <w:b/>
          <w:sz w:val="21"/>
          <w:szCs w:val="21"/>
          <w:lang w:val="en-US"/>
        </w:rPr>
        <w:t xml:space="preserve">    </w:t>
      </w:r>
      <w:r>
        <w:rPr>
          <w:rFonts w:cs="Times New Roman" w:ascii="Times New Roman" w:hAnsi="Times New Roman"/>
          <w:b/>
          <w:sz w:val="21"/>
          <w:szCs w:val="21"/>
        </w:rPr>
        <w:t xml:space="preserve">» </w:t>
      </w:r>
      <w:r>
        <w:rPr>
          <w:rFonts w:cs="Times New Roman" w:ascii="Times New Roman" w:hAnsi="Times New Roman"/>
          <w:b/>
          <w:sz w:val="21"/>
          <w:szCs w:val="21"/>
          <w:lang w:val="en-US"/>
        </w:rPr>
        <w:t xml:space="preserve">                </w:t>
      </w:r>
      <w:r>
        <w:rPr>
          <w:rFonts w:cs="Times New Roman" w:ascii="Times New Roman" w:hAnsi="Times New Roman"/>
          <w:b/>
          <w:sz w:val="21"/>
          <w:szCs w:val="21"/>
        </w:rPr>
        <w:t>20</w:t>
      </w:r>
      <w:r>
        <w:rPr>
          <w:rFonts w:cs="Times New Roman" w:ascii="Times New Roman" w:hAnsi="Times New Roman"/>
          <w:b/>
          <w:sz w:val="21"/>
          <w:szCs w:val="21"/>
          <w:lang w:val="en-US"/>
        </w:rPr>
        <w:t>26</w:t>
      </w:r>
      <w:r>
        <w:rPr>
          <w:rFonts w:cs="Times New Roman" w:ascii="Times New Roman" w:hAnsi="Times New Roman"/>
          <w:b/>
          <w:sz w:val="21"/>
          <w:szCs w:val="21"/>
        </w:rPr>
        <w:t xml:space="preserve"> г.</w:t>
      </w:r>
    </w:p>
    <w:p>
      <w:pPr>
        <w:pStyle w:val="Normal"/>
        <w:widowControl w:val="false"/>
        <w:ind w:left="0" w:right="-284" w:hanging="0"/>
        <w:jc w:val="center"/>
        <w:rPr>
          <w:rFonts w:ascii="Times New Roman" w:hAnsi="Times New Roman" w:cs="Times New Roman"/>
          <w:b/>
          <w:b/>
          <w:sz w:val="21"/>
          <w:szCs w:val="21"/>
        </w:rPr>
      </w:pPr>
      <w:r>
        <w:rPr>
          <w:rFonts w:cs="Times New Roman" w:ascii="Times New Roman" w:hAnsi="Times New Roman"/>
          <w:b/>
          <w:sz w:val="21"/>
          <w:szCs w:val="21"/>
        </w:rPr>
      </w:r>
    </w:p>
    <w:p>
      <w:pPr>
        <w:pStyle w:val="Normal"/>
        <w:widowControl w:val="false"/>
        <w:ind w:left="0" w:right="-284" w:hanging="0"/>
        <w:jc w:val="center"/>
        <w:rPr>
          <w:rFonts w:ascii="Times New Roman" w:hAnsi="Times New Roman" w:cs="Times New Roman"/>
          <w:b/>
          <w:b/>
          <w:sz w:val="21"/>
          <w:szCs w:val="21"/>
        </w:rPr>
      </w:pPr>
      <w:r>
        <w:rPr>
          <w:rFonts w:cs="Times New Roman" w:ascii="Times New Roman" w:hAnsi="Times New Roman"/>
          <w:b/>
          <w:sz w:val="21"/>
          <w:szCs w:val="21"/>
        </w:rPr>
        <w:t>ПЕРЕЧЕНЬ</w:t>
      </w:r>
    </w:p>
    <w:p>
      <w:pPr>
        <w:pStyle w:val="Normal"/>
        <w:widowControl w:val="false"/>
        <w:ind w:left="0" w:right="-284" w:hanging="0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представляемых для инструментального контроля ИМТ</w:t>
      </w:r>
    </w:p>
    <w:p>
      <w:pPr>
        <w:pStyle w:val="Normal"/>
        <w:widowControl w:val="false"/>
        <w:ind w:left="0" w:right="-284" w:hanging="0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tbl>
      <w:tblPr>
        <w:tblW w:w="10349" w:type="dxa"/>
        <w:jc w:val="left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"/>
        <w:gridCol w:w="3438"/>
        <w:gridCol w:w="993"/>
        <w:gridCol w:w="1985"/>
        <w:gridCol w:w="1276"/>
        <w:gridCol w:w="1983"/>
      </w:tblGrid>
      <w:tr>
        <w:trPr/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-108" w:hanging="0"/>
              <w:jc w:val="center"/>
              <w:rPr>
                <w:rFonts w:ascii="Times New Roman" w:hAnsi="Times New Roman" w:cs="Times New Roman"/>
                <w:b/>
                <w:b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</w:rPr>
              <w:t>№</w:t>
            </w:r>
          </w:p>
          <w:p>
            <w:pPr>
              <w:pStyle w:val="Normal"/>
              <w:widowControl w:val="false"/>
              <w:ind w:left="0" w:right="-108" w:hanging="0"/>
              <w:jc w:val="center"/>
              <w:rPr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b/>
                <w:sz w:val="21"/>
                <w:szCs w:val="21"/>
              </w:rPr>
              <w:t xml:space="preserve"> </w:t>
            </w:r>
            <w:r>
              <w:rPr>
                <w:rFonts w:cs="Times New Roman" w:ascii="Times New Roman" w:hAnsi="Times New Roman"/>
                <w:b/>
                <w:sz w:val="21"/>
                <w:szCs w:val="21"/>
              </w:rPr>
              <w:t>п/п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33" w:right="-41" w:hanging="0"/>
              <w:jc w:val="center"/>
              <w:rPr>
                <w:rFonts w:ascii="Times New Roman" w:hAnsi="Times New Roman" w:cs="Times New Roman"/>
                <w:b/>
                <w:b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</w:rPr>
              <w:t>Наименование</w:t>
            </w:r>
          </w:p>
          <w:p>
            <w:pPr>
              <w:pStyle w:val="Normal"/>
              <w:widowControl w:val="false"/>
              <w:ind w:left="33" w:right="-41" w:hanging="0"/>
              <w:jc w:val="center"/>
              <w:rPr>
                <w:rFonts w:ascii="Times New Roman" w:hAnsi="Times New Roman" w:cs="Times New Roman"/>
                <w:b/>
                <w:b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</w:rPr>
              <w:t>ИМТ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34" w:right="-42" w:hanging="0"/>
              <w:jc w:val="center"/>
              <w:rPr>
                <w:rFonts w:ascii="Times New Roman" w:hAnsi="Times New Roman" w:cs="Times New Roman"/>
                <w:b/>
                <w:b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</w:rPr>
              <w:t>Количество,</w:t>
            </w:r>
          </w:p>
          <w:p>
            <w:pPr>
              <w:pStyle w:val="Normal"/>
              <w:widowControl w:val="false"/>
              <w:ind w:left="34" w:right="-42" w:hanging="0"/>
              <w:jc w:val="center"/>
              <w:rPr>
                <w:rFonts w:ascii="Times New Roman" w:hAnsi="Times New Roman" w:cs="Times New Roman"/>
                <w:b/>
                <w:b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</w:rPr>
              <w:t>шт.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33" w:right="25" w:hanging="0"/>
              <w:jc w:val="center"/>
              <w:rPr>
                <w:rFonts w:ascii="Times New Roman" w:hAnsi="Times New Roman" w:cs="Times New Roman"/>
                <w:b/>
                <w:b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</w:rPr>
              <w:t>Место нахождения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33" w:right="25" w:hanging="0"/>
              <w:jc w:val="center"/>
              <w:rPr>
                <w:rFonts w:ascii="Times New Roman" w:hAnsi="Times New Roman" w:cs="Times New Roman"/>
                <w:b/>
                <w:b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</w:rPr>
              <w:t>Стоимость за единицу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33" w:right="25" w:hanging="0"/>
              <w:jc w:val="center"/>
              <w:rPr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b/>
                <w:sz w:val="21"/>
                <w:szCs w:val="21"/>
              </w:rPr>
              <w:t xml:space="preserve"> </w:t>
            </w:r>
            <w:r>
              <w:rPr>
                <w:rFonts w:cs="Times New Roman" w:ascii="Times New Roman" w:hAnsi="Times New Roman"/>
                <w:b/>
                <w:sz w:val="21"/>
                <w:szCs w:val="21"/>
              </w:rPr>
              <w:t>Общая стоимость,</w:t>
            </w:r>
          </w:p>
          <w:p>
            <w:pPr>
              <w:pStyle w:val="Normal"/>
              <w:widowControl w:val="false"/>
              <w:ind w:left="-33" w:right="25" w:hanging="0"/>
              <w:jc w:val="center"/>
              <w:rPr>
                <w:rFonts w:ascii="Times New Roman" w:hAnsi="Times New Roman" w:cs="Times New Roman"/>
                <w:b/>
                <w:b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</w:rPr>
              <w:t>руб.</w:t>
            </w:r>
          </w:p>
        </w:tc>
      </w:tr>
      <w:tr>
        <w:trPr/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napToGrid w:val="false"/>
              <w:ind w:left="360" w:right="-108" w:hanging="360"/>
              <w:jc w:val="center"/>
              <w:rPr>
                <w:rFonts w:ascii="Times New Roman" w:hAnsi="Times New Roman" w:cs="Times New Roman"/>
                <w:b/>
                <w:b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</w:rPr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Рециркулятор  УФ –бактерицидный для обеззараживания воздуха  «СПДС-100-Р»с тележкой (3 лампы)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6 шт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34" w:right="-284" w:hanging="0"/>
              <w:rPr>
                <w:sz w:val="21"/>
                <w:szCs w:val="21"/>
              </w:rPr>
            </w:pPr>
            <w:r>
              <w:rPr>
                <w:rFonts w:eastAsia="Arial Unicode MS" w:cs="Times New Roman" w:ascii="Times New Roman" w:hAnsi="Times New Roman"/>
                <w:kern w:val="2"/>
                <w:sz w:val="21"/>
                <w:szCs w:val="21"/>
              </w:rPr>
              <w:t>г. Чебоксары,</w:t>
            </w:r>
            <w:r>
              <w:rPr>
                <w:rFonts w:cs="Times New Roman" w:ascii="Times New Roman" w:hAnsi="Times New Roman"/>
                <w:sz w:val="21"/>
                <w:szCs w:val="21"/>
              </w:rPr>
              <w:t xml:space="preserve"> </w:t>
            </w:r>
            <w:r>
              <w:rPr>
                <w:rFonts w:eastAsia="Arial Unicode MS" w:cs="Times New Roman" w:ascii="Times New Roman" w:hAnsi="Times New Roman"/>
                <w:kern w:val="2"/>
                <w:sz w:val="21"/>
                <w:szCs w:val="21"/>
              </w:rPr>
              <w:t>ул. Нижегородская, д.6</w:t>
            </w:r>
          </w:p>
          <w:p>
            <w:pPr>
              <w:pStyle w:val="Normal"/>
              <w:widowControl w:val="false"/>
              <w:ind w:left="34" w:right="-284" w:hanging="0"/>
              <w:rPr>
                <w:rFonts w:ascii="Times New Roman" w:hAnsi="Times New Roman" w:eastAsia="Arial Unicode MS" w:cs="Times New Roman"/>
                <w:b/>
                <w:b/>
                <w:kern w:val="2"/>
                <w:sz w:val="21"/>
                <w:szCs w:val="21"/>
              </w:rPr>
            </w:pPr>
            <w:r>
              <w:rPr>
                <w:rFonts w:eastAsia="Arial Unicode MS" w:cs="Times New Roman" w:ascii="Times New Roman" w:hAnsi="Times New Roman"/>
                <w:b/>
                <w:kern w:val="2"/>
                <w:sz w:val="21"/>
                <w:szCs w:val="21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Arial Unicode MS" w:cs="Times New Roman"/>
                <w:b/>
                <w:b/>
                <w:kern w:val="2"/>
                <w:sz w:val="21"/>
                <w:szCs w:val="21"/>
              </w:rPr>
            </w:pPr>
            <w:r>
              <w:rPr>
                <w:rFonts w:eastAsia="Arial Unicode MS" w:cs="Times New Roman" w:ascii="Times New Roman" w:hAnsi="Times New Roman"/>
                <w:b/>
                <w:kern w:val="2"/>
                <w:sz w:val="21"/>
                <w:szCs w:val="21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Arial Unicode MS" w:cs="Times New Roman"/>
                <w:b/>
                <w:b/>
                <w:kern w:val="2"/>
                <w:sz w:val="21"/>
                <w:szCs w:val="21"/>
              </w:rPr>
            </w:pPr>
            <w:r>
              <w:rPr>
                <w:rFonts w:eastAsia="Arial Unicode MS" w:cs="Times New Roman" w:ascii="Times New Roman" w:hAnsi="Times New Roman"/>
                <w:b/>
                <w:kern w:val="2"/>
                <w:sz w:val="21"/>
                <w:szCs w:val="21"/>
              </w:rPr>
            </w:r>
          </w:p>
        </w:tc>
      </w:tr>
      <w:tr>
        <w:trPr/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napToGrid w:val="false"/>
              <w:ind w:left="360" w:right="-108" w:hanging="360"/>
              <w:jc w:val="center"/>
              <w:rPr>
                <w:rFonts w:ascii="Times New Roman" w:hAnsi="Times New Roman" w:eastAsia="Arial Unicode MS" w:cs="Times New Roman"/>
                <w:b/>
                <w:b/>
                <w:kern w:val="2"/>
                <w:sz w:val="21"/>
                <w:szCs w:val="21"/>
              </w:rPr>
            </w:pPr>
            <w:r>
              <w:rPr>
                <w:rFonts w:eastAsia="Arial Unicode MS" w:cs="Times New Roman" w:ascii="Times New Roman" w:hAnsi="Times New Roman"/>
                <w:b/>
                <w:kern w:val="2"/>
                <w:sz w:val="21"/>
                <w:szCs w:val="21"/>
              </w:rPr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Облучатель –рециркулятор воздуха бактерицидный ОРУБ3-5 «Кронт» (5 ламп)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3 шт.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34" w:right="-284" w:hanging="0"/>
              <w:rPr>
                <w:sz w:val="21"/>
                <w:szCs w:val="21"/>
              </w:rPr>
            </w:pPr>
            <w:r>
              <w:rPr>
                <w:rFonts w:eastAsia="Arial Unicode MS" w:cs="Times New Roman" w:ascii="Times New Roman" w:hAnsi="Times New Roman"/>
                <w:kern w:val="2"/>
                <w:sz w:val="21"/>
                <w:szCs w:val="21"/>
              </w:rPr>
              <w:t>г. Чебоксары,</w:t>
            </w:r>
            <w:r>
              <w:rPr>
                <w:rFonts w:cs="Times New Roman" w:ascii="Times New Roman" w:hAnsi="Times New Roman"/>
                <w:sz w:val="21"/>
                <w:szCs w:val="21"/>
              </w:rPr>
              <w:t xml:space="preserve"> </w:t>
            </w:r>
            <w:r>
              <w:rPr>
                <w:rFonts w:eastAsia="Arial Unicode MS" w:cs="Times New Roman" w:ascii="Times New Roman" w:hAnsi="Times New Roman"/>
                <w:kern w:val="2"/>
                <w:sz w:val="21"/>
                <w:szCs w:val="21"/>
              </w:rPr>
              <w:t>ул. Нижегородская, д.6</w:t>
            </w:r>
          </w:p>
          <w:p>
            <w:pPr>
              <w:pStyle w:val="Normal"/>
              <w:widowControl w:val="false"/>
              <w:ind w:left="34" w:right="-284" w:hanging="0"/>
              <w:rPr>
                <w:rFonts w:ascii="Times New Roman" w:hAnsi="Times New Roman" w:eastAsia="Arial Unicode MS" w:cs="Times New Roman"/>
                <w:kern w:val="2"/>
                <w:sz w:val="21"/>
                <w:szCs w:val="21"/>
              </w:rPr>
            </w:pPr>
            <w:r>
              <w:rPr>
                <w:rFonts w:eastAsia="Arial Unicode MS" w:cs="Times New Roman" w:ascii="Times New Roman" w:hAnsi="Times New Roman"/>
                <w:kern w:val="2"/>
                <w:sz w:val="21"/>
                <w:szCs w:val="21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Arial Unicode MS" w:cs="Times New Roman"/>
                <w:kern w:val="2"/>
                <w:sz w:val="21"/>
                <w:szCs w:val="21"/>
              </w:rPr>
            </w:pPr>
            <w:r>
              <w:rPr>
                <w:rFonts w:eastAsia="Arial Unicode MS" w:cs="Times New Roman" w:ascii="Times New Roman" w:hAnsi="Times New Roman"/>
                <w:kern w:val="2"/>
                <w:sz w:val="21"/>
                <w:szCs w:val="21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Arial Unicode MS" w:cs="Times New Roman"/>
                <w:kern w:val="2"/>
                <w:sz w:val="21"/>
                <w:szCs w:val="21"/>
              </w:rPr>
            </w:pPr>
            <w:r>
              <w:rPr>
                <w:rFonts w:eastAsia="Arial Unicode MS" w:cs="Times New Roman" w:ascii="Times New Roman" w:hAnsi="Times New Roman"/>
                <w:kern w:val="2"/>
                <w:sz w:val="21"/>
                <w:szCs w:val="21"/>
              </w:rPr>
            </w:r>
          </w:p>
        </w:tc>
      </w:tr>
      <w:tr>
        <w:trPr/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napToGrid w:val="false"/>
              <w:ind w:left="360" w:right="-108" w:hanging="360"/>
              <w:jc w:val="center"/>
              <w:rPr>
                <w:rFonts w:ascii="Times New Roman" w:hAnsi="Times New Roman" w:eastAsia="Arial Unicode MS" w:cs="Times New Roman"/>
                <w:kern w:val="2"/>
                <w:sz w:val="21"/>
                <w:szCs w:val="21"/>
              </w:rPr>
            </w:pPr>
            <w:r>
              <w:rPr>
                <w:rFonts w:eastAsia="Arial Unicode MS" w:cs="Times New Roman" w:ascii="Times New Roman" w:hAnsi="Times New Roman"/>
                <w:kern w:val="2"/>
                <w:sz w:val="21"/>
                <w:szCs w:val="21"/>
              </w:rPr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Облучатель-рециркулятор СН511-115 медиц. со стойкой СПР-3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(5 ламп)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3 шт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34" w:right="-284" w:hanging="0"/>
              <w:rPr>
                <w:sz w:val="21"/>
                <w:szCs w:val="21"/>
              </w:rPr>
            </w:pPr>
            <w:r>
              <w:rPr>
                <w:rFonts w:eastAsia="Arial Unicode MS" w:cs="Times New Roman" w:ascii="Times New Roman" w:hAnsi="Times New Roman"/>
                <w:kern w:val="2"/>
                <w:sz w:val="21"/>
                <w:szCs w:val="21"/>
              </w:rPr>
              <w:t>г. Чебоксары,</w:t>
            </w:r>
            <w:r>
              <w:rPr>
                <w:rFonts w:cs="Times New Roman" w:ascii="Times New Roman" w:hAnsi="Times New Roman"/>
                <w:sz w:val="21"/>
                <w:szCs w:val="21"/>
              </w:rPr>
              <w:t xml:space="preserve"> </w:t>
            </w:r>
            <w:r>
              <w:rPr>
                <w:rFonts w:eastAsia="Arial Unicode MS" w:cs="Times New Roman" w:ascii="Times New Roman" w:hAnsi="Times New Roman"/>
                <w:kern w:val="2"/>
                <w:sz w:val="21"/>
                <w:szCs w:val="21"/>
              </w:rPr>
              <w:t>ул. Нижегородская, д.6</w:t>
            </w:r>
          </w:p>
          <w:p>
            <w:pPr>
              <w:pStyle w:val="Normal"/>
              <w:widowControl w:val="false"/>
              <w:ind w:left="34" w:right="-284" w:hanging="0"/>
              <w:rPr>
                <w:rFonts w:ascii="Times New Roman" w:hAnsi="Times New Roman" w:eastAsia="Arial Unicode MS" w:cs="Times New Roman"/>
                <w:kern w:val="2"/>
                <w:sz w:val="21"/>
                <w:szCs w:val="21"/>
              </w:rPr>
            </w:pPr>
            <w:r>
              <w:rPr>
                <w:rFonts w:eastAsia="Arial Unicode MS" w:cs="Times New Roman" w:ascii="Times New Roman" w:hAnsi="Times New Roman"/>
                <w:kern w:val="2"/>
                <w:sz w:val="21"/>
                <w:szCs w:val="21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Arial Unicode MS" w:cs="Times New Roman"/>
                <w:kern w:val="2"/>
                <w:sz w:val="21"/>
                <w:szCs w:val="21"/>
              </w:rPr>
            </w:pPr>
            <w:r>
              <w:rPr>
                <w:rFonts w:eastAsia="Arial Unicode MS" w:cs="Times New Roman" w:ascii="Times New Roman" w:hAnsi="Times New Roman"/>
                <w:kern w:val="2"/>
                <w:sz w:val="21"/>
                <w:szCs w:val="21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Arial Unicode MS" w:cs="Times New Roman"/>
                <w:kern w:val="2"/>
                <w:sz w:val="21"/>
                <w:szCs w:val="21"/>
              </w:rPr>
            </w:pPr>
            <w:r>
              <w:rPr>
                <w:rFonts w:eastAsia="Arial Unicode MS" w:cs="Times New Roman" w:ascii="Times New Roman" w:hAnsi="Times New Roman"/>
                <w:kern w:val="2"/>
                <w:sz w:val="21"/>
                <w:szCs w:val="21"/>
              </w:rPr>
            </w:r>
          </w:p>
        </w:tc>
      </w:tr>
      <w:tr>
        <w:trPr/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napToGrid w:val="false"/>
              <w:ind w:left="360" w:right="-108" w:hanging="360"/>
              <w:jc w:val="center"/>
              <w:rPr>
                <w:rFonts w:ascii="Times New Roman" w:hAnsi="Times New Roman" w:eastAsia="Arial Unicode MS" w:cs="Times New Roman"/>
                <w:kern w:val="2"/>
                <w:sz w:val="21"/>
                <w:szCs w:val="21"/>
              </w:rPr>
            </w:pPr>
            <w:r>
              <w:rPr>
                <w:rFonts w:eastAsia="Arial Unicode MS" w:cs="Times New Roman" w:ascii="Times New Roman" w:hAnsi="Times New Roman"/>
                <w:kern w:val="2"/>
                <w:sz w:val="21"/>
                <w:szCs w:val="21"/>
              </w:rPr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Облучатель –рециркулятор (передвижной) 2 лампы 15 Вт производительность 60-м3/ч объем помещений  до 701 м2 металлический корпус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5 шт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34" w:right="-284" w:hanging="0"/>
              <w:rPr>
                <w:sz w:val="21"/>
                <w:szCs w:val="21"/>
              </w:rPr>
            </w:pPr>
            <w:r>
              <w:rPr>
                <w:rFonts w:eastAsia="Arial Unicode MS" w:cs="Times New Roman" w:ascii="Times New Roman" w:hAnsi="Times New Roman"/>
                <w:kern w:val="2"/>
                <w:sz w:val="21"/>
                <w:szCs w:val="21"/>
              </w:rPr>
              <w:t>г. Чебоксары,</w:t>
            </w:r>
            <w:r>
              <w:rPr>
                <w:rFonts w:cs="Times New Roman" w:ascii="Times New Roman" w:hAnsi="Times New Roman"/>
                <w:sz w:val="21"/>
                <w:szCs w:val="21"/>
              </w:rPr>
              <w:t xml:space="preserve"> </w:t>
            </w:r>
            <w:r>
              <w:rPr>
                <w:rFonts w:eastAsia="Arial Unicode MS" w:cs="Times New Roman" w:ascii="Times New Roman" w:hAnsi="Times New Roman"/>
                <w:kern w:val="2"/>
                <w:sz w:val="21"/>
                <w:szCs w:val="21"/>
              </w:rPr>
              <w:t>ул. Нижегородская, д.6</w:t>
            </w:r>
          </w:p>
          <w:p>
            <w:pPr>
              <w:pStyle w:val="Normal"/>
              <w:widowControl w:val="false"/>
              <w:ind w:left="34" w:right="-284" w:hanging="0"/>
              <w:rPr>
                <w:rFonts w:ascii="Times New Roman" w:hAnsi="Times New Roman" w:eastAsia="Arial Unicode MS" w:cs="Times New Roman"/>
                <w:kern w:val="2"/>
                <w:sz w:val="21"/>
                <w:szCs w:val="21"/>
              </w:rPr>
            </w:pPr>
            <w:r>
              <w:rPr>
                <w:rFonts w:eastAsia="Arial Unicode MS" w:cs="Times New Roman" w:ascii="Times New Roman" w:hAnsi="Times New Roman"/>
                <w:kern w:val="2"/>
                <w:sz w:val="21"/>
                <w:szCs w:val="21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Arial Unicode MS" w:cs="Times New Roman"/>
                <w:kern w:val="2"/>
                <w:sz w:val="21"/>
                <w:szCs w:val="21"/>
              </w:rPr>
            </w:pPr>
            <w:r>
              <w:rPr>
                <w:rFonts w:eastAsia="Arial Unicode MS" w:cs="Times New Roman" w:ascii="Times New Roman" w:hAnsi="Times New Roman"/>
                <w:kern w:val="2"/>
                <w:sz w:val="21"/>
                <w:szCs w:val="21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Arial Unicode MS" w:cs="Times New Roman"/>
                <w:kern w:val="2"/>
                <w:sz w:val="21"/>
                <w:szCs w:val="21"/>
              </w:rPr>
            </w:pPr>
            <w:r>
              <w:rPr>
                <w:rFonts w:eastAsia="Arial Unicode MS" w:cs="Times New Roman" w:ascii="Times New Roman" w:hAnsi="Times New Roman"/>
                <w:kern w:val="2"/>
                <w:sz w:val="21"/>
                <w:szCs w:val="21"/>
              </w:rPr>
            </w:r>
          </w:p>
        </w:tc>
      </w:tr>
      <w:tr>
        <w:trPr/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napToGrid w:val="false"/>
              <w:ind w:left="360" w:right="-108" w:hanging="360"/>
              <w:jc w:val="center"/>
              <w:rPr>
                <w:rFonts w:ascii="Times New Roman" w:hAnsi="Times New Roman" w:eastAsia="Arial Unicode MS" w:cs="Times New Roman"/>
                <w:kern w:val="2"/>
                <w:sz w:val="21"/>
                <w:szCs w:val="21"/>
              </w:rPr>
            </w:pPr>
            <w:r>
              <w:rPr>
                <w:rFonts w:eastAsia="Arial Unicode MS" w:cs="Times New Roman" w:ascii="Times New Roman" w:hAnsi="Times New Roman"/>
                <w:kern w:val="2"/>
                <w:sz w:val="21"/>
                <w:szCs w:val="21"/>
              </w:rPr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Облучатель-циркулятор ультрафиолетовый бактерицидный настенный РБОВ 913-«МСК» (3 лампы)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23 шт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34" w:right="-284" w:hanging="0"/>
              <w:rPr>
                <w:sz w:val="21"/>
                <w:szCs w:val="21"/>
              </w:rPr>
            </w:pPr>
            <w:r>
              <w:rPr>
                <w:rFonts w:eastAsia="Arial Unicode MS" w:cs="Times New Roman" w:ascii="Times New Roman" w:hAnsi="Times New Roman"/>
                <w:kern w:val="2"/>
                <w:sz w:val="21"/>
                <w:szCs w:val="21"/>
              </w:rPr>
              <w:t>г. Чебоксары,</w:t>
            </w:r>
            <w:r>
              <w:rPr>
                <w:rFonts w:cs="Times New Roman" w:ascii="Times New Roman" w:hAnsi="Times New Roman"/>
                <w:sz w:val="21"/>
                <w:szCs w:val="21"/>
              </w:rPr>
              <w:t xml:space="preserve"> </w:t>
            </w:r>
            <w:r>
              <w:rPr>
                <w:rFonts w:eastAsia="Arial Unicode MS" w:cs="Times New Roman" w:ascii="Times New Roman" w:hAnsi="Times New Roman"/>
                <w:kern w:val="2"/>
                <w:sz w:val="21"/>
                <w:szCs w:val="21"/>
              </w:rPr>
              <w:t>ул. Нижегородская, д.6</w:t>
            </w:r>
          </w:p>
          <w:p>
            <w:pPr>
              <w:pStyle w:val="Normal"/>
              <w:widowControl w:val="false"/>
              <w:ind w:left="34" w:right="-284" w:hanging="0"/>
              <w:rPr>
                <w:rFonts w:ascii="Times New Roman" w:hAnsi="Times New Roman" w:eastAsia="Arial Unicode MS" w:cs="Times New Roman"/>
                <w:kern w:val="2"/>
                <w:sz w:val="21"/>
                <w:szCs w:val="21"/>
              </w:rPr>
            </w:pPr>
            <w:r>
              <w:rPr>
                <w:rFonts w:eastAsia="Arial Unicode MS" w:cs="Times New Roman" w:ascii="Times New Roman" w:hAnsi="Times New Roman"/>
                <w:kern w:val="2"/>
                <w:sz w:val="21"/>
                <w:szCs w:val="21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Arial Unicode MS" w:cs="Times New Roman"/>
                <w:kern w:val="2"/>
                <w:sz w:val="21"/>
                <w:szCs w:val="21"/>
              </w:rPr>
            </w:pPr>
            <w:r>
              <w:rPr>
                <w:rFonts w:eastAsia="Arial Unicode MS" w:cs="Times New Roman" w:ascii="Times New Roman" w:hAnsi="Times New Roman"/>
                <w:kern w:val="2"/>
                <w:sz w:val="21"/>
                <w:szCs w:val="21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Arial Unicode MS" w:cs="Times New Roman"/>
                <w:kern w:val="2"/>
                <w:sz w:val="21"/>
                <w:szCs w:val="21"/>
              </w:rPr>
            </w:pPr>
            <w:r>
              <w:rPr>
                <w:rFonts w:eastAsia="Arial Unicode MS" w:cs="Times New Roman" w:ascii="Times New Roman" w:hAnsi="Times New Roman"/>
                <w:kern w:val="2"/>
                <w:sz w:val="21"/>
                <w:szCs w:val="21"/>
              </w:rPr>
            </w:r>
          </w:p>
        </w:tc>
      </w:tr>
      <w:tr>
        <w:trPr/>
        <w:tc>
          <w:tcPr>
            <w:tcW w:w="7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34" w:right="-284" w:hanging="0"/>
              <w:jc w:val="center"/>
              <w:rPr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2"/>
                <w:sz w:val="21"/>
                <w:szCs w:val="21"/>
              </w:rPr>
              <w:t xml:space="preserve">                                                                                                                                                </w:t>
            </w:r>
            <w:r>
              <w:rPr>
                <w:rFonts w:eastAsia="Arial Unicode MS" w:cs="Times New Roman" w:ascii="Times New Roman" w:hAnsi="Times New Roman"/>
                <w:b/>
                <w:bCs/>
                <w:kern w:val="2"/>
                <w:sz w:val="21"/>
                <w:szCs w:val="21"/>
              </w:rPr>
              <w:t>Общая стоимость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Arial Unicode MS" w:cs="Times New Roman"/>
                <w:b/>
                <w:b/>
                <w:bCs/>
                <w:kern w:val="2"/>
                <w:sz w:val="21"/>
                <w:szCs w:val="21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kern w:val="2"/>
                <w:sz w:val="21"/>
                <w:szCs w:val="21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Arial Unicode MS" w:cs="Times New Roman"/>
                <w:b/>
                <w:b/>
                <w:bCs/>
                <w:kern w:val="2"/>
                <w:sz w:val="21"/>
                <w:szCs w:val="21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kern w:val="2"/>
                <w:sz w:val="21"/>
                <w:szCs w:val="21"/>
              </w:rPr>
            </w:r>
          </w:p>
        </w:tc>
      </w:tr>
    </w:tbl>
    <w:p>
      <w:pPr>
        <w:pStyle w:val="Normal"/>
        <w:widowControl w:val="false"/>
        <w:ind w:left="34" w:right="-284" w:hanging="0"/>
        <w:rPr>
          <w:rFonts w:ascii="Times New Roman" w:hAnsi="Times New Roman" w:cs="Times New Roman"/>
          <w:b/>
          <w:b/>
          <w:sz w:val="21"/>
          <w:szCs w:val="21"/>
        </w:rPr>
      </w:pPr>
      <w:r>
        <w:rPr>
          <w:rFonts w:cs="Times New Roman" w:ascii="Times New Roman" w:hAnsi="Times New Roman"/>
          <w:b/>
          <w:sz w:val="21"/>
          <w:szCs w:val="21"/>
        </w:rPr>
      </w:r>
    </w:p>
    <w:tbl>
      <w:tblPr>
        <w:tblW w:w="1003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35"/>
        <w:gridCol w:w="4795"/>
      </w:tblGrid>
      <w:tr>
        <w:trPr>
          <w:trHeight w:val="105" w:hRule="atLeast"/>
        </w:trPr>
        <w:tc>
          <w:tcPr>
            <w:tcW w:w="52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Normal"/>
              <w:widowControl w:val="false"/>
              <w:ind w:left="320" w:right="-284" w:hanging="260"/>
              <w:rPr>
                <w:rFonts w:ascii="Times New Roman" w:hAnsi="Times New Roman" w:cs="Times New Roman"/>
                <w:b/>
                <w:b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</w:rPr>
              <w:t>Исполнитель:</w:t>
            </w:r>
          </w:p>
          <w:p>
            <w:pPr>
              <w:pStyle w:val="Normal"/>
              <w:widowControl w:val="false"/>
              <w:ind w:left="320" w:right="-284" w:hanging="26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ind w:left="320" w:right="-284" w:hanging="2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ind w:left="320" w:right="-284" w:hanging="2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ind w:left="320" w:right="-284" w:hanging="2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ind w:left="320" w:right="-284" w:hanging="2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ind w:left="0" w:right="-284" w:hanging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______________________________ / /</w:t>
            </w:r>
          </w:p>
          <w:p>
            <w:pPr>
              <w:pStyle w:val="Normal"/>
              <w:widowControl w:val="false"/>
              <w:ind w:left="0" w:right="-284" w:hanging="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ind w:left="0" w:right="-284" w:hanging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М.П.</w:t>
            </w:r>
          </w:p>
          <w:p>
            <w:pPr>
              <w:pStyle w:val="Normal"/>
              <w:widowControl w:val="false"/>
              <w:ind w:left="0" w:right="-284" w:hanging="0"/>
              <w:rPr>
                <w:rFonts w:ascii="Times New Roman" w:hAnsi="Times New Roman" w:cs="Times New Roman"/>
                <w:b/>
                <w:b/>
                <w:sz w:val="21"/>
                <w:szCs w:val="21"/>
                <w:lang w:val="en-US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en-US"/>
              </w:rPr>
            </w:r>
          </w:p>
        </w:tc>
        <w:tc>
          <w:tcPr>
            <w:tcW w:w="47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Normal"/>
              <w:widowControl w:val="false"/>
              <w:spacing w:lineRule="auto" w:line="276"/>
              <w:ind w:left="0" w:right="-284" w:hanging="0"/>
              <w:rPr>
                <w:rFonts w:ascii="Times New Roman" w:hAnsi="Times New Roman" w:eastAsia="Calibri" w:cs="Times New Roman"/>
                <w:b/>
                <w:b/>
                <w:bCs/>
                <w:sz w:val="21"/>
                <w:szCs w:val="21"/>
                <w:lang w:eastAsia="en-US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1"/>
                <w:szCs w:val="21"/>
                <w:lang w:eastAsia="en-US"/>
              </w:rPr>
              <w:t>Заказчик:</w:t>
            </w:r>
          </w:p>
          <w:p>
            <w:pPr>
              <w:pStyle w:val="Normal"/>
              <w:widowControl w:val="false"/>
              <w:ind w:left="0" w:right="-284" w:hanging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Заместитель руководителя по реабилитации инвалидов</w:t>
            </w:r>
          </w:p>
          <w:p>
            <w:pPr>
              <w:pStyle w:val="Normal"/>
              <w:widowControl w:val="false"/>
              <w:ind w:left="34" w:right="-284" w:hanging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ind w:left="34" w:right="-284" w:hanging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ind w:left="34" w:right="-284" w:hanging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ind w:left="34" w:right="-284" w:hanging="0"/>
              <w:rPr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__________________________/</w:t>
            </w:r>
            <w:r>
              <w:rPr>
                <w:rFonts w:cs="Times New Roman" w:ascii="Times New Roman" w:hAnsi="Times New Roman"/>
                <w:sz w:val="21"/>
                <w:szCs w:val="21"/>
                <w:lang w:val="en-US"/>
              </w:rPr>
              <w:t>Л</w:t>
            </w:r>
            <w:r>
              <w:rPr>
                <w:rFonts w:cs="Times New Roman" w:ascii="Times New Roman" w:hAnsi="Times New Roman"/>
                <w:sz w:val="21"/>
                <w:szCs w:val="21"/>
              </w:rPr>
              <w:t>.Г.Смолина /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  <w:t>М.П.</w:t>
            </w:r>
          </w:p>
          <w:p>
            <w:pPr>
              <w:pStyle w:val="Normal"/>
              <w:widowControl w:val="false"/>
              <w:ind w:left="10" w:right="0" w:hanging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</w:r>
          </w:p>
          <w:p>
            <w:pPr>
              <w:pStyle w:val="Normal"/>
              <w:widowControl w:val="false"/>
              <w:ind w:left="10" w:right="0" w:hanging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</w:r>
          </w:p>
          <w:p>
            <w:pPr>
              <w:pStyle w:val="Normal"/>
              <w:widowControl w:val="false"/>
              <w:ind w:left="10" w:right="0" w:hanging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</w:r>
          </w:p>
          <w:p>
            <w:pPr>
              <w:pStyle w:val="Normal"/>
              <w:widowControl w:val="false"/>
              <w:ind w:left="10" w:right="0" w:hanging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</w:r>
          </w:p>
          <w:p>
            <w:pPr>
              <w:pStyle w:val="Normal"/>
              <w:widowControl w:val="false"/>
              <w:ind w:left="10" w:right="0" w:hanging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</w:r>
          </w:p>
          <w:p>
            <w:pPr>
              <w:pStyle w:val="Normal"/>
              <w:widowControl w:val="false"/>
              <w:ind w:left="10" w:right="0" w:hanging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</w:r>
          </w:p>
          <w:p>
            <w:pPr>
              <w:pStyle w:val="Normal"/>
              <w:widowControl w:val="false"/>
              <w:ind w:left="10" w:right="0" w:hanging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</w:r>
          </w:p>
          <w:p>
            <w:pPr>
              <w:pStyle w:val="Normal"/>
              <w:widowControl w:val="false"/>
              <w:ind w:left="10" w:right="0" w:hanging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</w:tbl>
    <w:p>
      <w:pPr>
        <w:pStyle w:val="Normal"/>
        <w:widowControl w:val="false"/>
        <w:ind w:left="0" w:right="-284" w:hanging="0"/>
        <w:rPr>
          <w:rFonts w:ascii="Times New Roman" w:hAnsi="Times New Roman" w:cs="Times New Roman"/>
          <w:b/>
          <w:b/>
          <w:bCs/>
        </w:rPr>
      </w:pPr>
      <w:r>
        <w:rPr/>
      </w:r>
    </w:p>
    <w:sectPr>
      <w:headerReference w:type="default" r:id="rId3"/>
      <w:footerReference w:type="default" r:id="rId4"/>
      <w:footerReference w:type="first" r:id="rId5"/>
      <w:type w:val="nextPage"/>
      <w:pgSz w:w="11906" w:h="16838"/>
      <w:pgMar w:left="849" w:right="1276" w:gutter="0" w:header="720" w:top="1134" w:footer="720" w:bottom="777"/>
      <w:pgNumType w:fmt="decimal"/>
      <w:formProt w:val="false"/>
      <w:titlePg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Courier New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45"/>
      <w:widowControl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45"/>
      <w:widowControl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4"/>
      <w:widowControl/>
      <w:ind w:right="357" w:hanging="0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none"/>
      <w:suff w:val="nothing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none"/>
      <w:suff w:val="nothing"/>
      <w:lvlText w:val="%3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none"/>
      <w:suff w:val="nothing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none"/>
      <w:suff w:val="nothing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none"/>
      <w:suff w:val="nothing"/>
      <w:lvlText w:val="%6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none"/>
      <w:suff w:val="nothing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none"/>
      <w:suff w:val="nothing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none"/>
      <w:suff w:val="nothing"/>
      <w:lvlText w:val="%9."/>
      <w:lvlJc w:val="left"/>
      <w:pPr>
        <w:tabs>
          <w:tab w:val="num" w:pos="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0"/>
  <w:displayBackgroundShape/>
  <w:embedSystemFonts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2"/>
      </w:numPr>
      <w:shd w:val="clear" w:color="auto" w:fill="FFFFFF"/>
      <w:ind w:right="2" w:hanging="0"/>
      <w:jc w:val="center"/>
      <w:outlineLvl w:val="0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Normal"/>
    <w:next w:val="Normal"/>
    <w:qFormat/>
    <w:pPr>
      <w:keepNext w:val="true"/>
      <w:widowControl/>
      <w:numPr>
        <w:ilvl w:val="1"/>
        <w:numId w:val="2"/>
      </w:numPr>
      <w:jc w:val="center"/>
      <w:outlineLvl w:val="1"/>
    </w:pPr>
    <w:rPr>
      <w:rFonts w:ascii="Times New Roman" w:hAnsi="Times New Roman" w:cs="Times New Roman"/>
      <w:b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2z0" w:customStyle="1">
    <w:name w:val="WW8Num2z0"/>
    <w:qFormat/>
    <w:rPr/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>
      <w:rFonts w:ascii="Times New Roman" w:hAnsi="Times New Roman" w:cs="Times New Roman"/>
      <w:sz w:val="22"/>
    </w:rPr>
  </w:style>
  <w:style w:type="character" w:styleId="Style12" w:customStyle="1">
    <w:name w:val="Основной шрифт абзаца"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21" w:customStyle="1">
    <w:name w:val="Основной шрифт абзаца2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3z0" w:customStyle="1">
    <w:name w:val="WW8Num3z0"/>
    <w:qFormat/>
    <w:rPr/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11" w:customStyle="1">
    <w:name w:val="Основной шрифт абзаца1"/>
    <w:qFormat/>
    <w:rPr/>
  </w:style>
  <w:style w:type="character" w:styleId="Pagenumber">
    <w:name w:val="page number"/>
    <w:basedOn w:val="11"/>
    <w:qFormat/>
    <w:rPr/>
  </w:style>
  <w:style w:type="character" w:styleId="Style13" w:customStyle="1">
    <w:name w:val="Название Знак"/>
    <w:qFormat/>
    <w:rPr>
      <w:bCs/>
      <w:sz w:val="28"/>
      <w:szCs w:val="28"/>
      <w:lang w:val="ru-RU" w:bidi="ar-SA"/>
    </w:rPr>
  </w:style>
  <w:style w:type="character" w:styleId="22" w:customStyle="1">
    <w:name w:val="Заголовок 2 Знак"/>
    <w:qFormat/>
    <w:rPr>
      <w:b/>
      <w:sz w:val="28"/>
      <w:lang w:val="ru-RU" w:bidi="ar-SA"/>
    </w:rPr>
  </w:style>
  <w:style w:type="character" w:styleId="Style14">
    <w:name w:val="Hyperlink"/>
    <w:rPr>
      <w:rFonts w:cs="Times New Roman"/>
      <w:color w:val="0000FF"/>
      <w:u w:val="single"/>
    </w:rPr>
  </w:style>
  <w:style w:type="character" w:styleId="Style15" w:customStyle="1">
    <w:name w:val="Основной текст Знак"/>
    <w:qFormat/>
    <w:rPr>
      <w:color w:val="000000"/>
      <w:sz w:val="28"/>
      <w:szCs w:val="28"/>
      <w:lang w:val="ru-RU" w:bidi="ar-SA"/>
    </w:rPr>
  </w:style>
  <w:style w:type="character" w:styleId="23" w:customStyle="1">
    <w:name w:val="Основной текст 2 Знак"/>
    <w:qFormat/>
    <w:rPr>
      <w:rFonts w:ascii="Calibri" w:hAnsi="Calibri" w:eastAsia="Calibri" w:cs="Calibri"/>
      <w:lang w:val="x-none" w:bidi="ar-SA"/>
    </w:rPr>
  </w:style>
  <w:style w:type="character" w:styleId="4" w:customStyle="1">
    <w:name w:val=" Знак Знак4"/>
    <w:qFormat/>
    <w:rPr>
      <w:color w:val="000000"/>
      <w:sz w:val="28"/>
      <w:szCs w:val="28"/>
    </w:rPr>
  </w:style>
  <w:style w:type="character" w:styleId="12" w:customStyle="1">
    <w:name w:val="Заголовок 1 Знак"/>
    <w:qFormat/>
    <w:rPr>
      <w:sz w:val="28"/>
      <w:szCs w:val="28"/>
      <w:shd w:fill="FFFFFF" w:val="clear"/>
    </w:rPr>
  </w:style>
  <w:style w:type="character" w:styleId="ConsPlusNormal" w:customStyle="1">
    <w:name w:val="ConsPlusNormal Знак"/>
    <w:qFormat/>
    <w:rPr>
      <w:rFonts w:ascii="Arial" w:hAnsi="Arial" w:cs="Arial"/>
      <w:lang w:val="ru-RU" w:bidi="ar-SA"/>
    </w:rPr>
  </w:style>
  <w:style w:type="character" w:styleId="Style16" w:customStyle="1">
    <w:name w:val="Абзац списка Знак"/>
    <w:qFormat/>
    <w:rPr>
      <w:rFonts w:ascii="Arial" w:hAnsi="Arial" w:cs="Arial"/>
    </w:rPr>
  </w:style>
  <w:style w:type="character" w:styleId="HTML" w:customStyle="1">
    <w:name w:val="Стандартный HTML Знак"/>
    <w:qFormat/>
    <w:rPr>
      <w:rFonts w:ascii="Courier New" w:hAnsi="Courier New" w:eastAsia="Calibri" w:cs="Courier New"/>
      <w:color w:val="000000"/>
      <w:lang w:val="ru-RU" w:bidi="ar-SA"/>
    </w:rPr>
  </w:style>
  <w:style w:type="character" w:styleId="Linklinkblacklinkdotted" w:customStyle="1">
    <w:name w:val="link link_black link_dotted"/>
    <w:basedOn w:val="11"/>
    <w:qFormat/>
    <w:rPr/>
  </w:style>
  <w:style w:type="character" w:styleId="Jsphonenumberhighlightphone" w:customStyle="1">
    <w:name w:val="js-phone-number highlight-phone"/>
    <w:basedOn w:val="11"/>
    <w:qFormat/>
    <w:rPr/>
  </w:style>
  <w:style w:type="character" w:styleId="Style17" w:customStyle="1">
    <w:name w:val="Нижний колонтитул Знак"/>
    <w:qFormat/>
    <w:rPr>
      <w:rFonts w:ascii="Arial" w:hAnsi="Arial" w:cs="Arial"/>
      <w:lang w:eastAsia="zh-CN"/>
    </w:rPr>
  </w:style>
  <w:style w:type="character" w:styleId="211" w:customStyle="1">
    <w:name w:val="Основной текст 2 Знак1"/>
    <w:qFormat/>
    <w:rPr>
      <w:rFonts w:ascii="Arial" w:hAnsi="Arial" w:cs="Arial"/>
      <w:lang w:eastAsia="zh-CN"/>
    </w:rPr>
  </w:style>
  <w:style w:type="character" w:styleId="Style18" w:customStyle="1">
    <w:name w:val="Без интервала Знак"/>
    <w:qFormat/>
    <w:rPr>
      <w:lang w:eastAsia="zh-CN" w:bidi="ar-SA"/>
    </w:rPr>
  </w:style>
  <w:style w:type="character" w:styleId="13" w:customStyle="1">
    <w:name w:val="Название Знак1"/>
    <w:qFormat/>
    <w:rPr>
      <w:rFonts w:ascii="Cambria" w:hAnsi="Cambria" w:cs="Cambria"/>
      <w:color w:val="17365D"/>
      <w:spacing w:val="5"/>
      <w:kern w:val="2"/>
      <w:sz w:val="52"/>
      <w:szCs w:val="52"/>
      <w:lang w:val="x-none"/>
    </w:rPr>
  </w:style>
  <w:style w:type="character" w:styleId="24" w:customStyle="1">
    <w:name w:val="Название Знак2"/>
    <w:qFormat/>
    <w:rPr>
      <w:rFonts w:ascii="Cambria" w:hAnsi="Cambria" w:eastAsia="Times New Roman" w:cs="Times New Roman"/>
      <w:b/>
      <w:bCs/>
      <w:kern w:val="2"/>
      <w:sz w:val="32"/>
      <w:szCs w:val="32"/>
      <w:lang w:eastAsia="zh-CN"/>
    </w:rPr>
  </w:style>
  <w:style w:type="character" w:styleId="Style19" w:customStyle="1">
    <w:name w:val="Знак примечания"/>
    <w:qFormat/>
    <w:rPr>
      <w:sz w:val="16"/>
      <w:szCs w:val="16"/>
    </w:rPr>
  </w:style>
  <w:style w:type="character" w:styleId="Style20" w:customStyle="1">
    <w:name w:val="Текст примечания Знак"/>
    <w:qFormat/>
    <w:rPr>
      <w:rFonts w:ascii="Arial" w:hAnsi="Arial" w:cs="Arial"/>
      <w:lang w:eastAsia="zh-CN"/>
    </w:rPr>
  </w:style>
  <w:style w:type="character" w:styleId="Style21" w:customStyle="1">
    <w:name w:val="Тема примечания Знак"/>
    <w:qFormat/>
    <w:rPr>
      <w:rFonts w:ascii="Arial" w:hAnsi="Arial" w:cs="Arial"/>
      <w:b/>
      <w:bCs/>
      <w:lang w:eastAsia="zh-CN"/>
    </w:rPr>
  </w:style>
  <w:style w:type="character" w:styleId="Style22" w:customStyle="1">
    <w:name w:val="Текст концевой сноски Знак"/>
    <w:qFormat/>
    <w:rPr>
      <w:rFonts w:eastAsia="Calibri"/>
      <w:lang w:val="x-none" w:eastAsia="zh-CN"/>
    </w:rPr>
  </w:style>
  <w:style w:type="character" w:styleId="FontStyle13" w:customStyle="1">
    <w:name w:val="Font Style13"/>
    <w:qFormat/>
    <w:rPr>
      <w:rFonts w:ascii="Times New Roman" w:hAnsi="Times New Roman" w:cs="Times New Roman"/>
      <w:sz w:val="24"/>
      <w:szCs w:val="24"/>
    </w:rPr>
  </w:style>
  <w:style w:type="character" w:styleId="3" w:customStyle="1">
    <w:name w:val="Основной текст 3 Знак"/>
    <w:qFormat/>
    <w:rPr>
      <w:rFonts w:ascii="Arial" w:hAnsi="Arial" w:cs="Arial"/>
      <w:sz w:val="16"/>
      <w:szCs w:val="16"/>
      <w:lang w:eastAsia="zh-CN"/>
    </w:rPr>
  </w:style>
  <w:style w:type="character" w:styleId="31" w:customStyle="1">
    <w:name w:val="Основной текст (3)_"/>
    <w:qFormat/>
    <w:rPr>
      <w:b/>
      <w:bCs/>
      <w:shd w:fill="FFFFFF" w:val="clear"/>
    </w:rPr>
  </w:style>
  <w:style w:type="character" w:styleId="Style23">
    <w:name w:val="FollowedHyperlink"/>
    <w:rPr>
      <w:color w:val="800080"/>
      <w:u w:val="single"/>
    </w:rPr>
  </w:style>
  <w:style w:type="character" w:styleId="Style24">
    <w:name w:val="Символ нумерации"/>
    <w:qFormat/>
    <w:rPr/>
  </w:style>
  <w:style w:type="paragraph" w:styleId="Style25" w:customStyle="1">
    <w:name w:val="Заголовок"/>
    <w:basedOn w:val="Normal"/>
    <w:next w:val="Style26"/>
    <w:qFormat/>
    <w:pPr>
      <w:spacing w:lineRule="exact" w:line="240"/>
      <w:ind w:left="5761" w:hanging="0"/>
      <w:jc w:val="center"/>
    </w:pPr>
    <w:rPr>
      <w:rFonts w:ascii="Times New Roman" w:hAnsi="Times New Roman" w:cs="Times New Roman"/>
      <w:bCs/>
      <w:sz w:val="28"/>
      <w:szCs w:val="28"/>
    </w:rPr>
  </w:style>
  <w:style w:type="paragraph" w:styleId="Style26">
    <w:name w:val="Body Text"/>
    <w:basedOn w:val="Normal"/>
    <w:pPr>
      <w:ind w:right="2" w:hanging="0"/>
    </w:pPr>
    <w:rPr>
      <w:rFonts w:ascii="Times New Roman" w:hAnsi="Times New Roman" w:cs="Times New Roman"/>
      <w:color w:val="000000"/>
      <w:sz w:val="28"/>
      <w:szCs w:val="28"/>
    </w:rPr>
  </w:style>
  <w:style w:type="paragraph" w:styleId="Style27">
    <w:name w:val="List"/>
    <w:basedOn w:val="Normal"/>
    <w:pPr>
      <w:spacing w:before="60" w:after="0"/>
      <w:ind w:left="283" w:hanging="283"/>
      <w:jc w:val="both"/>
    </w:pPr>
    <w:rPr>
      <w:rFonts w:ascii="Times New Roman" w:hAnsi="Times New Roman" w:cs="Times New Roman"/>
      <w:sz w:val="24"/>
    </w:rPr>
  </w:style>
  <w:style w:type="paragraph" w:styleId="Style28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9" w:customStyle="1">
    <w:name w:val="Указатель"/>
    <w:basedOn w:val="Normal"/>
    <w:qFormat/>
    <w:pPr>
      <w:suppressLineNumbers/>
    </w:pPr>
    <w:rPr>
      <w:rFonts w:cs="FreeSans"/>
    </w:rPr>
  </w:style>
  <w:style w:type="paragraph" w:styleId="Caption">
    <w:name w:val="caption"/>
    <w:basedOn w:val="Normal"/>
    <w:qFormat/>
    <w:pPr>
      <w:spacing w:before="240" w:after="60"/>
      <w:jc w:val="center"/>
      <w:outlineLvl w:val="0"/>
    </w:pPr>
    <w:rPr>
      <w:rFonts w:ascii="Cambria" w:hAnsi="Cambria" w:cs="Times New Roman"/>
      <w:b/>
      <w:bCs/>
      <w:kern w:val="2"/>
      <w:sz w:val="32"/>
      <w:szCs w:val="32"/>
      <w:lang w:val="x-none"/>
    </w:rPr>
  </w:style>
  <w:style w:type="paragraph" w:styleId="Style30" w:customStyle="1">
    <w:name w:val="Название объекта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25" w:customStyle="1">
    <w:name w:val="Указатель2"/>
    <w:basedOn w:val="Normal"/>
    <w:qFormat/>
    <w:pPr>
      <w:suppressLineNumbers/>
    </w:pPr>
    <w:rPr>
      <w:rFonts w:cs="Lucida Sans"/>
    </w:rPr>
  </w:style>
  <w:style w:type="paragraph" w:styleId="14" w:customStyle="1">
    <w:name w:val="Название объекта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5" w:customStyle="1">
    <w:name w:val="Указатель1"/>
    <w:basedOn w:val="Normal"/>
    <w:qFormat/>
    <w:pPr>
      <w:suppressLineNumbers/>
    </w:pPr>
    <w:rPr>
      <w:rFonts w:cs="Lucida Sans"/>
    </w:rPr>
  </w:style>
  <w:style w:type="paragraph" w:styleId="Style31" w:customStyle="1">
    <w:name w:val="Договор текст"/>
    <w:basedOn w:val="Normal"/>
    <w:qFormat/>
    <w:pPr>
      <w:widowControl/>
      <w:ind w:firstLine="567"/>
      <w:jc w:val="both"/>
    </w:pPr>
    <w:rPr>
      <w:rFonts w:ascii="Times New Roman" w:hAnsi="Times New Roman" w:cs="Times New Roman"/>
      <w:sz w:val="24"/>
    </w:rPr>
  </w:style>
  <w:style w:type="paragraph" w:styleId="Style32" w:customStyle="1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33" w:customStyle="1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34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16" w:customStyle="1">
    <w:name w:val=" Знак Знак Знак1 Знак"/>
    <w:basedOn w:val="Normal"/>
    <w:qFormat/>
    <w:pPr>
      <w:widowControl/>
      <w:spacing w:before="280" w:after="280"/>
    </w:pPr>
    <w:rPr>
      <w:rFonts w:ascii="Tahoma" w:hAnsi="Tahoma" w:cs="Times New Roman"/>
      <w:lang w:val="en-US"/>
    </w:rPr>
  </w:style>
  <w:style w:type="paragraph" w:styleId="Style35" w:customStyle="1">
    <w:name w:val="_АБЗАЦ_"/>
    <w:basedOn w:val="Normal"/>
    <w:qFormat/>
    <w:pPr>
      <w:widowControl/>
      <w:spacing w:lineRule="auto" w:line="360"/>
      <w:ind w:firstLine="567"/>
      <w:jc w:val="both"/>
    </w:pPr>
    <w:rPr>
      <w:rFonts w:ascii="Times New Roman" w:hAnsi="Times New Roman" w:cs="Times New Roman"/>
      <w:sz w:val="24"/>
    </w:rPr>
  </w:style>
  <w:style w:type="paragraph" w:styleId="ConsPlusNonformat" w:customStyle="1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ConsPlusNormal1" w:customStyle="1">
    <w:name w:val="ConsPlusNormal"/>
    <w:qFormat/>
    <w:pPr>
      <w:widowControl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Index1">
    <w:name w:val="index 1"/>
    <w:basedOn w:val="Normal"/>
    <w:next w:val="Normal"/>
    <w:qFormat/>
    <w:pPr>
      <w:tabs>
        <w:tab w:val="clear" w:pos="708"/>
        <w:tab w:val="right" w:pos="4459" w:leader="dot"/>
      </w:tabs>
      <w:spacing w:before="60" w:after="0"/>
      <w:ind w:left="240" w:hanging="240"/>
      <w:jc w:val="both"/>
    </w:pPr>
    <w:rPr>
      <w:rFonts w:ascii="Times New Roman" w:hAnsi="Times New Roman" w:cs="Times New Roman"/>
      <w:sz w:val="24"/>
    </w:rPr>
  </w:style>
  <w:style w:type="paragraph" w:styleId="Indexheading">
    <w:name w:val="index heading"/>
    <w:basedOn w:val="Normal"/>
    <w:next w:val="Index1"/>
    <w:qFormat/>
    <w:pPr>
      <w:spacing w:before="60" w:after="0"/>
      <w:ind w:firstLine="720"/>
      <w:jc w:val="both"/>
    </w:pPr>
    <w:rPr>
      <w:rFonts w:ascii="Times New Roman" w:hAnsi="Times New Roman" w:cs="Times New Roman"/>
      <w:sz w:val="24"/>
    </w:rPr>
  </w:style>
  <w:style w:type="paragraph" w:styleId="Style36" w:customStyle="1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37" w:customStyle="1">
    <w:name w:val=" Знак Знак Знак Знак"/>
    <w:basedOn w:val="Normal"/>
    <w:qFormat/>
    <w:pPr>
      <w:widowControl/>
      <w:spacing w:before="280" w:after="280"/>
    </w:pPr>
    <w:rPr>
      <w:rFonts w:ascii="Tahoma" w:hAnsi="Tahoma" w:cs="Times New Roman"/>
      <w:lang w:val="en-US"/>
    </w:rPr>
  </w:style>
  <w:style w:type="paragraph" w:styleId="ConsNormal" w:customStyle="1">
    <w:name w:val="ConsNormal"/>
    <w:qFormat/>
    <w:pPr>
      <w:widowControl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221" w:customStyle="1">
    <w:name w:val="Основной текст 22"/>
    <w:basedOn w:val="Normal"/>
    <w:qFormat/>
    <w:pPr>
      <w:spacing w:lineRule="auto" w:line="480" w:before="0" w:after="120"/>
    </w:pPr>
    <w:rPr>
      <w:rFonts w:ascii="Calibri" w:hAnsi="Calibri" w:cs="Calibri"/>
    </w:rPr>
  </w:style>
  <w:style w:type="paragraph" w:styleId="17" w:customStyle="1">
    <w:name w:val="Основной текст с отступом1"/>
    <w:basedOn w:val="Normal"/>
    <w:qFormat/>
    <w:pPr>
      <w:spacing w:before="0" w:after="120"/>
      <w:ind w:left="283" w:hanging="0"/>
    </w:pPr>
    <w:rPr>
      <w:sz w:val="18"/>
      <w:szCs w:val="18"/>
    </w:rPr>
  </w:style>
  <w:style w:type="paragraph" w:styleId="212" w:customStyle="1">
    <w:name w:val="Основной текст 21"/>
    <w:basedOn w:val="Normal"/>
    <w:qFormat/>
    <w:pPr>
      <w:spacing w:lineRule="auto" w:line="480" w:before="0" w:after="120"/>
    </w:pPr>
    <w:rPr>
      <w:rFonts w:ascii="Calibri" w:hAnsi="Calibri" w:eastAsia="Calibri" w:cs="Times New Roman"/>
      <w:lang w:val="x-none"/>
    </w:rPr>
  </w:style>
  <w:style w:type="paragraph" w:styleId="Style38" w:customStyle="1">
    <w:name w:val="Без интервала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Style39" w:customStyle="1">
    <w:name w:val="Абзац списка"/>
    <w:basedOn w:val="Normal"/>
    <w:qFormat/>
    <w:pPr>
      <w:ind w:left="708" w:hanging="0"/>
    </w:pPr>
    <w:rPr>
      <w:rFonts w:cs="Times New Roman"/>
      <w:lang w:val="x-none"/>
    </w:rPr>
  </w:style>
  <w:style w:type="paragraph" w:styleId="18" w:customStyle="1">
    <w:name w:val="Знак Знак Знак1 Знак"/>
    <w:basedOn w:val="Normal"/>
    <w:qFormat/>
    <w:pPr>
      <w:widowControl/>
      <w:spacing w:before="280" w:after="280"/>
    </w:pPr>
    <w:rPr>
      <w:rFonts w:ascii="Tahoma" w:hAnsi="Tahoma" w:cs="Times New Roman"/>
      <w:lang w:val="en-US"/>
    </w:rPr>
  </w:style>
  <w:style w:type="paragraph" w:styleId="Style40">
    <w:name w:val="Endnote Text"/>
    <w:basedOn w:val="Normal"/>
    <w:pPr/>
    <w:rPr>
      <w:rFonts w:ascii="Times New Roman" w:hAnsi="Times New Roman" w:eastAsia="Calibri" w:cs="Times New Roman"/>
      <w:lang w:val="x-none"/>
    </w:rPr>
  </w:style>
  <w:style w:type="paragraph" w:styleId="Style41">
    <w:name w:val="Subtitle"/>
    <w:basedOn w:val="Normal"/>
    <w:next w:val="Style26"/>
    <w:qFormat/>
    <w:pPr>
      <w:widowControl/>
      <w:jc w:val="center"/>
    </w:pPr>
    <w:rPr>
      <w:rFonts w:ascii="Times New Roman" w:hAnsi="Times New Roman" w:cs="Times New Roman"/>
      <w:sz w:val="36"/>
    </w:rPr>
  </w:style>
  <w:style w:type="paragraph" w:styleId="HTML1" w:customStyle="1">
    <w:name w:val="Стандартный HTML"/>
    <w:basedOn w:val="Normal"/>
    <w:qFormat/>
    <w:pPr>
      <w:widowControl/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Calibri" w:cs="Courier New"/>
      <w:color w:val="000000"/>
    </w:rPr>
  </w:style>
  <w:style w:type="paragraph" w:styleId="Msonormalmailrucssattributepostfixmailrucssattributepostfix" w:customStyle="1">
    <w:name w:val="msonormal_mailru_css_attribute_postfix_mailru_css_attribute_postfix"/>
    <w:basedOn w:val="Normal"/>
    <w:qFormat/>
    <w:pPr>
      <w:widowControl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Style42" w:customStyle="1">
    <w:name w:val="Содержимое таблицы"/>
    <w:basedOn w:val="Normal"/>
    <w:qFormat/>
    <w:pPr>
      <w:suppressLineNumbers/>
    </w:pPr>
    <w:rPr/>
  </w:style>
  <w:style w:type="paragraph" w:styleId="Style43" w:customStyle="1">
    <w:name w:val="Заголовок таблицы"/>
    <w:basedOn w:val="Style42"/>
    <w:qFormat/>
    <w:pPr>
      <w:jc w:val="center"/>
    </w:pPr>
    <w:rPr>
      <w:b/>
      <w:bCs/>
    </w:rPr>
  </w:style>
  <w:style w:type="paragraph" w:styleId="Style44" w:customStyle="1">
    <w:name w:val="Содержимое врезки"/>
    <w:basedOn w:val="Normal"/>
    <w:qFormat/>
    <w:pPr/>
    <w:rPr/>
  </w:style>
  <w:style w:type="paragraph" w:styleId="Style45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46" w:customStyle="1">
    <w:name w:val="Верхний колонтитул слева"/>
    <w:basedOn w:val="Style34"/>
    <w:qFormat/>
    <w:pPr>
      <w:suppressLineNumbers/>
      <w:tabs>
        <w:tab w:val="clear" w:pos="4677"/>
        <w:tab w:val="clear" w:pos="9355"/>
        <w:tab w:val="center" w:pos="4762" w:leader="none"/>
        <w:tab w:val="right" w:pos="9525" w:leader="none"/>
      </w:tabs>
    </w:pPr>
    <w:rPr/>
  </w:style>
  <w:style w:type="paragraph" w:styleId="26" w:customStyle="1">
    <w:name w:val="Основной текст 2"/>
    <w:basedOn w:val="Normal"/>
    <w:qFormat/>
    <w:pPr>
      <w:widowControl/>
      <w:suppressAutoHyphens w:val="false"/>
      <w:spacing w:lineRule="auto" w:line="480" w:before="0" w:after="120"/>
    </w:pPr>
    <w:rPr>
      <w:rFonts w:ascii="Calibri" w:hAnsi="Calibri" w:eastAsia="Calibri" w:cs="Calibri"/>
      <w:lang w:val="x-none"/>
    </w:rPr>
  </w:style>
  <w:style w:type="paragraph" w:styleId="Style47" w:customStyle="1">
    <w:name w:val="Обычный (веб)"/>
    <w:basedOn w:val="Normal"/>
    <w:qFormat/>
    <w:pPr>
      <w:widowControl/>
      <w:suppressAutoHyphens w:val="false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TitleT" w:customStyle="1">
    <w:name w:val="Title+T"/>
    <w:basedOn w:val="Normal"/>
    <w:qFormat/>
    <w:pPr>
      <w:widowControl/>
      <w:pBdr>
        <w:bottom w:val="single" w:sz="8" w:space="4" w:color="4F81BD"/>
      </w:pBdr>
      <w:spacing w:before="0" w:after="300"/>
      <w:contextualSpacing/>
    </w:pPr>
    <w:rPr>
      <w:rFonts w:ascii="Cambria" w:hAnsi="Cambria" w:cs="Times New Roman"/>
      <w:color w:val="17365D"/>
      <w:spacing w:val="5"/>
      <w:kern w:val="2"/>
      <w:sz w:val="52"/>
      <w:szCs w:val="52"/>
      <w:lang w:val="x-none"/>
    </w:rPr>
  </w:style>
  <w:style w:type="paragraph" w:styleId="Style48" w:customStyle="1">
    <w:name w:val="Текст примечания"/>
    <w:basedOn w:val="Normal"/>
    <w:qFormat/>
    <w:pPr/>
    <w:rPr>
      <w:rFonts w:cs="Times New Roman"/>
      <w:lang w:val="x-none"/>
    </w:rPr>
  </w:style>
  <w:style w:type="paragraph" w:styleId="Style49" w:customStyle="1">
    <w:name w:val="Тема примечания"/>
    <w:basedOn w:val="Style48"/>
    <w:next w:val="Style48"/>
    <w:qFormat/>
    <w:pPr/>
    <w:rPr>
      <w:b/>
      <w:bCs/>
    </w:rPr>
  </w:style>
  <w:style w:type="paragraph" w:styleId="Style110" w:customStyle="1">
    <w:name w:val="Style1"/>
    <w:basedOn w:val="Normal"/>
    <w:qFormat/>
    <w:pPr>
      <w:suppressAutoHyphens w:val="false"/>
      <w:spacing w:lineRule="exact" w:line="331"/>
      <w:ind w:firstLine="528"/>
      <w:jc w:val="both"/>
    </w:pPr>
    <w:rPr>
      <w:rFonts w:ascii="Times New Roman" w:hAnsi="Times New Roman" w:cs="Times New Roman"/>
      <w:sz w:val="24"/>
      <w:szCs w:val="24"/>
    </w:rPr>
  </w:style>
  <w:style w:type="paragraph" w:styleId="Style310" w:customStyle="1">
    <w:name w:val="Style3"/>
    <w:basedOn w:val="Normal"/>
    <w:qFormat/>
    <w:pPr>
      <w:suppressAutoHyphens w:val="false"/>
      <w:spacing w:lineRule="exact" w:line="322"/>
    </w:pPr>
    <w:rPr>
      <w:rFonts w:ascii="Times New Roman" w:hAnsi="Times New Roman" w:cs="Times New Roman"/>
      <w:sz w:val="24"/>
      <w:szCs w:val="24"/>
    </w:rPr>
  </w:style>
  <w:style w:type="paragraph" w:styleId="32" w:customStyle="1">
    <w:name w:val="Основной текст 3"/>
    <w:basedOn w:val="Normal"/>
    <w:qFormat/>
    <w:pPr>
      <w:spacing w:before="0" w:after="120"/>
    </w:pPr>
    <w:rPr>
      <w:sz w:val="16"/>
      <w:szCs w:val="16"/>
    </w:rPr>
  </w:style>
  <w:style w:type="paragraph" w:styleId="33" w:customStyle="1">
    <w:name w:val="Основной текст (3)"/>
    <w:basedOn w:val="Normal"/>
    <w:qFormat/>
    <w:pPr>
      <w:shd w:val="clear" w:color="auto" w:fill="FFFFFF"/>
      <w:suppressAutoHyphens w:val="false"/>
      <w:spacing w:lineRule="exact" w:line="274"/>
      <w:jc w:val="both"/>
    </w:pPr>
    <w:rPr>
      <w:rFonts w:ascii="Times New Roman" w:hAnsi="Times New Roman" w:cs="Times New Roman"/>
      <w:b/>
      <w:bCs/>
    </w:rPr>
  </w:style>
  <w:style w:type="paragraph" w:styleId="Style50" w:customStyle="1">
    <w:name w:val="Нормальный (таблица)"/>
    <w:basedOn w:val="Normal"/>
    <w:next w:val="Normal"/>
    <w:qFormat/>
    <w:pPr>
      <w:suppressAutoHyphens w:val="false"/>
      <w:jc w:val="both"/>
    </w:pPr>
    <w:rPr>
      <w:sz w:val="24"/>
      <w:szCs w:val="24"/>
    </w:rPr>
  </w:style>
  <w:style w:type="paragraph" w:styleId="19" w:customStyle="1">
    <w:name w:val="Стиль1"/>
    <w:basedOn w:val="Normal"/>
    <w:qFormat/>
    <w:pPr>
      <w:spacing w:lineRule="auto" w:line="360"/>
      <w:ind w:firstLine="567"/>
      <w:jc w:val="both"/>
    </w:pPr>
    <w:rPr>
      <w:sz w:val="24"/>
    </w:rPr>
  </w:style>
  <w:style w:type="paragraph" w:styleId="27">
    <w:name w:val="Основной текст с отступом 2"/>
    <w:basedOn w:val="Normal"/>
    <w:qFormat/>
    <w:pPr>
      <w:widowControl w:val="false"/>
      <w:ind w:left="0" w:right="-284" w:firstLine="720"/>
      <w:jc w:val="both"/>
    </w:pPr>
    <w:rPr>
      <w:sz w:val="22"/>
    </w:rPr>
  </w:style>
  <w:style w:type="numbering" w:styleId="NoList" w:default="1">
    <w:name w:val="No List"/>
    <w:uiPriority w:val="99"/>
    <w:semiHidden/>
    <w:unhideWhenUsed/>
    <w:qFormat/>
  </w:style>
  <w:style w:type="numbering" w:styleId="WW8Num3">
    <w:name w:val="WW8Num3"/>
    <w:qFormat/>
  </w:style>
  <w:style w:type="numbering" w:styleId="WW8Num2">
    <w:name w:val="WW8Num2"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ivo.garant.ru/document/redirect/70353464/95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Application>LibreOffice/7.4.7.2$Linux_X86_64 LibreOffice_project/40$Build-2</Application>
  <AppVersion>15.0000</AppVersion>
  <DocSecurity>4</DocSecurity>
  <Pages>5</Pages>
  <Words>2073</Words>
  <Characters>14777</Characters>
  <CharactersWithSpaces>17299</CharactersWithSpaces>
  <Paragraphs>138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2026-05-08T06:03:00Z</dcterms:created>
  <dc:creator>Исаева О.</dc:creator>
  <dc:description/>
  <dc:language>ru-RU</dc:language>
  <cp:lastModifiedBy/>
  <cp:lastPrinted>2026-06-22T13:47:54Z</cp:lastPrinted>
  <dcterms:modified xsi:type="dcterms:W3CDTF">2026-09-02T08:54:22Z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